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stage and milestone guide</w:t>
      </w:r>
    </w:p>
    <w:p>
      <w:pPr>
        <w:pStyle w:val="Subtitle"/>
      </w:pPr>
      <w:r>
        <w:t>Mesa Lantern Energy LLC | Projects and Development | 2026-09-26 | v0.1-draft</w:t>
      </w:r>
    </w:p>
    <w:p>
      <w:r>
        <w:t>This guide defines how proposal, approval, in-progress, and completion states appear in the milestone register. This draft is prepared for project leads as part of Mesa Lantern Energy's initial information handoff. It describes the modeled operation at the stated date and should be read with the period and coverage of its supporting records.</w:t>
      </w:r>
    </w:p>
    <w:p>
      <w:pPr>
        <w:pStyle w:val="Heading1"/>
      </w:pPr>
      <w:r>
        <w:t>Purpose and immediate use</w:t>
      </w:r>
    </w:p>
    <w:p>
      <w:r>
        <w:t>A project starts as a proposal with requested scope and dates. Approval is a separate dated decision, and work in progress is separate from completion. The meter campaign, Sage Creek access, and compressor overhaul occupy different stages as of this review. Milestones hold planned dates, actual dates where achieved, budget fields, and owner; a blank actual date must remain blank until verified.</w:t>
      </w:r>
    </w:p>
    <w:p>
      <w:pPr>
        <w:pStyle w:val="Heading1"/>
      </w:pPr>
      <w:r>
        <w:t>Project authorization</w:t>
      </w:r>
    </w:p>
    <w:p>
      <w:r>
        <w:t>Projects and Development separates proposals from authorized work. The meter verification campaign is approved and in progress; the Sage Creek pad access improvement remains a proposal; the compressor overhaul is approved but has not started. Budget, schedule, owner, and approval date belong on milestones. A proposal may be evaluated, but its requested budget or target date is not evidence of expenditure or completion.</w:t>
      </w:r>
    </w:p>
    <w:p>
      <w:pPr>
        <w:pStyle w:val="Heading1"/>
      </w:pPr>
      <w:r>
        <w:t>Decision owners</w:t>
      </w:r>
    </w:p>
    <w:p>
      <w:r>
        <w:t>Field Operations is led by Avery Collins. Robin Vega is accountable for production accounting, Morgan Hale for asset integrity, Taylor Kim for development projects, and Casey Nolan for supply and contractor records. These assignments identify who can explain a record or approve a correction. They do not imply that one person performs every underlying field task or that another team may change a source record without its owner.</w:t>
      </w:r>
    </w:p>
    <w:p>
      <w:pPr>
        <w:pStyle w:val="Heading1"/>
      </w:pPr>
      <w:r>
        <w:t>Record linkage</w:t>
      </w:r>
    </w:p>
    <w:p>
      <w:r>
        <w:t>Synthetic well, asset, location, vendor, work-order, and project keys connect the proposed datasets. Business users should see natural asset and project names where possible, while the keys preserve joins across extracts. A linked inspection and work order should refer to the same asset instance and location. A record without a valid link should be flagged for review rather than attached to the nearest plausible item.</w:t>
      </w:r>
    </w:p>
    <w:p>
      <w:pPr>
        <w:pStyle w:val="Heading1"/>
      </w:pPr>
      <w:r>
        <w:t>Coverage and missing values</w:t>
      </w:r>
    </w:p>
    <w:p>
      <w:r>
        <w:t>The proposed extracts end on August 31, 2026. Production rows represent selected well-days, about 32 of 118 modeled wells per day on average, so their sums are not companywide production totals. Some meter or downtime values may be null, with a reason where available. A missing value is excluded from a numeric calculation and must never be silently treated as zero.</w:t>
      </w:r>
    </w:p>
    <w:p>
      <w:pPr>
        <w:pStyle w:val="Heading1"/>
      </w:pPr>
      <w:r>
        <w:t>Record question for review</w:t>
      </w:r>
    </w:p>
    <w:p>
      <w:r>
        <w:t>A proposed access improvement may have a target date and requested budget in the sheet. Neither value means the project was authorized. The guide asks a reviewer to find an approval date before moving the stage and to leave actual completion blank until the work is verified.</w:t>
      </w:r>
    </w:p>
    <w:p>
      <w:pPr>
        <w:pStyle w:val="Heading1"/>
      </w:pPr>
      <w:r>
        <w:t>Review action and handoff</w:t>
      </w:r>
    </w:p>
    <w:p>
      <w:r>
        <w:t>The project lead should review a milestone before changing its stage, especially when reporting to a capital planning group. Requested budgets are not booked spend. This document and the snapshot are a status explanation, not a claim that the proposed access work has begun.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Mesa Lantern Energy LLC • 0.1-draft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Kim</dc:creator>
  <cp:keywords/>
  <dc:description>generated by python-docx</dc:description>
  <cp:lastModifiedBy/>
  <cp:revision>1</cp:revision>
  <dcterms:created xsi:type="dcterms:W3CDTF">2013-12-23T23:15:00Z</dcterms:created>
  <dcterms:modified xsi:type="dcterms:W3CDTF">2013-12-23T23:15:00Z</dcterms:modified>
  <cp:category/>
</cp:coreProperties>
</file>