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Contractor invoice verification</w:t>
      </w:r>
    </w:p>
    <w:p>
      <w:pPr>
        <w:pStyle w:val="Subtitle"/>
      </w:pPr>
      <w:r>
        <w:t>Mesa Lantern Energy LLC | Supply and Contracts | 2026-09-26 | v0.1-draft</w:t>
      </w:r>
    </w:p>
    <w:p>
      <w:r>
        <w:t>This note describes the evidence Supply and Contracts compares before treating a field-service invoice as matched. This draft is prepared for accounts payable liaison as part of Mesa Lantern Energy's initial information handoff. It describes the modeled operation at the stated date and should be read with the period and coverage of its supporting records.</w:t>
      </w:r>
    </w:p>
    <w:p>
      <w:pPr>
        <w:pStyle w:val="Heading1"/>
      </w:pPr>
      <w:r>
        <w:t>Purpose and immediate use</w:t>
      </w:r>
    </w:p>
    <w:p>
      <w:r>
        <w:t>The mobilization carries vendor, scope, site, work dates, and invoice reference. Field Operations separately confirms that service occurred. Where the service responds to maintenance, the linked work order shows the asset and the execution state. An invoice may be received before these records are complete; receipt is not approval. Keep an unmatched item open with the missing reference identified.</w:t>
      </w:r>
    </w:p>
    <w:p>
      <w:pPr>
        <w:pStyle w:val="Heading1"/>
      </w:pPr>
      <w:r>
        <w:t>Contractor and invoice path</w:t>
      </w:r>
    </w:p>
    <w:p>
      <w:r>
        <w:t>Supply and Contracts records approved vendors, scope, location, mobilization dates, and invoice references. Before a mobilization is released, the field supervisor records a job safety analysis reference and readiness confirmation. After service, the supervisor confirms work performed; Supply and Contracts then matches the invoice. This modeled path keeps site release, service evidence, and payment review as separate decisions.</w:t>
      </w:r>
    </w:p>
    <w:p>
      <w:pPr>
        <w:pStyle w:val="Heading1"/>
      </w:pPr>
      <w:r>
        <w:t>Record linkage</w:t>
      </w:r>
    </w:p>
    <w:p>
      <w:r>
        <w:t>Synthetic well, asset, location, vendor, work-order, and project keys connect the proposed datasets. Business users should see natural asset and project names where possible, while the keys preserve joins across extracts. A linked inspection and work order should refer to the same asset instance and location. A record without a valid link should be flagged for review rather than attached to the nearest plausible item.</w:t>
      </w:r>
    </w:p>
    <w:p>
      <w:pPr>
        <w:pStyle w:val="Heading1"/>
      </w:pPr>
      <w:r>
        <w:t>Work-order route</w:t>
      </w:r>
    </w:p>
    <w:p>
      <w:r>
        <w:t>A field request is tied to an asset and location. The integrity lead prioritizes it, and a supervisor confirms isolation and contractor readiness where needed. Completion is not inferred from a planned date: closeout requires a completion date, downtime record, and verifier. That sequence supports a distinction between an open request, work in progress, and a verified closed order.</w:t>
      </w:r>
    </w:p>
    <w:p>
      <w:pPr>
        <w:pStyle w:val="Heading1"/>
      </w:pPr>
      <w:r>
        <w:t>System roles and handoffs</w:t>
      </w:r>
    </w:p>
    <w:p>
      <w:r>
        <w:t>Field Log and Meter Historian feed the reviewed Production Ledger. Inspection Register and Work Register exchange references when a finding leads to maintenance. Vendor Ledger carries contractor transactions. Reporting Mart receives read-only exports for monthly summaries; it does not write changes back to operational systems. Source entries and timestamped revisions remain in those systems, which is why a report should name its extraction date.</w:t>
      </w:r>
    </w:p>
    <w:p>
      <w:pPr>
        <w:pStyle w:val="Heading1"/>
      </w:pPr>
      <w:r>
        <w:t>Coverage and missing values</w:t>
      </w:r>
    </w:p>
    <w:p>
      <w:r>
        <w:t>The proposed extracts end on August 31, 2026. Production rows represent selected well-days, about 32 of 118 modeled wells per day on average, so their sums are not companywide production totals. Some meter or downtime values may be null, with a reason where available. A missing value is excluded from a numeric calculation and must never be silently treated as zero.</w:t>
      </w:r>
    </w:p>
    <w:p>
      <w:pPr>
        <w:pStyle w:val="Heading1"/>
      </w:pPr>
      <w:r>
        <w:t>Record question for review</w:t>
      </w:r>
    </w:p>
    <w:p>
      <w:r>
        <w:t>Consider an invoice with the correct vendor but a work period that does not match the recorded mobilization. Keep it unmatched until the field confirmation and period agree or an amended record explains the difference. A matching vendor name is necessary context, not sufficient service evidence.</w:t>
      </w:r>
    </w:p>
    <w:p>
      <w:pPr>
        <w:pStyle w:val="Heading1"/>
      </w:pPr>
      <w:r>
        <w:t>Review action and handoff</w:t>
      </w:r>
    </w:p>
    <w:p>
      <w:r>
        <w:t>The commercial review should compare invoice amount with the recorded scope and period without inventing prices for missing lines. A mismatch returns to the responsible field or contract owner. The extract is a selected set of mobilizations, so it is not a full expenditure ledger.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Mesa Lantern Energy LLC • 0.1-draft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Casey Nolan</dc:creator>
  <cp:keywords/>
  <dc:description>generated by python-docx</dc:description>
  <cp:lastModifiedBy/>
  <cp:revision>1</cp:revision>
  <dcterms:created xsi:type="dcterms:W3CDTF">2013-12-23T23:15:00Z</dcterms:created>
  <dcterms:modified xsi:type="dcterms:W3CDTF">2013-12-23T23:15:00Z</dcterms:modified>
  <cp:category/>
</cp:coreProperties>
</file>