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production capture guide</w:t>
      </w:r>
    </w:p>
    <w:p>
      <w:pPr>
        <w:pStyle w:val="Subtitle"/>
      </w:pPr>
      <w:r>
        <w:t>Mesa Lantern Energy LLC | Field Operations | 2026-09-26 | v0.1-draft</w:t>
      </w:r>
    </w:p>
    <w:p>
      <w:r>
        <w:t>This guide describes what a field operator enters, what Production Accounting reviews, and how a question about a reading is sent back to the source. This draft is prepared for field operators as part of Mesa Lantern Energy's initial information handoff. It describes the modeled operation at the stated date and should be read with the period and coverage of its supporting records.</w:t>
      </w:r>
    </w:p>
    <w:p>
      <w:pPr>
        <w:pStyle w:val="Heading1"/>
      </w:pPr>
      <w:r>
        <w:t>Purpose and immediate use</w:t>
      </w:r>
    </w:p>
    <w:p>
      <w:r>
        <w:t>A daily entry must identify the well, local production date, oil and raw-gas streams, and the observed meter reference when available. Field Log is the first record; Production Ledger is the reviewed record. When a value is unavailable, mark it missing rather than entering zero. The operator should preserve the original observation when clarification produces a correction.</w:t>
      </w:r>
    </w:p>
    <w:p>
      <w:pPr>
        <w:pStyle w:val="Heading1"/>
      </w:pPr>
      <w:r>
        <w:t>Daily field-to-ledger path</w:t>
      </w:r>
    </w:p>
    <w:p>
      <w:r>
        <w:t>Field operators enter well readings in Field Log by the next morning. Production Accounting compares those entries with Meter Historian readings, records exceptions, and posts reviewed values to Production Ledger. A correction preserves the first entry and a reason for the change. The review path matters because a later extract should be traceable to the reading and decision that produced it.</w:t>
      </w:r>
    </w:p>
    <w:p>
      <w:pPr>
        <w:pStyle w:val="Heading1"/>
      </w:pPr>
      <w:r>
        <w:t>Production stream definitions</w:t>
      </w:r>
    </w:p>
    <w:p>
      <w:r>
        <w:t>The modeled field ledger holds oil, including lease condensate, in stock tank barrels and raw gas in thousand cubic feet at its measurement point. The internal barrel-of-oil-equivalent view uses six Mcf of gas for one boe. That ratio is a reporting conversion only; it does not make gas and oil economically or energetically identical. Processed natural gas liquids are not attributed to individual wells in this extract.</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question for review</w:t>
      </w:r>
    </w:p>
    <w:p>
      <w:r>
        <w:t>When a meter reference is missing, leave the reference blank with the available reason and send the reading for review. Entering a zero gas value would create a different claim: that the measured quantity was zero. The guide protects that distinction at the point of entry.</w:t>
      </w:r>
    </w:p>
    <w:p>
      <w:pPr>
        <w:pStyle w:val="Heading1"/>
      </w:pPr>
      <w:r>
        <w:t>Review action and handoff</w:t>
      </w:r>
    </w:p>
    <w:p>
      <w:r>
        <w:t>The operator’s handoff ends when the entry is available for the next-morning comparison. A review flag is a request to explain evidence, not permission to replace a reading silently. For this pilot, the shared production extract is a selection of well-days and cannot substitute for a full field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Collins</dc:creator>
  <cp:keywords/>
  <dc:description>generated by python-docx</dc:description>
  <cp:lastModifiedBy/>
  <cp:revision>1</cp:revision>
  <dcterms:created xsi:type="dcterms:W3CDTF">2013-12-23T23:15:00Z</dcterms:created>
  <dcterms:modified xsi:type="dcterms:W3CDTF">2013-12-23T23:15:00Z</dcterms:modified>
  <cp:category/>
</cp:coreProperties>
</file>