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Meter verification campaign charter</w:t>
      </w:r>
    </w:p>
    <w:p>
      <w:pPr>
        <w:pStyle w:val="Subtitle"/>
      </w:pPr>
      <w:r>
        <w:t>Mesa Lantern Energy LLC | Projects and Development | 2026-09-26 | v0.1-draft</w:t>
      </w:r>
    </w:p>
    <w:p>
      <w:r>
        <w:t>This charter frames the approved meter verification campaign and the records that can show its progress. This draft is prepared for project team as part of Mesa Lantern Energy's initial information handoff. It describes the modeled operation at the stated date and should be read with the period and coverage of its supporting records.</w:t>
      </w:r>
    </w:p>
    <w:p>
      <w:pPr>
        <w:pStyle w:val="Heading1"/>
      </w:pPr>
      <w:r>
        <w:t>Purpose and immediate use</w:t>
      </w:r>
    </w:p>
    <w:p>
      <w:r>
        <w:t>The campaign concerns modeled field meters and is approved and in progress. Its milestone register should show the responsible project owner, planned and actual dates, and verified progress. Production Accounting can explain how meter readings are compared with daily entries; Field Operations can explain site access. The charter does not assume that every meter has been checked or that any production figure has changed.</w:t>
      </w:r>
    </w:p>
    <w:p>
      <w:pPr>
        <w:pStyle w:val="Heading1"/>
      </w:pPr>
      <w:r>
        <w:t>Project authorization</w:t>
      </w:r>
    </w:p>
    <w:p>
      <w:r>
        <w:t>Projects and Development separates proposals from authorized work. The meter verification campaign is approved and in progress; the Sage Creek pad access improvement remains a proposal; the compressor overhaul is approved but has not started. Budget, schedule, owner, and approval date belong on milestones. A proposal may be evaluated, but its requested budget or target date is not evidence of expenditure or completion.</w:t>
      </w:r>
    </w:p>
    <w:p>
      <w:pPr>
        <w:pStyle w:val="Heading1"/>
      </w:pPr>
      <w:r>
        <w:t>Production stream definitions</w:t>
      </w:r>
    </w:p>
    <w:p>
      <w:r>
        <w:t>The modeled field ledger holds oil, including lease condensate, in stock tank barrels and raw gas in thousand cubic feet at its measurement point. The internal barrel-of-oil-equivalent view uses six Mcf of gas for one boe. That ratio is a reporting conversion only; it does not make gas and oil economically or energetically identical. Processed natural gas liquids are not attributed to individual wells in this extract.</w:t>
      </w:r>
    </w:p>
    <w:p>
      <w:pPr>
        <w:pStyle w:val="Heading1"/>
      </w:pPr>
      <w:r>
        <w:t>Daily field-to-ledger path</w:t>
      </w:r>
    </w:p>
    <w:p>
      <w:r>
        <w:t>Field operators enter well readings in Field Log by the next morning. Production Accounting compares those entries with Meter Historian readings, records exceptions, and posts reviewed values to Production Ledger. A correction preserves the first entry and a reason for the change. The review path matters because a later extract should be traceable to the reading and decision that produced it.</w:t>
      </w:r>
    </w:p>
    <w:p>
      <w:pPr>
        <w:pStyle w:val="Heading1"/>
      </w:pPr>
      <w:r>
        <w:t>Decision owners</w:t>
      </w:r>
    </w:p>
    <w:p>
      <w:r>
        <w:t>Field Operations is led by Avery Collins. Robin Vega is accountable for production accounting, Morgan Hale for asset integrity, Taylor Kim for development projects, and Casey Nolan for supply and contractor records. These assignments identify who can explain a record or approve a correction. They do not imply that one person performs every underlying field task or that another team may change a source record without its owner.</w:t>
      </w:r>
    </w:p>
    <w:p>
      <w:pPr>
        <w:pStyle w:val="Heading1"/>
      </w:pPr>
      <w:r>
        <w:t>Record linkage</w:t>
      </w:r>
    </w:p>
    <w:p>
      <w:r>
        <w:t>Synthetic well, asset, location, vendor, work-order, and project keys connect the proposed datasets. Business users should see natural asset and project names where possible, while the keys preserve joins across extracts. A linked inspection and work order should refer to the same asset instance and location. A record without a valid link should be flagged for review rather than attached to the nearest plausible item.</w:t>
      </w:r>
    </w:p>
    <w:p>
      <w:pPr>
        <w:pStyle w:val="Heading1"/>
      </w:pPr>
      <w:r>
        <w:t>Record question for review</w:t>
      </w:r>
    </w:p>
    <w:p>
      <w:r>
        <w:t>For a completed meter-check milestone, compare the meter instance in the asset register with the production entries it affects. Any resulting change to a volume still needs the production adjustment path. Project progress and accounting correction are linked questions, not interchangeable evidence.</w:t>
      </w:r>
    </w:p>
    <w:p>
      <w:pPr>
        <w:pStyle w:val="Heading1"/>
      </w:pPr>
      <w:r>
        <w:t>Review action and handoff</w:t>
      </w:r>
    </w:p>
    <w:p>
      <w:r>
        <w:t>A useful progress discussion links a completed milestone to the affected meter instance and any resulting production adjustment. Keep verification results separate from the project schedule. The team should describe a discovered discrepancy as an observation until reviewed through the production correction path.</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Mesa Lantern Energy LLC • 0.1-draft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Kim</dc:creator>
  <cp:keywords/>
  <dc:description>generated by python-docx</dc:description>
  <cp:lastModifiedBy/>
  <cp:revision>1</cp:revision>
  <dcterms:created xsi:type="dcterms:W3CDTF">2013-12-23T23:15:00Z</dcterms:created>
  <dcterms:modified xsi:type="dcterms:W3CDTF">2013-12-23T23:15:00Z</dcterms:modified>
  <cp:category/>
</cp:coreProperties>
</file>