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center"/>
      </w:pPr>
      <w:r>
        <w:rPr>
          <w:rFonts w:ascii="Calibri" w:hAnsi="Calibri"/>
          <w:b/>
          <w:i w:val="0"/>
          <w:color w:val="2E74B5"/>
          <w:sz w:val="22"/>
        </w:rPr>
        <w:t>AUTOMATEMEJAY</w:t>
      </w:r>
    </w:p>
    <w:p>
      <w:pPr>
        <w:spacing w:before="0" w:after="40" w:line="264" w:lineRule="auto"/>
        <w:jc w:val="center"/>
      </w:pPr>
      <w:r>
        <w:rPr>
          <w:rFonts w:ascii="Calibri" w:hAnsi="Calibri"/>
          <w:b/>
          <w:i w:val="0"/>
          <w:color w:val="101F2F"/>
          <w:sz w:val="48"/>
        </w:rPr>
        <w:t>Risk-Free First Week</w:t>
      </w:r>
    </w:p>
    <w:p>
      <w:pPr>
        <w:spacing w:before="0" w:after="240" w:line="264" w:lineRule="auto"/>
        <w:jc w:val="center"/>
      </w:pPr>
      <w:r>
        <w:rPr>
          <w:rFonts w:ascii="Calibri" w:hAnsi="Calibri"/>
          <w:b w:val="0"/>
          <w:i w:val="0"/>
          <w:color w:val="586573"/>
          <w:sz w:val="28"/>
        </w:rPr>
        <w:t>Statement of Work - Sample</w:t>
      </w:r>
    </w:p>
    <w:p>
      <w:pPr>
        <w:spacing w:before="0" w:after="280" w:line="264" w:lineRule="auto"/>
        <w:jc w:val="center"/>
      </w:pPr>
      <w:r>
        <w:rPr>
          <w:rFonts w:ascii="Calibri" w:hAnsi="Calibri"/>
          <w:b w:val="0"/>
          <w:i/>
          <w:color w:val="586573"/>
          <w:sz w:val="19"/>
        </w:rPr>
        <w:t>This is a plain-language review copy. The final agreement is completed and signed electronically at checkout.</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shd w:fill="F2F4F7"/>
          </w:tcPr>
          <w:p>
            <w:pPr>
              <w:spacing w:after="40"/>
            </w:pPr>
            <w:r>
              <w:rPr>
                <w:rFonts w:ascii="Calibri" w:hAnsi="Calibri"/>
                <w:b/>
                <w:i w:val="0"/>
                <w:color w:val="2E74B5"/>
                <w:sz w:val="16"/>
              </w:rPr>
              <w:t>SERVICE FEE</w:t>
              <w:br/>
            </w:r>
            <w:r>
              <w:rPr>
                <w:rFonts w:ascii="Calibri" w:hAnsi="Calibri"/>
                <w:b/>
                <w:i w:val="0"/>
                <w:color w:val="101F2F"/>
                <w:sz w:val="21"/>
              </w:rPr>
              <w:t>$350 paid once</w:t>
            </w:r>
          </w:p>
        </w:tc>
        <w:tc>
          <w:tcPr>
            <w:tcW w:type="dxa" w:w="4680"/>
            <w:tcMar>
              <w:top w:w="80" w:type="dxa"/>
              <w:start w:w="120" w:type="dxa"/>
              <w:bottom w:w="80" w:type="dxa"/>
              <w:end w:w="120" w:type="dxa"/>
            </w:tcMar>
            <w:shd w:fill="F2F4F7"/>
          </w:tcPr>
          <w:p>
            <w:pPr>
              <w:spacing w:after="40"/>
            </w:pPr>
            <w:r>
              <w:rPr>
                <w:rFonts w:ascii="Calibri" w:hAnsi="Calibri"/>
                <w:b/>
                <w:i w:val="0"/>
                <w:color w:val="2E74B5"/>
                <w:sz w:val="16"/>
              </w:rPr>
              <w:t>SERVICE PERIOD</w:t>
              <w:br/>
            </w:r>
            <w:r>
              <w:rPr>
                <w:rFonts w:ascii="Calibri" w:hAnsi="Calibri"/>
                <w:b/>
                <w:i w:val="0"/>
                <w:color w:val="101F2F"/>
                <w:sz w:val="21"/>
              </w:rPr>
              <w:t>Seven days after activation</w:t>
            </w:r>
          </w:p>
        </w:tc>
      </w:tr>
      <w:tr>
        <w:tc>
          <w:tcPr>
            <w:tcW w:type="dxa" w:w="4680"/>
            <w:tcMar>
              <w:top w:w="80" w:type="dxa"/>
              <w:start w:w="120" w:type="dxa"/>
              <w:bottom w:w="80" w:type="dxa"/>
              <w:end w:w="120" w:type="dxa"/>
            </w:tcMar>
            <w:shd w:fill="F2F4F7"/>
          </w:tcPr>
          <w:p>
            <w:pPr>
              <w:spacing w:after="40"/>
            </w:pPr>
            <w:r>
              <w:rPr>
                <w:rFonts w:ascii="Calibri" w:hAnsi="Calibri"/>
                <w:b/>
                <w:i w:val="0"/>
                <w:color w:val="2E74B5"/>
                <w:sz w:val="16"/>
              </w:rPr>
              <w:t>GUARANTEE</w:t>
              <w:br/>
            </w:r>
            <w:r>
              <w:rPr>
                <w:rFonts w:ascii="Calibri" w:hAnsi="Calibri"/>
                <w:b/>
                <w:i w:val="0"/>
                <w:color w:val="101F2F"/>
                <w:sz w:val="21"/>
              </w:rPr>
              <w:t>Full $350 service-fee refund</w:t>
            </w:r>
          </w:p>
        </w:tc>
        <w:tc>
          <w:tcPr>
            <w:tcW w:type="dxa" w:w="4680"/>
            <w:tcMar>
              <w:top w:w="80" w:type="dxa"/>
              <w:start w:w="120" w:type="dxa"/>
              <w:bottom w:w="80" w:type="dxa"/>
              <w:end w:w="120" w:type="dxa"/>
            </w:tcMar>
            <w:shd w:fill="F2F4F7"/>
          </w:tcPr>
          <w:p>
            <w:pPr>
              <w:spacing w:after="40"/>
            </w:pPr>
            <w:r>
              <w:rPr>
                <w:rFonts w:ascii="Calibri" w:hAnsi="Calibri"/>
                <w:b/>
                <w:i w:val="0"/>
                <w:color w:val="2E74B5"/>
                <w:sz w:val="16"/>
              </w:rPr>
              <w:t>RENEWAL</w:t>
              <w:br/>
            </w:r>
            <w:r>
              <w:rPr>
                <w:rFonts w:ascii="Calibri" w:hAnsi="Calibri"/>
                <w:b/>
                <w:i w:val="0"/>
                <w:color w:val="101F2F"/>
                <w:sz w:val="21"/>
              </w:rPr>
              <w:t>None - no automatic conversion</w:t>
            </w:r>
          </w:p>
        </w:tc>
      </w:tr>
    </w:tbl>
    <w:p>
      <w:pPr>
        <w:pStyle w:val="Heading1"/>
        <w:keepNext/>
        <w:spacing w:before="240" w:after="120"/>
      </w:pPr>
      <w:r>
        <w:rPr>
          <w:rFonts w:ascii="Calibri" w:hAnsi="Calibri"/>
          <w:b/>
          <w:i w:val="0"/>
          <w:color w:val="2E74B5"/>
          <w:sz w:val="26"/>
        </w:rPr>
        <w:t>1. What is included</w:t>
      </w:r>
    </w:p>
    <w:p>
      <w:pPr>
        <w:spacing w:before="0" w:after="120" w:line="264" w:lineRule="auto"/>
        <w:jc w:val="left"/>
      </w:pPr>
      <w:r>
        <w:rPr>
          <w:rFonts w:ascii="Calibri" w:hAnsi="Calibri"/>
          <w:b w:val="0"/>
          <w:i w:val="0"/>
          <w:color w:val="101F2F"/>
          <w:sz w:val="21"/>
        </w:rPr>
        <w:t>The Client purchases one seven-day trial period for a one-time $350 consulting fee. The period begins when Jason Sirotin, doing business as AutomateMeJay (Consultant), confirms activation after payment and intake review.</w:t>
      </w:r>
    </w:p>
    <w:p>
      <w:pPr>
        <w:pStyle w:val="ListBullet"/>
        <w:spacing w:after="100" w:line="264" w:lineRule="auto"/>
        <w:ind w:left="720" w:hanging="360"/>
      </w:pPr>
      <w:r>
        <w:rPr>
          <w:rFonts w:ascii="Calibri" w:hAnsi="Calibri"/>
          <w:b w:val="0"/>
          <w:i w:val="0"/>
          <w:color w:val="101F2F"/>
          <w:sz w:val="21"/>
        </w:rPr>
        <w:t>Approximately one hour of substantive consulting work during the trial period.</w:t>
      </w:r>
    </w:p>
    <w:p>
      <w:pPr>
        <w:pStyle w:val="ListBullet"/>
        <w:spacing w:after="100" w:line="264" w:lineRule="auto"/>
        <w:ind w:left="720" w:hanging="360"/>
      </w:pPr>
      <w:r>
        <w:rPr>
          <w:rFonts w:ascii="Calibri" w:hAnsi="Calibri"/>
          <w:b w:val="0"/>
          <w:i w:val="0"/>
          <w:color w:val="101F2F"/>
          <w:sz w:val="21"/>
        </w:rPr>
        <w:t>One actively prioritized AI automation workstream for one primary directing stakeholder.</w:t>
      </w:r>
    </w:p>
    <w:p>
      <w:pPr>
        <w:pStyle w:val="ListBullet"/>
        <w:spacing w:after="100" w:line="264" w:lineRule="auto"/>
        <w:ind w:left="720" w:hanging="360"/>
      </w:pPr>
      <w:r>
        <w:rPr>
          <w:rFonts w:ascii="Calibri" w:hAnsi="Calibri"/>
          <w:b w:val="0"/>
          <w:i w:val="0"/>
          <w:color w:val="101F2F"/>
          <w:sz w:val="21"/>
        </w:rPr>
        <w:t>A practical first result, such as a recommendation, workflow plan, prototype, configuration, fix, or initial iteration, selected to fit the available capacity.</w:t>
      </w:r>
    </w:p>
    <w:p>
      <w:pPr>
        <w:pStyle w:val="ListBullet"/>
        <w:spacing w:after="100" w:line="264" w:lineRule="auto"/>
        <w:ind w:left="720" w:hanging="360"/>
      </w:pPr>
      <w:r>
        <w:rPr>
          <w:rFonts w:ascii="Calibri" w:hAnsi="Calibri"/>
          <w:b w:val="0"/>
          <w:i w:val="0"/>
          <w:color w:val="101F2F"/>
          <w:sz w:val="21"/>
        </w:rPr>
        <w:t>Reasonable asynchronous communication about the active workstream.</w:t>
      </w:r>
    </w:p>
    <w:p>
      <w:pPr>
        <w:pStyle w:val="ListBullet"/>
        <w:spacing w:after="100" w:line="264" w:lineRule="auto"/>
        <w:ind w:left="720" w:hanging="360"/>
      </w:pPr>
      <w:r>
        <w:rPr>
          <w:rFonts w:ascii="Calibri" w:hAnsi="Calibri"/>
          <w:b w:val="0"/>
          <w:i w:val="0"/>
          <w:color w:val="101F2F"/>
          <w:sz w:val="21"/>
        </w:rPr>
        <w:t>A full refund of the $350 consulting service fee when requested before the seven-day guarantee period ends. Approved third-party costs are not part of the guarantee.</w:t>
      </w:r>
    </w:p>
    <w:p>
      <w:pPr>
        <w:pStyle w:val="ListBullet"/>
        <w:spacing w:after="100" w:line="264" w:lineRule="auto"/>
        <w:ind w:left="720" w:hanging="360"/>
      </w:pPr>
      <w:r>
        <w:rPr>
          <w:rFonts w:ascii="Calibri" w:hAnsi="Calibri"/>
          <w:b w:val="0"/>
          <w:i w:val="0"/>
          <w:color w:val="101F2F"/>
          <w:sz w:val="21"/>
        </w:rPr>
        <w:t>No automatic renewal or conversion. Work pauses after the trial unless the Client chooses another plan.</w:t>
      </w:r>
    </w:p>
    <w:p>
      <w:pPr>
        <w:pStyle w:val="Heading1"/>
        <w:keepNext/>
        <w:spacing w:before="240" w:after="120"/>
      </w:pPr>
      <w:r>
        <w:rPr>
          <w:rFonts w:ascii="Calibri" w:hAnsi="Calibri"/>
          <w:b/>
          <w:i w:val="0"/>
          <w:color w:val="2E74B5"/>
          <w:sz w:val="26"/>
        </w:rPr>
        <w:t>2. What the client provides</w:t>
      </w:r>
    </w:p>
    <w:p>
      <w:pPr>
        <w:pStyle w:val="ListBullet"/>
        <w:spacing w:after="100" w:line="264" w:lineRule="auto"/>
        <w:ind w:left="720" w:hanging="360"/>
      </w:pPr>
      <w:r>
        <w:rPr>
          <w:rFonts w:ascii="Calibri" w:hAnsi="Calibri"/>
          <w:b w:val="0"/>
          <w:i w:val="0"/>
          <w:color w:val="101F2F"/>
          <w:sz w:val="21"/>
        </w:rPr>
        <w:t>One primary person to set priorities, answer questions, and approve the work.</w:t>
      </w:r>
    </w:p>
    <w:p>
      <w:pPr>
        <w:pStyle w:val="ListBullet"/>
        <w:spacing w:after="100" w:line="264" w:lineRule="auto"/>
        <w:ind w:left="720" w:hanging="360"/>
      </w:pPr>
      <w:r>
        <w:rPr>
          <w:rFonts w:ascii="Calibri" w:hAnsi="Calibri"/>
          <w:b w:val="0"/>
          <w:i w:val="0"/>
          <w:color w:val="101F2F"/>
          <w:sz w:val="21"/>
        </w:rPr>
        <w:t>Timely access, accurate information, test data, and feedback reasonably needed for the active workstream.</w:t>
      </w:r>
    </w:p>
    <w:p>
      <w:pPr>
        <w:pStyle w:val="ListBullet"/>
        <w:spacing w:after="100" w:line="264" w:lineRule="auto"/>
        <w:ind w:left="720" w:hanging="360"/>
      </w:pPr>
      <w:r>
        <w:rPr>
          <w:rFonts w:ascii="Calibri" w:hAnsi="Calibri"/>
          <w:b w:val="0"/>
          <w:i w:val="0"/>
          <w:color w:val="101F2F"/>
          <w:sz w:val="21"/>
        </w:rPr>
        <w:t>Testing and approval before production use, plus appropriate backups, permissions, and human oversight.</w:t>
      </w:r>
    </w:p>
    <w:p>
      <w:r>
        <w:br w:type="page"/>
      </w:r>
    </w:p>
    <w:p>
      <w:pPr>
        <w:pStyle w:val="Heading1"/>
        <w:keepNext/>
        <w:spacing w:before="240" w:after="120"/>
      </w:pPr>
      <w:r>
        <w:rPr>
          <w:rFonts w:ascii="Calibri" w:hAnsi="Calibri"/>
          <w:b/>
          <w:i w:val="0"/>
          <w:color w:val="2E74B5"/>
          <w:sz w:val="26"/>
        </w:rPr>
        <w:t>3. Costs and ownership</w:t>
      </w:r>
    </w:p>
    <w:p>
      <w:pPr>
        <w:spacing w:before="0" w:after="120" w:line="264" w:lineRule="auto"/>
        <w:jc w:val="left"/>
      </w:pPr>
      <w:r>
        <w:rPr>
          <w:rFonts w:ascii="Calibri" w:hAnsi="Calibri"/>
          <w:b w:val="0"/>
          <w:i w:val="0"/>
          <w:color w:val="101F2F"/>
          <w:sz w:val="21"/>
        </w:rPr>
        <w:t>Third-party services are not included in the consulting fee and require Client approval. The Client should own and pay each provider account directly. If Consultant is asked to purchase or manage an approved third-party service, the provider cost plus a 25% convenience charge applies.</w:t>
      </w:r>
    </w:p>
    <w:p>
      <w:pPr>
        <w:spacing w:before="0" w:after="120" w:line="264" w:lineRule="auto"/>
        <w:jc w:val="left"/>
      </w:pPr>
      <w:r>
        <w:rPr>
          <w:rFonts w:ascii="Calibri" w:hAnsi="Calibri"/>
          <w:b w:val="0"/>
          <w:i w:val="0"/>
          <w:color w:val="101F2F"/>
          <w:sz w:val="21"/>
        </w:rPr>
        <w:t>After full payment, the Client owns its data and custom final deliverables. Consultant retains pre-existing tools, reusable components, templates, methods, prompts, frameworks, and general know-how.</w:t>
      </w:r>
    </w:p>
    <w:p>
      <w:pPr>
        <w:pStyle w:val="Heading1"/>
        <w:keepNext/>
        <w:spacing w:before="240" w:after="120"/>
      </w:pPr>
      <w:r>
        <w:rPr>
          <w:rFonts w:ascii="Calibri" w:hAnsi="Calibri"/>
          <w:b/>
          <w:i w:val="0"/>
          <w:color w:val="2E74B5"/>
          <w:sz w:val="26"/>
        </w:rPr>
        <w:t>4. Agreement</w:t>
      </w:r>
    </w:p>
    <w:p>
      <w:pPr>
        <w:spacing w:before="0" w:after="120" w:line="264" w:lineRule="auto"/>
        <w:jc w:val="left"/>
      </w:pPr>
      <w:r>
        <w:rPr>
          <w:rFonts w:ascii="Calibri" w:hAnsi="Calibri"/>
          <w:b w:val="0"/>
          <w:i w:val="0"/>
          <w:color w:val="101F2F"/>
          <w:sz w:val="21"/>
        </w:rPr>
        <w:t>AI and automation work requires testing and can be affected by the Client's systems, data, decisions, and third-party services. Consultant does not promise a particular business result or error-free operation. The Client remains responsible for lawful use and production decisions.</w:t>
      </w:r>
    </w:p>
    <w:p>
      <w:pPr>
        <w:spacing w:before="0" w:after="120" w:line="264" w:lineRule="auto"/>
        <w:jc w:val="left"/>
      </w:pPr>
      <w:r>
        <w:rPr>
          <w:rFonts w:ascii="Calibri" w:hAnsi="Calibri"/>
          <w:b w:val="0"/>
          <w:i w:val="0"/>
          <w:color w:val="101F2F"/>
          <w:sz w:val="21"/>
        </w:rPr>
        <w:t>This SOW supplements the Terms and Consulting Agreement, Privacy Policy, and Data and Security Notice. Typed names and electronic signature records are intended as signatures. If this SOW conflicts with the Terms, this SOW controls only for the plan, scope, fee, service period, and cancellation terms stated here.</w:t>
      </w:r>
    </w:p>
    <w:p>
      <w:pPr>
        <w:pStyle w:val="Heading1"/>
        <w:keepNext/>
        <w:spacing w:before="240" w:after="120"/>
      </w:pPr>
      <w:r>
        <w:rPr>
          <w:rFonts w:ascii="Calibri" w:hAnsi="Calibri"/>
          <w:b/>
          <w:i w:val="0"/>
          <w:color w:val="2E74B5"/>
          <w:sz w:val="26"/>
        </w:rPr>
        <w:t>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top"/>
            <w:shd w:fill="FFFFFF"/>
          </w:tcPr>
          <w:p>
            <w:pPr>
              <w:spacing w:after="360"/>
            </w:pPr>
            <w:r>
              <w:rPr>
                <w:rFonts w:ascii="Calibri" w:hAnsi="Calibri"/>
                <w:b/>
                <w:i w:val="0"/>
                <w:color w:val="2E74B5"/>
                <w:sz w:val="17"/>
              </w:rPr>
              <w:t>CLIENT</w:t>
            </w:r>
          </w:p>
          <w:p>
            <w:pPr>
              <w:spacing w:after="80"/>
            </w:pPr>
            <w:r>
              <w:rPr>
                <w:rFonts w:ascii="Calibri" w:hAnsi="Calibri"/>
                <w:b w:val="0"/>
                <w:i w:val="0"/>
                <w:color w:val="586573"/>
                <w:sz w:val="20"/>
              </w:rPr>
              <w:t>________________________________</w:t>
            </w:r>
          </w:p>
          <w:p>
            <w:pPr>
              <w:spacing w:after="60"/>
            </w:pPr>
            <w:r>
              <w:rPr>
                <w:rFonts w:ascii="Calibri" w:hAnsi="Calibri"/>
                <w:b/>
                <w:i w:val="0"/>
                <w:color w:val="101F2F"/>
                <w:sz w:val="19"/>
              </w:rPr>
              <w:t>Client name</w:t>
            </w:r>
          </w:p>
          <w:p>
            <w:pPr>
              <w:spacing w:after="60"/>
            </w:pPr>
            <w:r>
              <w:rPr>
                <w:rFonts w:ascii="Calibri" w:hAnsi="Calibri"/>
                <w:b w:val="0"/>
                <w:i w:val="0"/>
                <w:color w:val="586573"/>
                <w:sz w:val="19"/>
              </w:rPr>
              <w:t>Title / Company</w:t>
            </w:r>
          </w:p>
          <w:p>
            <w:pPr>
              <w:spacing w:after="60"/>
            </w:pPr>
            <w:r>
              <w:rPr>
                <w:rFonts w:ascii="Calibri" w:hAnsi="Calibri"/>
                <w:b w:val="0"/>
                <w:i w:val="0"/>
                <w:color w:val="586573"/>
                <w:sz w:val="19"/>
              </w:rPr>
              <w:t>Date: __________________________</w:t>
            </w:r>
          </w:p>
        </w:tc>
        <w:tc>
          <w:tcPr>
            <w:tcW w:type="dxa" w:w="4680"/>
            <w:tcMar>
              <w:top w:w="80" w:type="dxa"/>
              <w:start w:w="120" w:type="dxa"/>
              <w:bottom w:w="80" w:type="dxa"/>
              <w:end w:w="120" w:type="dxa"/>
            </w:tcMar>
            <w:vAlign w:val="top"/>
            <w:shd w:fill="FFFFFF"/>
          </w:tcPr>
          <w:p>
            <w:pPr>
              <w:spacing w:after="360"/>
            </w:pPr>
            <w:r>
              <w:rPr>
                <w:rFonts w:ascii="Calibri" w:hAnsi="Calibri"/>
                <w:b/>
                <w:i w:val="0"/>
                <w:color w:val="2E74B5"/>
                <w:sz w:val="17"/>
              </w:rPr>
              <w:t>CONSULTANT</w:t>
            </w:r>
          </w:p>
          <w:p>
            <w:pPr>
              <w:spacing w:after="80"/>
            </w:pPr>
            <w:r>
              <w:rPr>
                <w:rFonts w:ascii="Calibri" w:hAnsi="Calibri"/>
                <w:b w:val="0"/>
                <w:i w:val="0"/>
                <w:color w:val="586573"/>
                <w:sz w:val="20"/>
              </w:rPr>
              <w:t>________________________________</w:t>
            </w:r>
          </w:p>
          <w:p>
            <w:pPr>
              <w:spacing w:after="60"/>
            </w:pPr>
            <w:r>
              <w:rPr>
                <w:rFonts w:ascii="Calibri" w:hAnsi="Calibri"/>
                <w:b/>
                <w:i w:val="0"/>
                <w:color w:val="101F2F"/>
                <w:sz w:val="19"/>
              </w:rPr>
              <w:t>Jason Sirotin</w:t>
            </w:r>
          </w:p>
          <w:p>
            <w:pPr>
              <w:spacing w:after="60"/>
            </w:pPr>
            <w:r>
              <w:rPr>
                <w:rFonts w:ascii="Calibri" w:hAnsi="Calibri"/>
                <w:b w:val="0"/>
                <w:i w:val="0"/>
                <w:color w:val="586573"/>
                <w:sz w:val="19"/>
              </w:rPr>
              <w:t>AutomateMeJay</w:t>
            </w:r>
          </w:p>
          <w:p>
            <w:pPr>
              <w:spacing w:after="60"/>
            </w:pPr>
            <w:r>
              <w:rPr>
                <w:rFonts w:ascii="Calibri" w:hAnsi="Calibri"/>
                <w:b w:val="0"/>
                <w:i w:val="0"/>
                <w:color w:val="586573"/>
                <w:sz w:val="19"/>
              </w:rPr>
              <w:t>Date: __________________________</w:t>
            </w:r>
          </w:p>
        </w:tc>
      </w:tr>
    </w:tbl>
    <w:sectPr>
      <w:headerReference w:type="default" r:id="rId9"/>
      <w:footerReference w:type="default" r:id="rId10"/>
      <w:pgSz w:w="12240" w:h="15840"/>
      <w:pgMar w:top="936" w:right="1440" w:bottom="936"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86573"/>
        <w:sz w:val="16"/>
      </w:rPr>
      <w:t>hello@automatemejay.com  |  678-855-5169  |  automatemejay.com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i w:val="0"/>
        <w:color w:val="586573"/>
        <w:sz w:val="17"/>
      </w:rPr>
      <w:t>AUTOMATEMEJAY  |  SAMPLE FOR CLIENT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AutomateMeJay Risk-Free First Week Statement of Work - Sample</dc:title>
  <dc:subject>Plain-language sample statement of work for client review</dc:subject>
  <dc:creator/>
  <cp:keywords>AutomateMeJay, statement of work, risk-free first week</cp:keywords>
  <dc:description>generated by python-docx</dc:description>
  <cp:lastModifiedBy/>
  <cp:revision>1</cp:revision>
  <dcterms:created xsi:type="dcterms:W3CDTF">2013-12-23T23:15:00Z</dcterms:created>
  <dcterms:modified xsi:type="dcterms:W3CDTF">2013-12-23T23:15:00Z</dcterms:modified>
  <cp:category/>
</cp:coreProperties>
</file>