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center"/>
      </w:pPr>
      <w:r>
        <w:rPr>
          <w:rFonts w:ascii="Calibri" w:hAnsi="Calibri"/>
          <w:b/>
          <w:i w:val="0"/>
          <w:color w:val="2E74B5"/>
          <w:sz w:val="22"/>
        </w:rPr>
        <w:t>AUTOMATEMEJAY</w:t>
      </w:r>
    </w:p>
    <w:p>
      <w:pPr>
        <w:spacing w:before="0" w:after="40" w:line="264" w:lineRule="auto"/>
        <w:jc w:val="center"/>
      </w:pPr>
      <w:r>
        <w:rPr>
          <w:rFonts w:ascii="Calibri" w:hAnsi="Calibri"/>
          <w:b/>
          <w:i w:val="0"/>
          <w:color w:val="101F2F"/>
          <w:sz w:val="48"/>
        </w:rPr>
        <w:t>Monthly AI Automation Partner</w:t>
      </w:r>
    </w:p>
    <w:p>
      <w:pPr>
        <w:spacing w:before="0" w:after="240" w:line="264" w:lineRule="auto"/>
        <w:jc w:val="center"/>
      </w:pPr>
      <w:r>
        <w:rPr>
          <w:rFonts w:ascii="Calibri" w:hAnsi="Calibri"/>
          <w:b w:val="0"/>
          <w:i w:val="0"/>
          <w:color w:val="586573"/>
          <w:sz w:val="28"/>
        </w:rPr>
        <w:t>Statement of Work - Sample</w:t>
      </w:r>
    </w:p>
    <w:p>
      <w:pPr>
        <w:spacing w:before="0" w:after="280" w:line="264" w:lineRule="auto"/>
        <w:jc w:val="center"/>
      </w:pPr>
      <w:r>
        <w:rPr>
          <w:rFonts w:ascii="Calibri" w:hAnsi="Calibri"/>
          <w:b w:val="0"/>
          <w:i/>
          <w:color w:val="586573"/>
          <w:sz w:val="19"/>
        </w:rPr>
        <w:t>A plain-language review copy. The final agreement is completed and signed electronically at checkout.</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2F4F7"/>
          </w:tcPr>
          <w:p>
            <w:pPr>
              <w:spacing w:after="40"/>
            </w:pPr>
            <w:r>
              <w:rPr>
                <w:rFonts w:ascii="Calibri" w:hAnsi="Calibri"/>
                <w:b/>
                <w:i w:val="0"/>
                <w:color w:val="2E74B5"/>
                <w:sz w:val="16"/>
              </w:rPr>
              <w:t>SERVICE FEE</w:t>
              <w:br/>
            </w:r>
            <w:r>
              <w:rPr>
                <w:rFonts w:ascii="Calibri" w:hAnsi="Calibri"/>
                <w:b/>
                <w:i w:val="0"/>
                <w:color w:val="101F2F"/>
                <w:sz w:val="21"/>
              </w:rPr>
              <w:t>$1,000 paid in advance</w:t>
            </w:r>
          </w:p>
        </w:tc>
        <w:tc>
          <w:tcPr>
            <w:tcW w:type="dxa" w:w="4680"/>
            <w:tcMar>
              <w:top w:w="80" w:type="dxa"/>
              <w:start w:w="120" w:type="dxa"/>
              <w:bottom w:w="80" w:type="dxa"/>
              <w:end w:w="120" w:type="dxa"/>
            </w:tcMar>
            <w:shd w:fill="F2F4F7"/>
          </w:tcPr>
          <w:p>
            <w:pPr>
              <w:spacing w:after="40"/>
            </w:pPr>
            <w:r>
              <w:rPr>
                <w:rFonts w:ascii="Calibri" w:hAnsi="Calibri"/>
                <w:b/>
                <w:i w:val="0"/>
                <w:color w:val="2E74B5"/>
                <w:sz w:val="16"/>
              </w:rPr>
              <w:t>SERVICE PERIOD</w:t>
              <w:br/>
            </w:r>
            <w:r>
              <w:rPr>
                <w:rFonts w:ascii="Calibri" w:hAnsi="Calibri"/>
                <w:b/>
                <w:i w:val="0"/>
                <w:color w:val="101F2F"/>
                <w:sz w:val="21"/>
              </w:rPr>
              <w:t>30 days</w:t>
            </w:r>
          </w:p>
        </w:tc>
      </w:tr>
      <w:tr>
        <w:tc>
          <w:tcPr>
            <w:tcW w:type="dxa" w:w="4680"/>
            <w:tcMar>
              <w:top w:w="80" w:type="dxa"/>
              <w:start w:w="120" w:type="dxa"/>
              <w:bottom w:w="80" w:type="dxa"/>
              <w:end w:w="120" w:type="dxa"/>
            </w:tcMar>
            <w:shd w:fill="F2F4F7"/>
          </w:tcPr>
          <w:p>
            <w:pPr>
              <w:spacing w:after="40"/>
            </w:pPr>
            <w:r>
              <w:rPr>
                <w:rFonts w:ascii="Calibri" w:hAnsi="Calibri"/>
                <w:b/>
                <w:i w:val="0"/>
                <w:color w:val="2E74B5"/>
                <w:sz w:val="16"/>
              </w:rPr>
              <w:t>RENEWAL</w:t>
              <w:br/>
            </w:r>
            <w:r>
              <w:rPr>
                <w:rFonts w:ascii="Calibri" w:hAnsi="Calibri"/>
                <w:b/>
                <w:i w:val="0"/>
                <w:color w:val="101F2F"/>
                <w:sz w:val="21"/>
              </w:rPr>
              <w:t>Automatic every 30 days</w:t>
            </w:r>
          </w:p>
        </w:tc>
        <w:tc>
          <w:tcPr>
            <w:tcW w:type="dxa" w:w="4680"/>
            <w:tcMar>
              <w:top w:w="80" w:type="dxa"/>
              <w:start w:w="120" w:type="dxa"/>
              <w:bottom w:w="80" w:type="dxa"/>
              <w:end w:w="120" w:type="dxa"/>
            </w:tcMar>
            <w:shd w:fill="F2F4F7"/>
          </w:tcPr>
          <w:p>
            <w:pPr>
              <w:spacing w:after="40"/>
            </w:pPr>
            <w:r>
              <w:rPr>
                <w:rFonts w:ascii="Calibri" w:hAnsi="Calibri"/>
                <w:b/>
                <w:i w:val="0"/>
                <w:color w:val="2E74B5"/>
                <w:sz w:val="16"/>
              </w:rPr>
              <w:t>CANCELLATION</w:t>
              <w:br/>
            </w:r>
            <w:r>
              <w:rPr>
                <w:rFonts w:ascii="Calibri" w:hAnsi="Calibri"/>
                <w:b/>
                <w:i w:val="0"/>
                <w:color w:val="101F2F"/>
                <w:sz w:val="21"/>
              </w:rPr>
              <w:t>Anytime; stops next renewal</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EEF5"/>
          </w:tcPr>
          <w:p>
            <w:pPr>
              <w:spacing w:after="0"/>
            </w:pPr>
            <w:r>
              <w:rPr>
                <w:rFonts w:ascii="Calibri" w:hAnsi="Calibri"/>
                <w:b/>
                <w:i w:val="0"/>
                <w:color w:val="2E74B5"/>
                <w:sz w:val="18"/>
              </w:rPr>
              <w:t xml:space="preserve">CANCEL AFTER THE FIRST WEEK?  </w:t>
            </w:r>
            <w:r>
              <w:rPr>
                <w:rFonts w:ascii="Calibri" w:hAnsi="Calibri"/>
                <w:b/>
                <w:i w:val="0"/>
                <w:color w:val="101F2F"/>
                <w:sz w:val="21"/>
              </w:rPr>
              <w:t>Yes. The next renewal stops. The current $1,000 is not prorated or refunded, and service continues through day 30.</w:t>
            </w:r>
          </w:p>
        </w:tc>
      </w:tr>
    </w:tbl>
    <w:p>
      <w:pPr>
        <w:pStyle w:val="Heading1"/>
        <w:keepNext/>
        <w:spacing w:before="240" w:after="120"/>
      </w:pPr>
      <w:r>
        <w:rPr>
          <w:rFonts w:ascii="Calibri" w:hAnsi="Calibri"/>
          <w:b/>
          <w:i w:val="0"/>
          <w:color w:val="2E74B5"/>
          <w:sz w:val="26"/>
        </w:rPr>
        <w:t>1. What is included</w:t>
      </w:r>
    </w:p>
    <w:p>
      <w:pPr>
        <w:spacing w:before="0" w:after="120" w:line="264" w:lineRule="auto"/>
        <w:jc w:val="left"/>
      </w:pPr>
      <w:r>
        <w:rPr>
          <w:rFonts w:ascii="Calibri" w:hAnsi="Calibri"/>
          <w:b w:val="0"/>
          <w:i w:val="0"/>
          <w:color w:val="101F2F"/>
          <w:sz w:val="21"/>
        </w:rPr>
        <w:t>The Client purchases ongoing service for $1,000 per 30-day billing period. The plan renews automatically every 30 days until canceled.</w:t>
      </w:r>
    </w:p>
    <w:p>
      <w:pPr>
        <w:pStyle w:val="ListBullet"/>
        <w:spacing w:after="100" w:line="264" w:lineRule="auto"/>
        <w:ind w:left="720" w:hanging="360"/>
      </w:pPr>
      <w:r>
        <w:rPr>
          <w:rFonts w:ascii="Calibri" w:hAnsi="Calibri"/>
          <w:b w:val="0"/>
          <w:i w:val="0"/>
          <w:color w:val="101F2F"/>
          <w:sz w:val="21"/>
        </w:rPr>
        <w:t>Approximately four hours of substantive consulting work during each paid 30-day period, generally delivered through a weekly cadence.</w:t>
      </w:r>
    </w:p>
    <w:p>
      <w:pPr>
        <w:pStyle w:val="ListBullet"/>
        <w:spacing w:after="100" w:line="264" w:lineRule="auto"/>
        <w:ind w:left="720" w:hanging="360"/>
      </w:pPr>
      <w:r>
        <w:rPr>
          <w:rFonts w:ascii="Calibri" w:hAnsi="Calibri"/>
          <w:b w:val="0"/>
          <w:i w:val="0"/>
          <w:color w:val="101F2F"/>
          <w:sz w:val="21"/>
        </w:rPr>
        <w:t>One actively prioritized AI automation workstream for one primary directing stakeholder.</w:t>
      </w:r>
    </w:p>
    <w:p>
      <w:pPr>
        <w:pStyle w:val="ListBullet"/>
        <w:spacing w:after="100" w:line="264" w:lineRule="auto"/>
        <w:ind w:left="720" w:hanging="360"/>
      </w:pPr>
      <w:r>
        <w:rPr>
          <w:rFonts w:ascii="Calibri" w:hAnsi="Calibri"/>
          <w:b w:val="0"/>
          <w:i w:val="0"/>
          <w:color w:val="101F2F"/>
          <w:sz w:val="21"/>
        </w:rPr>
        <w:t>Reasonable asynchronous communication about the active workstream.</w:t>
      </w:r>
    </w:p>
    <w:p>
      <w:pPr>
        <w:pStyle w:val="ListBullet"/>
        <w:spacing w:after="100" w:line="264" w:lineRule="auto"/>
        <w:ind w:left="720" w:hanging="360"/>
      </w:pPr>
      <w:r>
        <w:rPr>
          <w:rFonts w:ascii="Calibri" w:hAnsi="Calibri"/>
          <w:b w:val="0"/>
          <w:i w:val="0"/>
          <w:color w:val="101F2F"/>
          <w:sz w:val="21"/>
        </w:rPr>
        <w:t>Cancellation at any time through the membership billing portal, including during the first week. Cancellation stops the next renewal, and service continues through the current paid 30-day period.</w:t>
      </w:r>
    </w:p>
    <w:p>
      <w:pPr>
        <w:pStyle w:val="ListBullet"/>
        <w:spacing w:after="100" w:line="264" w:lineRule="auto"/>
        <w:ind w:left="720" w:hanging="360"/>
      </w:pPr>
      <w:r>
        <w:rPr>
          <w:rFonts w:ascii="Calibri" w:hAnsi="Calibri"/>
          <w:b w:val="0"/>
          <w:i w:val="0"/>
          <w:color w:val="101F2F"/>
          <w:sz w:val="21"/>
        </w:rPr>
        <w:t>The current $1,000 payment is not prorated or refunded because of cancellation, except where required by law.</w:t>
      </w:r>
    </w:p>
    <w:p>
      <w:pPr>
        <w:pStyle w:val="ListBullet"/>
        <w:spacing w:after="100" w:line="264" w:lineRule="auto"/>
        <w:ind w:left="720" w:hanging="360"/>
      </w:pPr>
      <w:r>
        <w:rPr>
          <w:rFonts w:ascii="Calibri" w:hAnsi="Calibri"/>
          <w:b w:val="0"/>
          <w:i w:val="0"/>
          <w:color w:val="101F2F"/>
          <w:sz w:val="21"/>
        </w:rPr>
        <w:t>Unused capacity does not roll over. Additional workstreams or material additions require a separately approved quote or SOW.</w:t>
      </w:r>
    </w:p>
    <w:p>
      <w:r>
        <w:br w:type="page"/>
      </w:r>
    </w:p>
    <w:p>
      <w:pPr>
        <w:pStyle w:val="Heading1"/>
        <w:keepNext/>
        <w:spacing w:before="240" w:after="120"/>
      </w:pPr>
      <w:r>
        <w:rPr>
          <w:rFonts w:ascii="Calibri" w:hAnsi="Calibri"/>
          <w:b/>
          <w:i w:val="0"/>
          <w:color w:val="2E74B5"/>
          <w:sz w:val="26"/>
        </w:rPr>
        <w:t>2. What is not included</w:t>
      </w:r>
    </w:p>
    <w:p>
      <w:pPr>
        <w:pStyle w:val="ListBullet"/>
        <w:spacing w:after="100" w:line="264" w:lineRule="auto"/>
        <w:ind w:left="720" w:hanging="360"/>
      </w:pPr>
      <w:r>
        <w:rPr>
          <w:rFonts w:ascii="Calibri" w:hAnsi="Calibri"/>
          <w:b w:val="0"/>
          <w:i w:val="0"/>
          <w:color w:val="101F2F"/>
          <w:sz w:val="21"/>
        </w:rPr>
        <w:t>Emergency, on-call, 24/7, or guaranteed immediate support.</w:t>
      </w:r>
    </w:p>
    <w:p>
      <w:pPr>
        <w:pStyle w:val="ListBullet"/>
        <w:spacing w:after="100" w:line="264" w:lineRule="auto"/>
        <w:ind w:left="720" w:hanging="360"/>
      </w:pPr>
      <w:r>
        <w:rPr>
          <w:rFonts w:ascii="Calibri" w:hAnsi="Calibri"/>
          <w:b w:val="0"/>
          <w:i w:val="0"/>
          <w:color w:val="101F2F"/>
          <w:sz w:val="21"/>
        </w:rPr>
        <w:t>Continuous production monitoring, unconditional maintenance, or a promise that third-party systems will remain available.</w:t>
      </w:r>
    </w:p>
    <w:p>
      <w:pPr>
        <w:pStyle w:val="ListBullet"/>
        <w:spacing w:after="100" w:line="264" w:lineRule="auto"/>
        <w:ind w:left="720" w:hanging="360"/>
      </w:pPr>
      <w:r>
        <w:rPr>
          <w:rFonts w:ascii="Calibri" w:hAnsi="Calibri"/>
          <w:b w:val="0"/>
          <w:i w:val="0"/>
          <w:color w:val="101F2F"/>
          <w:sz w:val="21"/>
        </w:rPr>
        <w:t>Routine scheduled meetings unless the parties agree one is needed for the active workstream.</w:t>
      </w:r>
    </w:p>
    <w:p>
      <w:pPr>
        <w:pStyle w:val="ListBullet"/>
        <w:spacing w:after="100" w:line="264" w:lineRule="auto"/>
        <w:ind w:left="720" w:hanging="360"/>
      </w:pPr>
      <w:r>
        <w:rPr>
          <w:rFonts w:ascii="Calibri" w:hAnsi="Calibri"/>
          <w:b w:val="0"/>
          <w:i w:val="0"/>
          <w:color w:val="101F2F"/>
          <w:sz w:val="21"/>
        </w:rPr>
        <w:t>A second simultaneous workstream or more than one person directing priorities.</w:t>
      </w:r>
    </w:p>
    <w:p>
      <w:pPr>
        <w:pStyle w:val="ListBullet"/>
        <w:spacing w:after="100" w:line="264" w:lineRule="auto"/>
        <w:ind w:left="720" w:hanging="360"/>
      </w:pPr>
      <w:r>
        <w:rPr>
          <w:rFonts w:ascii="Calibri" w:hAnsi="Calibri"/>
          <w:b w:val="0"/>
          <w:i w:val="0"/>
          <w:color w:val="101F2F"/>
          <w:sz w:val="21"/>
        </w:rPr>
        <w:t>Hosting, databases, domains, APIs, software, storage, messaging, or other third-party provider charges.</w:t>
      </w:r>
    </w:p>
    <w:p>
      <w:pPr>
        <w:pStyle w:val="ListBullet"/>
        <w:spacing w:after="100" w:line="264" w:lineRule="auto"/>
        <w:ind w:left="720" w:hanging="360"/>
      </w:pPr>
      <w:r>
        <w:rPr>
          <w:rFonts w:ascii="Calibri" w:hAnsi="Calibri"/>
          <w:b w:val="0"/>
          <w:i w:val="0"/>
          <w:color w:val="101F2F"/>
          <w:sz w:val="21"/>
        </w:rPr>
        <w:t>Work involving regulated or highly sensitive information unless appropriate safeguards and written scope are approved first.</w:t>
      </w:r>
    </w:p>
    <w:p>
      <w:pPr>
        <w:pStyle w:val="ListBullet"/>
        <w:spacing w:after="100" w:line="264" w:lineRule="auto"/>
        <w:ind w:left="720" w:hanging="360"/>
      </w:pPr>
      <w:r>
        <w:rPr>
          <w:rFonts w:ascii="Calibri" w:hAnsi="Calibri"/>
          <w:b w:val="0"/>
          <w:i w:val="0"/>
          <w:color w:val="101F2F"/>
          <w:sz w:val="21"/>
        </w:rPr>
        <w:t>A guaranteed revenue, savings, ranking, business, or error-free technical outcome.</w:t>
      </w:r>
    </w:p>
    <w:p>
      <w:pPr>
        <w:pStyle w:val="Heading1"/>
        <w:keepNext/>
        <w:spacing w:before="240" w:after="120"/>
      </w:pPr>
      <w:r>
        <w:rPr>
          <w:rFonts w:ascii="Calibri" w:hAnsi="Calibri"/>
          <w:b/>
          <w:i w:val="0"/>
          <w:color w:val="2E74B5"/>
          <w:sz w:val="26"/>
        </w:rPr>
        <w:t>3. What the client provides</w:t>
      </w:r>
    </w:p>
    <w:p>
      <w:pPr>
        <w:pStyle w:val="ListBullet"/>
        <w:spacing w:after="100" w:line="264" w:lineRule="auto"/>
        <w:ind w:left="720" w:hanging="360"/>
      </w:pPr>
      <w:r>
        <w:rPr>
          <w:rFonts w:ascii="Calibri" w:hAnsi="Calibri"/>
          <w:b w:val="0"/>
          <w:i w:val="0"/>
          <w:color w:val="101F2F"/>
          <w:sz w:val="21"/>
        </w:rPr>
        <w:t>One primary person to set priorities, answer questions, and approve the work.</w:t>
      </w:r>
    </w:p>
    <w:p>
      <w:pPr>
        <w:pStyle w:val="ListBullet"/>
        <w:spacing w:after="100" w:line="264" w:lineRule="auto"/>
        <w:ind w:left="720" w:hanging="360"/>
      </w:pPr>
      <w:r>
        <w:rPr>
          <w:rFonts w:ascii="Calibri" w:hAnsi="Calibri"/>
          <w:b w:val="0"/>
          <w:i w:val="0"/>
          <w:color w:val="101F2F"/>
          <w:sz w:val="21"/>
        </w:rPr>
        <w:t>Timely access, accurate information, test data, and feedback reasonably needed for the active workstream.</w:t>
      </w:r>
    </w:p>
    <w:p>
      <w:pPr>
        <w:pStyle w:val="ListBullet"/>
        <w:spacing w:after="100" w:line="264" w:lineRule="auto"/>
        <w:ind w:left="720" w:hanging="360"/>
      </w:pPr>
      <w:r>
        <w:rPr>
          <w:rFonts w:ascii="Calibri" w:hAnsi="Calibri"/>
          <w:b w:val="0"/>
          <w:i w:val="0"/>
          <w:color w:val="101F2F"/>
          <w:sz w:val="21"/>
        </w:rPr>
        <w:t>Testing and approval before production use, plus appropriate backups, permissions, and human oversight.</w:t>
      </w:r>
    </w:p>
    <w:p>
      <w:pPr>
        <w:pStyle w:val="Heading1"/>
        <w:keepNext/>
        <w:spacing w:before="240" w:after="120"/>
      </w:pPr>
      <w:r>
        <w:rPr>
          <w:rFonts w:ascii="Calibri" w:hAnsi="Calibri"/>
          <w:b/>
          <w:i w:val="0"/>
          <w:color w:val="2E74B5"/>
          <w:sz w:val="26"/>
        </w:rPr>
        <w:t>4. Costs and ownership</w:t>
      </w:r>
    </w:p>
    <w:p>
      <w:pPr>
        <w:spacing w:before="0" w:after="120" w:line="264" w:lineRule="auto"/>
        <w:jc w:val="left"/>
      </w:pPr>
      <w:r>
        <w:rPr>
          <w:rFonts w:ascii="Calibri" w:hAnsi="Calibri"/>
          <w:b w:val="0"/>
          <w:i w:val="0"/>
          <w:color w:val="101F2F"/>
          <w:sz w:val="21"/>
        </w:rPr>
        <w:t>Hosting, databases, domains, APIs, software, storage, messaging, and other third-party charges are not included and require Client approval. The Client should own and pay each provider directly. If Consultant is asked to purchase, pay for, or administratively manage an approved third-party service, the provider cost plus a 25% convenience charge applies.</w:t>
      </w:r>
    </w:p>
    <w:p>
      <w:pPr>
        <w:spacing w:before="0" w:after="120" w:line="264" w:lineRule="auto"/>
        <w:jc w:val="left"/>
      </w:pPr>
      <w:r>
        <w:rPr>
          <w:rFonts w:ascii="Calibri" w:hAnsi="Calibri"/>
          <w:b w:val="0"/>
          <w:i w:val="0"/>
          <w:color w:val="101F2F"/>
          <w:sz w:val="21"/>
        </w:rPr>
        <w:t>After full payment, the Client owns its data and custom final deliverables. Consultant retains pre-existing tools, reusable components, templates, methods, prompts, frameworks, and general know-how.</w:t>
      </w:r>
    </w:p>
    <w:p>
      <w:r>
        <w:br w:type="page"/>
      </w:r>
    </w:p>
    <w:p>
      <w:pPr>
        <w:pStyle w:val="Heading1"/>
        <w:keepNext/>
        <w:spacing w:before="240" w:after="120"/>
      </w:pPr>
      <w:r>
        <w:rPr>
          <w:rFonts w:ascii="Calibri" w:hAnsi="Calibri"/>
          <w:b/>
          <w:i w:val="0"/>
          <w:color w:val="2E74B5"/>
          <w:sz w:val="26"/>
        </w:rPr>
        <w:t>5. Agreement</w:t>
      </w:r>
    </w:p>
    <w:p>
      <w:pPr>
        <w:spacing w:before="0" w:after="120" w:line="264" w:lineRule="auto"/>
        <w:jc w:val="left"/>
      </w:pPr>
      <w:r>
        <w:rPr>
          <w:rFonts w:ascii="Calibri" w:hAnsi="Calibri"/>
          <w:b w:val="0"/>
          <w:i w:val="0"/>
          <w:color w:val="101F2F"/>
          <w:sz w:val="21"/>
        </w:rPr>
        <w:t>AI and automation work requires testing and can be affected by the Client's systems, data, decisions, and third-party services. Consultant does not promise a particular business result or error-free operation. The Client remains responsible for lawful use and production decisions.</w:t>
      </w:r>
    </w:p>
    <w:p>
      <w:pPr>
        <w:spacing w:before="0" w:after="120" w:line="264" w:lineRule="auto"/>
        <w:jc w:val="left"/>
      </w:pPr>
      <w:r>
        <w:rPr>
          <w:rFonts w:ascii="Calibri" w:hAnsi="Calibri"/>
          <w:b w:val="0"/>
          <w:i w:val="0"/>
          <w:color w:val="101F2F"/>
          <w:sz w:val="21"/>
        </w:rPr>
        <w:t>This SOW supplements the Terms and Consulting Agreement, Privacy Policy, and Data and Security Notice. Typed names and electronic signature records are intended as signatures. If this SOW conflicts with the Terms, this SOW controls only for the plan, scope, fee, service period, and cancellation terms stated here.</w:t>
      </w:r>
    </w:p>
    <w:p>
      <w:pPr>
        <w:pStyle w:val="Heading1"/>
        <w:keepNext/>
        <w:spacing w:before="240" w:after="120"/>
      </w:pPr>
      <w:r>
        <w:rPr>
          <w:rFonts w:ascii="Calibri" w:hAnsi="Calibri"/>
          <w:b/>
          <w:i w:val="0"/>
          <w:color w:val="2E74B5"/>
          <w:sz w:val="26"/>
        </w:rPr>
        <w:t>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top"/>
          </w:tcPr>
          <w:p>
            <w:pPr>
              <w:spacing w:after="360"/>
            </w:pPr>
            <w:r>
              <w:rPr>
                <w:rFonts w:ascii="Calibri" w:hAnsi="Calibri"/>
                <w:b/>
                <w:i w:val="0"/>
                <w:color w:val="2E74B5"/>
                <w:sz w:val="17"/>
              </w:rPr>
              <w:t>CLIENT</w:t>
            </w:r>
          </w:p>
          <w:p>
            <w:pPr>
              <w:spacing w:after="80"/>
            </w:pPr>
            <w:r>
              <w:rPr>
                <w:rFonts w:ascii="Calibri" w:hAnsi="Calibri"/>
                <w:b w:val="0"/>
                <w:i w:val="0"/>
                <w:color w:val="586573"/>
                <w:sz w:val="20"/>
              </w:rPr>
              <w:t>________________________________</w:t>
            </w:r>
          </w:p>
          <w:p>
            <w:pPr>
              <w:spacing w:after="60"/>
            </w:pPr>
            <w:r>
              <w:rPr>
                <w:rFonts w:ascii="Calibri" w:hAnsi="Calibri"/>
                <w:b/>
                <w:i w:val="0"/>
                <w:color w:val="101F2F"/>
                <w:sz w:val="19"/>
              </w:rPr>
              <w:t>Client name</w:t>
            </w:r>
          </w:p>
          <w:p>
            <w:pPr>
              <w:spacing w:after="60"/>
            </w:pPr>
            <w:r>
              <w:rPr>
                <w:rFonts w:ascii="Calibri" w:hAnsi="Calibri"/>
                <w:b w:val="0"/>
                <w:i w:val="0"/>
                <w:color w:val="586573"/>
                <w:sz w:val="19"/>
              </w:rPr>
              <w:t>Title / Company</w:t>
            </w:r>
          </w:p>
          <w:p>
            <w:pPr>
              <w:spacing w:after="60"/>
            </w:pPr>
            <w:r>
              <w:rPr>
                <w:rFonts w:ascii="Calibri" w:hAnsi="Calibri"/>
                <w:b w:val="0"/>
                <w:i w:val="0"/>
                <w:color w:val="586573"/>
                <w:sz w:val="19"/>
              </w:rPr>
              <w:t>Date: __________________________</w:t>
            </w:r>
          </w:p>
        </w:tc>
        <w:tc>
          <w:tcPr>
            <w:tcW w:type="dxa" w:w="4680"/>
            <w:tcMar>
              <w:top w:w="80" w:type="dxa"/>
              <w:start w:w="120" w:type="dxa"/>
              <w:bottom w:w="80" w:type="dxa"/>
              <w:end w:w="120" w:type="dxa"/>
            </w:tcMar>
            <w:vAlign w:val="top"/>
          </w:tcPr>
          <w:p>
            <w:pPr>
              <w:spacing w:after="360"/>
            </w:pPr>
            <w:r>
              <w:rPr>
                <w:rFonts w:ascii="Calibri" w:hAnsi="Calibri"/>
                <w:b/>
                <w:i w:val="0"/>
                <w:color w:val="2E74B5"/>
                <w:sz w:val="17"/>
              </w:rPr>
              <w:t>CONSULTANT</w:t>
            </w:r>
          </w:p>
          <w:p>
            <w:pPr>
              <w:spacing w:after="80"/>
            </w:pPr>
            <w:r>
              <w:rPr>
                <w:rFonts w:ascii="Calibri" w:hAnsi="Calibri"/>
                <w:b w:val="0"/>
                <w:i w:val="0"/>
                <w:color w:val="586573"/>
                <w:sz w:val="20"/>
              </w:rPr>
              <w:t>________________________________</w:t>
            </w:r>
          </w:p>
          <w:p>
            <w:pPr>
              <w:spacing w:after="60"/>
            </w:pPr>
            <w:r>
              <w:rPr>
                <w:rFonts w:ascii="Calibri" w:hAnsi="Calibri"/>
                <w:b/>
                <w:i w:val="0"/>
                <w:color w:val="101F2F"/>
                <w:sz w:val="19"/>
              </w:rPr>
              <w:t>Jason Sirotin</w:t>
            </w:r>
          </w:p>
          <w:p>
            <w:pPr>
              <w:spacing w:after="60"/>
            </w:pPr>
            <w:r>
              <w:rPr>
                <w:rFonts w:ascii="Calibri" w:hAnsi="Calibri"/>
                <w:b w:val="0"/>
                <w:i w:val="0"/>
                <w:color w:val="586573"/>
                <w:sz w:val="19"/>
              </w:rPr>
              <w:t>AutomateMeJay</w:t>
            </w:r>
          </w:p>
          <w:p>
            <w:pPr>
              <w:spacing w:after="60"/>
            </w:pPr>
            <w:r>
              <w:rPr>
                <w:rFonts w:ascii="Calibri" w:hAnsi="Calibri"/>
                <w:b w:val="0"/>
                <w:i w:val="0"/>
                <w:color w:val="586573"/>
                <w:sz w:val="19"/>
              </w:rPr>
              <w:t>Date: __________________________</w:t>
            </w:r>
          </w:p>
        </w:tc>
      </w:tr>
    </w:tbl>
    <w:sectPr>
      <w:headerReference w:type="default" r:id="rId9"/>
      <w:footerReference w:type="default" r:id="rId10"/>
      <w:pgSz w:w="12240" w:h="15840"/>
      <w:pgMar w:top="936" w:right="1440" w:bottom="936"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86573"/>
        <w:sz w:val="16"/>
      </w:rPr>
      <w:t>hello@automatemejay.com  |  678-855-5169  |  automatemejay.com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i w:val="0"/>
        <w:color w:val="586573"/>
        <w:sz w:val="17"/>
      </w:rPr>
      <w:t>AUTOMATEMEJAY  |  MONTHLY PARTNER SOW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AutomateMeJay Monthly AI Automation Partner Statement of Work - Sample</dc:title>
  <dc:subject>Plain-language monthly partner statement of work for client review</dc:subject>
  <dc:creator/>
  <cp:keywords>AutomateMeJay, monthly partner, statement of work</cp:keywords>
  <dc:description>generated by python-docx</dc:description>
  <cp:lastModifiedBy/>
  <cp:revision>1</cp:revision>
  <dcterms:created xsi:type="dcterms:W3CDTF">2013-12-23T23:15:00Z</dcterms:created>
  <dcterms:modified xsi:type="dcterms:W3CDTF">2013-12-23T23:15:00Z</dcterms:modified>
  <cp:category/>
</cp:coreProperties>
</file>