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60"/>
        <w:jc w:val="center"/>
      </w:pPr>
      <w:r>
        <w:rPr>
          <w:rFonts w:ascii="Arial" w:cs="Arial" w:eastAsia="Arial" w:hAnsi="Arial"/>
          <w:b/>
          <w:bCs/>
          <w:color w:val="1A1A2E"/>
          <w:sz w:val="38"/>
          <w:szCs w:val="38"/>
        </w:rPr>
        <w:t xml:space="preserve">COMPLETE EXECUTION PLAN</w:t>
      </w:r>
    </w:p>
    <w:p>
      <w:pPr>
        <w:spacing w:after="30"/>
        <w:jc w:val="center"/>
      </w:pPr>
      <w:r>
        <w:rPr>
          <w:rFonts w:ascii="Arial" w:cs="Arial" w:eastAsia="Arial" w:hAnsi="Arial"/>
          <w:b/>
          <w:bCs/>
          <w:color w:val="2B3A4A"/>
          <w:sz w:val="30"/>
          <w:szCs w:val="30"/>
        </w:rPr>
        <w:t xml:space="preserve">The Evaluation Blind Spot:</w:t>
      </w:r>
    </w:p>
    <w:p>
      <w:pPr>
        <w:spacing w:after="200"/>
        <w:jc w:val="center"/>
      </w:pPr>
      <w:r>
        <w:rPr>
          <w:rFonts w:ascii="Arial" w:cs="Arial" w:eastAsia="Arial" w:hAnsi="Arial"/>
          <w:b/>
          <w:bCs/>
          <w:color w:val="2B3A4A"/>
          <w:sz w:val="30"/>
          <w:szCs w:val="30"/>
        </w:rPr>
        <w:t xml:space="preserve">A Stereological Theory of Benchmark Coverage</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NeurIPS 2026 Main Track (fallback: ICLR 2027)</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Hybrid Theory + Empirical</w:t>
      </w:r>
    </w:p>
    <w:p>
      <w:pPr>
        <w:spacing w:after="120"/>
      </w:pPr>
      <w:r>
        <w:rPr>
          <w:rFonts w:ascii="Arial" w:cs="Arial" w:eastAsia="Arial" w:hAnsi="Arial"/>
          <w:b/>
          <w:bCs/>
          <w:sz w:val="22"/>
          <w:szCs w:val="22"/>
        </w:rPr>
        <w:t xml:space="preserve">Precedent: </w:t>
      </w:r>
      <w:r>
        <w:rPr>
          <w:rFonts w:ascii="Arial" w:cs="Arial" w:eastAsia="Arial" w:hAnsi="Arial"/>
          <w:i/>
          <w:iCs/>
          <w:sz w:val="22"/>
          <w:szCs w:val="22"/>
        </w:rPr>
        <w:t xml:space="preserve">"Fundamental Limits of Prompt Compression" </w:t>
      </w:r>
      <w:r>
        <w:rPr>
          <w:rFonts w:ascii="Arial" w:cs="Arial" w:eastAsia="Arial" w:hAnsi="Arial"/>
          <w:sz w:val="22"/>
          <w:szCs w:val="22"/>
        </w:rPr>
        <w:t xml:space="preserve">(NeurIPS 2024 Main Track)</w:t>
      </w:r>
    </w:p>
    <w:p>
      <w:pPr>
        <w:spacing w:after="120"/>
      </w:pPr>
      <w:r>
        <w:rPr>
          <w:rFonts w:ascii="Arial" w:cs="Arial" w:eastAsia="Arial" w:hAnsi="Arial"/>
          <w:b/>
          <w:bCs/>
          <w:sz w:val="22"/>
          <w:szCs w:val="22"/>
        </w:rPr>
        <w:t xml:space="preserve">Compute: </w:t>
      </w:r>
      <w:r>
        <w:rPr>
          <w:rFonts w:ascii="Arial" w:cs="Arial" w:eastAsia="Arial" w:hAnsi="Arial"/>
          <w:sz w:val="22"/>
          <w:szCs w:val="22"/>
        </w:rPr>
        <w:t xml:space="preserve">Near zero. Analyzes public benchmark scores only.</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Verified novel. No prior work connects stereological theory to LLM evaluation.</w:t>
      </w:r>
    </w:p>
    <w:p>
      <w:pPr>
        <w:spacing w:after="160"/>
      </w:pPr>
    </w:p>
    <w:p>
      <w:pPr>
        <w:pStyle w:val="Heading2"/>
        <w:spacing w:after="160" w:before="240"/>
      </w:pPr>
      <w:r>
        <w:rPr>
          <w:b/>
          <w:bCs/>
        </w:rPr>
        <w:t xml:space="preserve">Tiered Strategy</w:t>
      </w:r>
    </w:p>
    <w:p>
      <w:pPr>
        <w:spacing w:after="120"/>
      </w:pPr>
      <w:r>
        <w:rPr>
          <w:rFonts w:ascii="Arial" w:cs="Arial" w:eastAsia="Arial" w:hAnsi="Arial"/>
          <w:b/>
          <w:bCs/>
          <w:color w:val="2E7D32"/>
          <w:sz w:val="22"/>
          <w:szCs w:val="22"/>
        </w:rPr>
        <w:t xml:space="preserve">FLOOR (~85%): </w:t>
      </w:r>
      <w:r>
        <w:rPr>
          <w:rFonts w:ascii="Arial" w:cs="Arial" w:eastAsia="Arial" w:hAnsi="Arial"/>
          <w:sz w:val="22"/>
          <w:szCs w:val="22"/>
        </w:rPr>
        <w:t xml:space="preserve">Theorems 1–3 + Corollaries. Effective dimensionality, indistinguishability bound (Lipschitz), greedy algorithm, Busemann-Petty corollary, rank reversal corollary.</w:t>
      </w:r>
    </w:p>
    <w:p>
      <w:pPr>
        <w:spacing w:after="120"/>
      </w:pPr>
      <w:r>
        <w:rPr>
          <w:rFonts w:ascii="Arial" w:cs="Arial" w:eastAsia="Arial" w:hAnsi="Arial"/>
          <w:b/>
          <w:bCs/>
          <w:color w:val="E65100"/>
          <w:sz w:val="22"/>
          <w:szCs w:val="22"/>
        </w:rPr>
        <w:t xml:space="preserve">CEILING (~40%): </w:t>
      </w:r>
      <w:r>
        <w:rPr>
          <w:rFonts w:ascii="Arial" w:cs="Arial" w:eastAsia="Arial" w:hAnsi="Arial"/>
          <w:sz w:val="22"/>
          <w:szCs w:val="22"/>
        </w:rPr>
        <w:t xml:space="preserve">Add Theorem 4 — tight Fourier stability bound for centered bodies, motivated by Gardner’s Problem 1.5 (open 30 years).</w:t>
      </w:r>
    </w:p>
    <w:p>
      <w:pPr>
        <w:spacing w:after="120"/>
      </w:pPr>
      <w:r>
        <w:rPr>
          <w:rFonts w:ascii="Arial" w:cs="Arial" w:eastAsia="Arial" w:hAnsi="Arial"/>
          <w:b/>
          <w:bCs/>
          <w:color w:val="C62828"/>
          <w:sz w:val="22"/>
          <w:szCs w:val="22"/>
        </w:rPr>
        <w:t xml:space="preserve">MOONSHOT (~10%): </w:t>
      </w:r>
      <w:r>
        <w:rPr>
          <w:rFonts w:ascii="Arial" w:cs="Arial" w:eastAsia="Arial" w:hAnsi="Arial"/>
          <w:sz w:val="22"/>
          <w:szCs w:val="22"/>
        </w:rPr>
        <w:t xml:space="preserve">Full Problem 1.5. Don’t promise in paper.</w:t>
      </w:r>
    </w:p>
    <w:p>
      <w:pPr>
        <w:spacing w:after="120"/>
      </w:pPr>
      <w:r>
        <w:rPr>
          <w:rFonts w:ascii="Arial" w:cs="Arial" w:eastAsia="Arial" w:hAnsi="Arial"/>
          <w:b/>
          <w:bCs/>
          <w:sz w:val="22"/>
          <w:szCs w:val="22"/>
        </w:rPr>
        <w:t xml:space="preserve">Approach: </w:t>
      </w:r>
      <w:r>
        <w:rPr>
          <w:rFonts w:ascii="Arial" w:cs="Arial" w:eastAsia="Arial" w:hAnsi="Arial"/>
          <w:sz w:val="22"/>
          <w:szCs w:val="22"/>
        </w:rPr>
        <w:t xml:space="preserve">Nail floor first. Attempt ceiling. Reference moonshot as future work.</w:t>
      </w:r>
    </w:p>
    <w:p>
      <w:r>
        <w:br w:type="page"/>
      </w:r>
    </w:p>
    <w:p>
      <w:pPr>
        <w:pStyle w:val="Heading1"/>
        <w:spacing w:after="200" w:before="360"/>
      </w:pPr>
      <w:r>
        <w:rPr>
          <w:b/>
          <w:bCs/>
        </w:rPr>
        <w:t xml:space="preserve">Paper Narrative: Five Beats</w:t>
      </w:r>
    </w:p>
    <w:p>
      <w:pPr>
        <w:spacing w:after="120"/>
      </w:pPr>
      <w:r>
        <w:rPr>
          <w:rFonts w:ascii="Arial" w:cs="Arial" w:eastAsia="Arial" w:hAnsi="Arial"/>
          <w:sz w:val="22"/>
          <w:szCs w:val="22"/>
        </w:rPr>
        <w:t xml:space="preserve">One story. Every result flows from: benchmarks are low-dimensional projections of high-dimensional capability space.</w:t>
      </w:r>
    </w:p>
    <w:p>
      <w:pPr>
        <w:spacing w:after="120"/>
      </w:pPr>
      <w:r>
        <w:rPr>
          <w:rFonts w:ascii="Arial" w:cs="Arial" w:eastAsia="Arial" w:hAnsi="Arial"/>
          <w:b/>
          <w:bCs/>
          <w:sz w:val="22"/>
          <w:szCs w:val="22"/>
        </w:rPr>
        <w:t xml:space="preserve">Beat 1 (Theorem 1): </w:t>
      </w:r>
      <w:r>
        <w:rPr>
          <w:rFonts w:ascii="Arial" w:cs="Arial" w:eastAsia="Arial" w:hAnsi="Arial"/>
          <w:sz w:val="22"/>
          <w:szCs w:val="22"/>
        </w:rPr>
        <w:t xml:space="preserve">Your 20 benchmarks are really only 3–5 independent measurements.</w:t>
      </w:r>
    </w:p>
    <w:p>
      <w:pPr>
        <w:spacing w:after="120"/>
      </w:pPr>
      <w:r>
        <w:rPr>
          <w:rFonts w:ascii="Arial" w:cs="Arial" w:eastAsia="Arial" w:hAnsi="Arial"/>
          <w:b/>
          <w:bCs/>
          <w:sz w:val="22"/>
          <w:szCs w:val="22"/>
        </w:rPr>
        <w:t xml:space="preserve">Beat 2 (Theorem 2): </w:t>
      </w:r>
      <w:r>
        <w:rPr>
          <w:rFonts w:ascii="Arial" w:cs="Arial" w:eastAsia="Arial" w:hAnsi="Arial"/>
          <w:sz w:val="22"/>
          <w:szCs w:val="22"/>
        </w:rPr>
        <w:t xml:space="preserve">Here’s how big your blind spot is.</w:t>
      </w:r>
    </w:p>
    <w:p>
      <w:pPr>
        <w:spacing w:after="120"/>
      </w:pPr>
      <w:r>
        <w:rPr>
          <w:rFonts w:ascii="Arial" w:cs="Arial" w:eastAsia="Arial" w:hAnsi="Arial"/>
          <w:b/>
          <w:bCs/>
          <w:sz w:val="22"/>
          <w:szCs w:val="22"/>
        </w:rPr>
        <w:t xml:space="preserve">Beat 3 (Theorem 4, if achieved): </w:t>
      </w:r>
      <w:r>
        <w:rPr>
          <w:rFonts w:ascii="Arial" w:cs="Arial" w:eastAsia="Arial" w:hAnsi="Arial"/>
          <w:sz w:val="22"/>
          <w:szCs w:val="22"/>
        </w:rPr>
        <w:t xml:space="preserve">That blind spot is fundamental — no method can shrink it below this floor.</w:t>
      </w:r>
    </w:p>
    <w:p>
      <w:pPr>
        <w:spacing w:after="120"/>
      </w:pPr>
      <w:r>
        <w:rPr>
          <w:rFonts w:ascii="Arial" w:cs="Arial" w:eastAsia="Arial" w:hAnsi="Arial"/>
          <w:b/>
          <w:bCs/>
          <w:sz w:val="22"/>
          <w:szCs w:val="22"/>
        </w:rPr>
        <w:t xml:space="preserve">Beat 4 (Theorem 3): </w:t>
      </w:r>
      <w:r>
        <w:rPr>
          <w:rFonts w:ascii="Arial" w:cs="Arial" w:eastAsia="Arial" w:hAnsi="Arial"/>
          <w:sz w:val="22"/>
          <w:szCs w:val="22"/>
        </w:rPr>
        <w:t xml:space="preserve">But here’s how to make it as small as possible.</w:t>
      </w:r>
    </w:p>
    <w:p>
      <w:pPr>
        <w:spacing w:after="120"/>
      </w:pPr>
      <w:r>
        <w:rPr>
          <w:rFonts w:ascii="Arial" w:cs="Arial" w:eastAsia="Arial" w:hAnsi="Arial"/>
          <w:b/>
          <w:bCs/>
          <w:sz w:val="22"/>
          <w:szCs w:val="22"/>
        </w:rPr>
        <w:t xml:space="preserve">Beat 5 (Corollaries): </w:t>
      </w:r>
      <w:r>
        <w:rPr>
          <w:rFonts w:ascii="Arial" w:cs="Arial" w:eastAsia="Arial" w:hAnsi="Arial"/>
          <w:sz w:val="22"/>
          <w:szCs w:val="22"/>
        </w:rPr>
        <w:t xml:space="preserve">The framework explains rank reversal (40-year MCDM debate) and why benchmark domination fails in high dimensions (Busemann-Petty threshold).</w:t>
      </w:r>
    </w:p>
    <w:p>
      <w:r>
        <w:br w:type="page"/>
      </w:r>
    </w:p>
    <w:p>
      <w:pPr>
        <w:pStyle w:val="Heading1"/>
        <w:spacing w:after="200" w:before="360"/>
      </w:pPr>
      <w:r>
        <w:rPr>
          <w:b/>
          <w:bCs/>
        </w:rPr>
        <w:t xml:space="preserve">1. Introduction (~1.5 pages)</w:t>
      </w:r>
    </w:p>
    <w:p>
      <w:pPr>
        <w:pStyle w:val="Heading2"/>
        <w:spacing w:after="160" w:before="240"/>
      </w:pPr>
      <w:r>
        <w:rPr>
          <w:b/>
          <w:bCs/>
        </w:rPr>
        <w:t xml:space="preserve">1.1 Opening Example — "Two Kids, Three Tests"</w:t>
      </w:r>
    </w:p>
    <w:p>
      <w:pPr>
        <w:spacing w:after="120"/>
      </w:pPr>
      <w:r>
        <w:rPr>
          <w:rFonts w:ascii="Arial" w:cs="Arial" w:eastAsia="Arial" w:hAnsi="Arial"/>
          <w:b/>
          <w:bCs/>
          <w:color w:val="CC0000"/>
          <w:sz w:val="22"/>
          <w:szCs w:val="22"/>
        </w:rPr>
        <w:t xml:space="preserve">CRITICAL: </w:t>
      </w:r>
      <w:r>
        <w:rPr>
          <w:rFonts w:ascii="Arial" w:cs="Arial" w:eastAsia="Arial" w:hAnsi="Arial"/>
          <w:sz w:val="22"/>
          <w:szCs w:val="22"/>
        </w:rPr>
        <w:t xml:space="preserve">Opens the paper before any math. Most important paragraph. Motivates all three results.</w:t>
      </w:r>
    </w:p>
    <w:p>
      <w:pPr>
        <w:pBdr>
          <w:left w:val="single" w:color="3D5A80" w:sz="6" w:space="8"/>
        </w:pBdr>
        <w:spacing w:after="80"/>
        <w:ind w:left="360"/>
      </w:pPr>
      <w:r>
        <w:rPr>
          <w:rFonts w:ascii="Arial" w:cs="Arial" w:eastAsia="Arial" w:hAnsi="Arial"/>
          <w:i/>
          <w:iCs/>
          <w:sz w:val="22"/>
          <w:szCs w:val="22"/>
        </w:rPr>
        <w:t xml:space="preserve">Two students take the same three school tests — math, reading, spelling. Both score 90 on all three. The teacher concludes: "these students are equal."</w:t>
      </w:r>
    </w:p>
    <w:p>
      <w:pPr>
        <w:pBdr>
          <w:left w:val="single" w:color="3D5A80" w:sz="6" w:space="8"/>
        </w:pBdr>
        <w:spacing w:after="80"/>
        <w:ind w:left="360"/>
      </w:pPr>
      <w:r>
        <w:rPr>
          <w:rFonts w:ascii="Arial" w:cs="Arial" w:eastAsia="Arial" w:hAnsi="Arial"/>
          <w:i/>
          <w:iCs/>
          <w:sz w:val="22"/>
          <w:szCs w:val="22"/>
        </w:rPr>
        <w:t xml:space="preserve">But one student is also exceptional at music, art, and athletics. The other is terrible at all three. The teacher could not tell, because the three tests produced identical scores for two fundamentally different students.</w:t>
      </w:r>
    </w:p>
    <w:p>
      <w:pPr>
        <w:pBdr>
          <w:left w:val="single" w:color="3D5A80" w:sz="6" w:space="8"/>
        </w:pBdr>
        <w:spacing w:after="80"/>
        <w:ind w:left="360"/>
      </w:pPr>
      <w:r>
        <w:rPr>
          <w:rFonts w:ascii="Arial" w:cs="Arial" w:eastAsia="Arial" w:hAnsi="Arial"/>
          <w:i/>
          <w:iCs/>
          <w:sz w:val="22"/>
          <w:szCs w:val="22"/>
        </w:rPr>
        <w:t xml:space="preserve">This is the state of LLM evaluation today. We rank 50+ models using a handful of benchmarks, declare winners and losers, and make deployment decisions — without any formal guarantee that our evaluation suite can actually distinguish between the models we are ranking.</w:t>
      </w:r>
    </w:p>
    <w:p>
      <w:pPr>
        <w:spacing w:after="120"/>
      </w:pPr>
      <w:r>
        <w:rPr>
          <w:rFonts w:ascii="Arial" w:cs="Arial" w:eastAsia="Arial" w:hAnsi="Arial"/>
          <w:b/>
          <w:bCs/>
          <w:sz w:val="22"/>
          <w:szCs w:val="22"/>
        </w:rPr>
        <w:t xml:space="preserve">Motivates: </w:t>
      </w:r>
      <w:r>
        <w:rPr>
          <w:rFonts w:ascii="Arial" w:cs="Arial" w:eastAsia="Arial" w:hAnsi="Arial"/>
          <w:sz w:val="22"/>
          <w:szCs w:val="22"/>
        </w:rPr>
        <w:t xml:space="preserve">"20 tests but 15 are math" → Th 1. "How different while looking identical?" → Th 2. "Which tests to pick?" → Th 3.</w:t>
      </w:r>
    </w:p>
    <w:p>
      <w:pPr>
        <w:pStyle w:val="Heading2"/>
        <w:spacing w:after="160" w:before="240"/>
      </w:pPr>
      <w:r>
        <w:rPr>
          <w:b/>
          <w:bCs/>
        </w:rPr>
        <w:t xml:space="preserve">1.2 Problem Statement</w:t>
      </w:r>
    </w:p>
    <w:p>
      <w:pPr>
        <w:pStyle w:val="ListParagraph"/>
        <w:numPr>
          <w:ilvl w:val="0"/>
          <w:numId w:val="2"/>
        </w:numPr>
        <w:spacing w:after="70"/>
      </w:pPr>
      <w:r>
        <w:rPr>
          <w:rFonts w:ascii="Arial" w:cs="Arial" w:eastAsia="Arial" w:hAnsi="Arial"/>
          <w:sz w:val="22"/>
          <w:szCs w:val="22"/>
        </w:rPr>
        <w:t xml:space="preserve">Benchmarks are finite-dimensional projections of a high-dimensional capability space</w:t>
      </w:r>
    </w:p>
    <w:p>
      <w:pPr>
        <w:pStyle w:val="ListParagraph"/>
        <w:numPr>
          <w:ilvl w:val="0"/>
          <w:numId w:val="2"/>
        </w:numPr>
        <w:spacing w:after="70"/>
      </w:pPr>
      <w:r>
        <w:rPr>
          <w:rFonts w:ascii="Arial" w:cs="Arial" w:eastAsia="Arial" w:hAnsi="Arial"/>
          <w:sz w:val="22"/>
          <w:szCs w:val="22"/>
        </w:rPr>
        <w:t xml:space="preserve">No theory connecting evaluation budget to ranking reliability</w:t>
      </w:r>
    </w:p>
    <w:p>
      <w:pPr>
        <w:pStyle w:val="ListParagraph"/>
        <w:numPr>
          <w:ilvl w:val="0"/>
          <w:numId w:val="2"/>
        </w:numPr>
        <w:spacing w:after="70"/>
      </w:pPr>
      <w:r>
        <w:rPr>
          <w:rFonts w:ascii="Arial" w:cs="Arial" w:eastAsia="Arial" w:hAnsi="Arial"/>
          <w:sz w:val="22"/>
          <w:szCs w:val="22"/>
        </w:rPr>
        <w:t xml:space="preserve">This paper provides the theory, the diagnosis, and the fix</w:t>
      </w:r>
    </w:p>
    <w:p>
      <w:pPr>
        <w:pStyle w:val="Heading2"/>
        <w:spacing w:after="160" w:before="240"/>
      </w:pPr>
      <w:r>
        <w:rPr>
          <w:b/>
          <w:bCs/>
        </w:rPr>
        <w:t xml:space="preserve">1.3 Contributions</w:t>
      </w:r>
    </w:p>
    <w:p>
      <w:pPr>
        <w:pStyle w:val="ListParagraph"/>
        <w:numPr>
          <w:ilvl w:val="0"/>
          <w:numId w:val="3"/>
        </w:numPr>
        <w:spacing w:after="70"/>
      </w:pPr>
      <w:r>
        <w:rPr>
          <w:rFonts w:ascii="Arial" w:cs="Arial" w:eastAsia="Arial" w:hAnsi="Arial"/>
          <w:b/>
          <w:bCs/>
          <w:sz w:val="22"/>
          <w:szCs w:val="22"/>
        </w:rPr>
        <w:t xml:space="preserve">Theorem 1 — Effective Dimensionality: </w:t>
      </w:r>
      <w:r>
        <w:rPr>
          <w:rFonts w:ascii="Arial" w:cs="Arial" w:eastAsia="Arial" w:hAnsi="Arial"/>
          <w:sz w:val="22"/>
          <w:szCs w:val="22"/>
        </w:rPr>
        <w:t xml:space="preserve">Current suites (20+ benchmarks) have d_eff of only 3–5.</w:t>
      </w:r>
    </w:p>
    <w:p>
      <w:pPr>
        <w:pStyle w:val="ListParagraph"/>
        <w:numPr>
          <w:ilvl w:val="0"/>
          <w:numId w:val="3"/>
        </w:numPr>
        <w:spacing w:after="70"/>
      </w:pPr>
      <w:r>
        <w:rPr>
          <w:rFonts w:ascii="Arial" w:cs="Arial" w:eastAsia="Arial" w:hAnsi="Arial"/>
          <w:b/>
          <w:bCs/>
          <w:sz w:val="22"/>
          <w:szCs w:val="22"/>
        </w:rPr>
        <w:t xml:space="preserve">Theorem 2 — Indistinguishability Bound: </w:t>
      </w:r>
      <w:r>
        <w:rPr>
          <w:rFonts w:ascii="Arial" w:cs="Arial" w:eastAsia="Arial" w:hAnsi="Arial"/>
          <w:sz w:val="22"/>
          <w:szCs w:val="22"/>
        </w:rPr>
        <w:t xml:space="preserve">Explicit bound on maximum capability divergence between apparently identical models.</w:t>
      </w:r>
    </w:p>
    <w:p>
      <w:pPr>
        <w:pStyle w:val="ListParagraph"/>
        <w:numPr>
          <w:ilvl w:val="0"/>
          <w:numId w:val="3"/>
        </w:numPr>
        <w:spacing w:after="70"/>
      </w:pPr>
      <w:r>
        <w:rPr>
          <w:rFonts w:ascii="Arial" w:cs="Arial" w:eastAsia="Arial" w:hAnsi="Arial"/>
          <w:b/>
          <w:bCs/>
          <w:sz w:val="22"/>
          <w:szCs w:val="22"/>
        </w:rPr>
        <w:t xml:space="preserve">Theorem 3 — Greedy Coverage Algorithm: </w:t>
      </w:r>
      <w:r>
        <w:rPr>
          <w:rFonts w:ascii="Arial" w:cs="Arial" w:eastAsia="Arial" w:hAnsi="Arial"/>
          <w:sz w:val="22"/>
          <w:szCs w:val="22"/>
        </w:rPr>
        <w:t xml:space="preserve">Minimum subset maximizing coverage + blind spot characterization.</w:t>
      </w:r>
    </w:p>
    <w:p>
      <w:pPr>
        <w:pStyle w:val="ListParagraph"/>
        <w:numPr>
          <w:ilvl w:val="0"/>
          <w:numId w:val="3"/>
        </w:numPr>
        <w:spacing w:after="70"/>
      </w:pPr>
      <w:r>
        <w:rPr>
          <w:rFonts w:ascii="Arial" w:cs="Arial" w:eastAsia="Arial" w:hAnsi="Arial"/>
          <w:b/>
          <w:bCs/>
          <w:sz w:val="22"/>
          <w:szCs w:val="22"/>
        </w:rPr>
        <w:t xml:space="preserve">Theorem 4 (ceiling) — Tight Stability Bound: </w:t>
      </w:r>
      <w:r>
        <w:rPr>
          <w:rFonts w:ascii="Arial" w:cs="Arial" w:eastAsia="Arial" w:hAnsi="Arial"/>
          <w:sz w:val="22"/>
          <w:szCs w:val="22"/>
        </w:rPr>
        <w:t xml:space="preserve">Fourier-analytic stability motivated by Gardner’s Problem 1.5.</w:t>
      </w:r>
    </w:p>
    <w:p>
      <w:pPr>
        <w:pStyle w:val="ListParagraph"/>
        <w:numPr>
          <w:ilvl w:val="0"/>
          <w:numId w:val="3"/>
        </w:numPr>
        <w:spacing w:after="70"/>
      </w:pPr>
      <w:r>
        <w:rPr>
          <w:rFonts w:ascii="Arial" w:cs="Arial" w:eastAsia="Arial" w:hAnsi="Arial"/>
          <w:b/>
          <w:bCs/>
          <w:sz w:val="22"/>
          <w:szCs w:val="22"/>
        </w:rPr>
        <w:t xml:space="preserve">Corollary A — Busemann-Petty Threshold: </w:t>
      </w:r>
      <w:r>
        <w:rPr>
          <w:rFonts w:ascii="Arial" w:cs="Arial" w:eastAsia="Arial" w:hAnsi="Arial"/>
          <w:sz w:val="22"/>
          <w:szCs w:val="22"/>
        </w:rPr>
        <w:t xml:space="preserve">When d_eff ≥ 5, benchmark domination does not imply capability domination.</w:t>
      </w:r>
    </w:p>
    <w:p>
      <w:pPr>
        <w:pStyle w:val="ListParagraph"/>
        <w:numPr>
          <w:ilvl w:val="0"/>
          <w:numId w:val="3"/>
        </w:numPr>
        <w:spacing w:after="70"/>
      </w:pPr>
      <w:r>
        <w:rPr>
          <w:rFonts w:ascii="Arial" w:cs="Arial" w:eastAsia="Arial" w:hAnsi="Arial"/>
          <w:b/>
          <w:bCs/>
          <w:sz w:val="22"/>
          <w:szCs w:val="22"/>
        </w:rPr>
        <w:t xml:space="preserve">Corollary B — Rank Reversal Inevitability: </w:t>
      </w:r>
      <w:r>
        <w:rPr>
          <w:rFonts w:ascii="Arial" w:cs="Arial" w:eastAsia="Arial" w:hAnsi="Arial"/>
          <w:sz w:val="22"/>
          <w:szCs w:val="22"/>
        </w:rPr>
        <w:t xml:space="preserve">Adding a model can reverse existing rankings when d_eff &lt; n−1.</w:t>
      </w:r>
    </w:p>
    <w:p>
      <w:r>
        <w:br w:type="page"/>
      </w:r>
    </w:p>
    <w:p>
      <w:pPr>
        <w:pStyle w:val="Heading1"/>
        <w:spacing w:after="200" w:before="360"/>
      </w:pPr>
      <w:r>
        <w:rPr>
          <w:b/>
          <w:bCs/>
        </w:rPr>
        <w:t xml:space="preserve">2. Background &amp; Related Work (~1.5 pages)</w:t>
      </w:r>
    </w:p>
    <w:p>
      <w:pPr>
        <w:pStyle w:val="Heading2"/>
        <w:spacing w:after="160" w:before="240"/>
      </w:pPr>
      <w:r>
        <w:rPr>
          <w:b/>
          <w:bCs/>
        </w:rPr>
        <w:t xml:space="preserve">2.1 Geometric Tomography &amp; Stereology</w:t>
      </w:r>
    </w:p>
    <w:p>
      <w:pPr>
        <w:pStyle w:val="ListParagraph"/>
        <w:numPr>
          <w:ilvl w:val="0"/>
          <w:numId w:val="4"/>
        </w:numPr>
        <w:spacing w:after="70"/>
      </w:pPr>
      <w:r>
        <w:rPr>
          <w:rFonts w:ascii="Arial" w:cs="Arial" w:eastAsia="Arial" w:hAnsi="Arial"/>
          <w:b/>
          <w:bCs/>
          <w:sz w:val="22"/>
          <w:szCs w:val="22"/>
        </w:rPr>
        <w:t xml:space="preserve">Cavalieri estimator: </w:t>
      </w:r>
      <w:r>
        <w:rPr>
          <w:rFonts w:ascii="Arial" w:cs="Arial" w:eastAsia="Arial" w:hAnsi="Arial"/>
          <w:sz w:val="22"/>
          <w:szCs w:val="22"/>
        </w:rPr>
        <w:t xml:space="preserve">Estimating volume from parallel slices</w:t>
      </w:r>
    </w:p>
    <w:p>
      <w:pPr>
        <w:pStyle w:val="ListParagraph"/>
        <w:numPr>
          <w:ilvl w:val="0"/>
          <w:numId w:val="4"/>
        </w:numPr>
        <w:spacing w:after="70"/>
      </w:pPr>
      <w:r>
        <w:rPr>
          <w:rFonts w:ascii="Arial" w:cs="Arial" w:eastAsia="Arial" w:hAnsi="Arial"/>
          <w:b/>
          <w:bCs/>
          <w:sz w:val="22"/>
          <w:szCs w:val="22"/>
        </w:rPr>
        <w:t xml:space="preserve">Wicksell’s Corpuscle Problem (1925): </w:t>
      </w:r>
      <w:r>
        <w:rPr>
          <w:rFonts w:ascii="Arial" w:cs="Arial" w:eastAsia="Arial" w:hAnsi="Arial"/>
          <w:sz w:val="22"/>
          <w:szCs w:val="22"/>
        </w:rPr>
        <w:t xml:space="preserve">Systematic bias counting 3D objects from 2D sections</w:t>
      </w:r>
    </w:p>
    <w:p>
      <w:pPr>
        <w:pStyle w:val="ListParagraph"/>
        <w:numPr>
          <w:ilvl w:val="0"/>
          <w:numId w:val="4"/>
        </w:numPr>
        <w:spacing w:after="70"/>
      </w:pPr>
      <w:r>
        <w:rPr>
          <w:rFonts w:ascii="Arial" w:cs="Arial" w:eastAsia="Arial" w:hAnsi="Arial"/>
          <w:b/>
          <w:bCs/>
          <w:sz w:val="22"/>
          <w:szCs w:val="22"/>
        </w:rPr>
        <w:t xml:space="preserve">Disector principle (Gundersen 1986): </w:t>
      </w:r>
      <w:r>
        <w:rPr>
          <w:rFonts w:ascii="Arial" w:cs="Arial" w:eastAsia="Arial" w:hAnsi="Arial"/>
          <w:sz w:val="22"/>
          <w:szCs w:val="22"/>
        </w:rPr>
        <w:t xml:space="preserve">Correction for corpuscle bias</w:t>
      </w:r>
    </w:p>
    <w:p>
      <w:pPr>
        <w:pStyle w:val="ListParagraph"/>
        <w:numPr>
          <w:ilvl w:val="0"/>
          <w:numId w:val="4"/>
        </w:numPr>
        <w:spacing w:after="70"/>
      </w:pPr>
      <w:r>
        <w:rPr>
          <w:rFonts w:ascii="Arial" w:cs="Arial" w:eastAsia="Arial" w:hAnsi="Arial"/>
          <w:b/>
          <w:bCs/>
          <w:sz w:val="22"/>
          <w:szCs w:val="22"/>
        </w:rPr>
        <w:t xml:space="preserve">Gardner’s 66 open problems: </w:t>
      </w:r>
      <w:r>
        <w:rPr>
          <w:rFonts w:ascii="Arial" w:cs="Arial" w:eastAsia="Arial" w:hAnsi="Arial"/>
          <w:sz w:val="22"/>
          <w:szCs w:val="22"/>
        </w:rPr>
        <w:t xml:space="preserve">Geometric Tomography (2006) — our Erdős-equivalent database. Most still open.</w:t>
      </w:r>
    </w:p>
    <w:p>
      <w:pPr>
        <w:spacing w:after="120"/>
      </w:pPr>
      <w:r>
        <w:rPr>
          <w:rFonts w:ascii="Arial" w:cs="Arial" w:eastAsia="Arial" w:hAnsi="Arial"/>
          <w:b/>
          <w:bCs/>
          <w:sz w:val="22"/>
          <w:szCs w:val="22"/>
        </w:rPr>
        <w:t xml:space="preserve">Framing: </w:t>
      </w:r>
      <w:r>
        <w:rPr>
          <w:rFonts w:ascii="Arial" w:cs="Arial" w:eastAsia="Arial" w:hAnsi="Arial"/>
          <w:sz w:val="22"/>
          <w:szCs w:val="22"/>
        </w:rPr>
        <w:t xml:space="preserve">These are theorems with proofs that we port and extend, not metaphors.</w:t>
      </w:r>
    </w:p>
    <w:p>
      <w:pPr>
        <w:pStyle w:val="Heading2"/>
        <w:spacing w:after="160" w:before="240"/>
      </w:pPr>
      <w:r>
        <w:rPr>
          <w:b/>
          <w:bCs/>
        </w:rPr>
        <w:t xml:space="preserve">2.2 The Busemann-Petty Problem (1956, resolved 1999)</w:t>
      </w:r>
    </w:p>
    <w:p>
      <w:pPr>
        <w:spacing w:after="120"/>
      </w:pPr>
      <w:r>
        <w:rPr>
          <w:rFonts w:ascii="Arial" w:cs="Arial" w:eastAsia="Arial" w:hAnsi="Arial"/>
          <w:i/>
          <w:iCs/>
          <w:sz w:val="22"/>
          <w:szCs w:val="22"/>
        </w:rPr>
        <w:t xml:space="preserve">"The Busemann-Petty problem provides a foundational warning: in dimensions d ≥ 5, a convex body can have strictly smaller central hyperplane sections than another in every direction, yet have larger total volume. While this result concerns section volumes specifically, the underlying phenomenon — that pointwise domination of low-dimensional measurements fails to predict high-dimensional volume ordering — extends to other measurement types including widths and projection areas (cf. Shephard’s problem). Benchmark scores, as scalar projections of high-dimensional capability profiles, inherit this fundamental limitation."</w:t>
      </w:r>
    </w:p>
    <w:p>
      <w:pPr>
        <w:spacing w:after="120"/>
      </w:pPr>
      <w:r>
        <w:rPr>
          <w:rFonts w:ascii="Arial" w:cs="Arial" w:eastAsia="Arial" w:hAnsi="Arial"/>
          <w:b/>
          <w:bCs/>
          <w:color w:val="E65100"/>
          <w:sz w:val="22"/>
          <w:szCs w:val="22"/>
        </w:rPr>
        <w:t xml:space="preserve">NOTE: </w:t>
      </w:r>
      <w:r>
        <w:rPr>
          <w:rFonts w:ascii="Arial" w:cs="Arial" w:eastAsia="Arial" w:hAnsi="Arial"/>
          <w:sz w:val="22"/>
          <w:szCs w:val="22"/>
        </w:rPr>
        <w:t xml:space="preserve">Frame as analogous principle, not direct application. Cite both Busemann-Petty AND Shephard. See Handling Guide A for full details.</w:t>
      </w:r>
    </w:p>
    <w:p>
      <w:pPr>
        <w:pStyle w:val="Heading2"/>
        <w:spacing w:after="160" w:before="240"/>
      </w:pPr>
      <w:r>
        <w:rPr>
          <w:b/>
          <w:bCs/>
        </w:rPr>
        <w:t xml:space="preserve">2.3 LLM Evaluation Literature</w:t>
      </w:r>
    </w:p>
    <w:p>
      <w:pPr>
        <w:pStyle w:val="ListParagraph"/>
        <w:numPr>
          <w:ilvl w:val="0"/>
          <w:numId w:val="5"/>
        </w:numPr>
        <w:spacing w:after="70"/>
      </w:pPr>
      <w:r>
        <w:rPr>
          <w:rFonts w:ascii="Arial" w:cs="Arial" w:eastAsia="Arial" w:hAnsi="Arial"/>
          <w:sz w:val="22"/>
          <w:szCs w:val="22"/>
        </w:rPr>
        <w:t xml:space="preserve">MMLU, HELM, Open LLM Leaderboard, Chatbot Arena</w:t>
      </w:r>
    </w:p>
    <w:p>
      <w:pPr>
        <w:pStyle w:val="ListParagraph"/>
        <w:numPr>
          <w:ilvl w:val="0"/>
          <w:numId w:val="5"/>
        </w:numPr>
        <w:spacing w:after="70"/>
      </w:pPr>
      <w:r>
        <w:rPr>
          <w:rFonts w:ascii="Arial" w:cs="Arial" w:eastAsia="Arial" w:hAnsi="Arial"/>
          <w:sz w:val="22"/>
          <w:szCs w:val="22"/>
        </w:rPr>
        <w:t xml:space="preserve">IRT-based approaches (Polo et al.) — psychometric, not geometric</w:t>
      </w:r>
    </w:p>
    <w:p>
      <w:pPr>
        <w:pStyle w:val="ListParagraph"/>
        <w:numPr>
          <w:ilvl w:val="0"/>
          <w:numId w:val="5"/>
        </w:numPr>
        <w:spacing w:after="70"/>
      </w:pPr>
      <w:r>
        <w:rPr>
          <w:rFonts w:ascii="Arial" w:cs="Arial" w:eastAsia="Arial" w:hAnsi="Arial"/>
          <w:sz w:val="22"/>
          <w:szCs w:val="22"/>
        </w:rPr>
        <w:t xml:space="preserve">Chojecki (2025) "Geometry of Benchmarks" — moduli spaces, different math</w:t>
      </w:r>
    </w:p>
    <w:p>
      <w:pPr>
        <w:pStyle w:val="ListParagraph"/>
        <w:numPr>
          <w:ilvl w:val="0"/>
          <w:numId w:val="5"/>
        </w:numPr>
        <w:spacing w:after="70"/>
      </w:pPr>
      <w:r>
        <w:rPr>
          <w:rFonts w:ascii="Arial" w:cs="Arial" w:eastAsia="Arial" w:hAnsi="Arial"/>
          <w:b/>
          <w:bCs/>
          <w:sz w:val="22"/>
          <w:szCs w:val="22"/>
        </w:rPr>
        <w:t xml:space="preserve">Gap: </w:t>
      </w:r>
      <w:r>
        <w:rPr>
          <w:rFonts w:ascii="Arial" w:cs="Arial" w:eastAsia="Arial" w:hAnsi="Arial"/>
          <w:sz w:val="22"/>
          <w:szCs w:val="22"/>
        </w:rPr>
        <w:t xml:space="preserve">No formula connecting evaluation budget to ranking reliability</w:t>
      </w:r>
    </w:p>
    <w:p>
      <w:pPr>
        <w:pStyle w:val="Heading2"/>
        <w:spacing w:after="160" w:before="240"/>
      </w:pPr>
      <w:r>
        <w:rPr>
          <w:b/>
          <w:bCs/>
        </w:rPr>
        <w:t xml:space="preserve">2.4 What We Import vs. What We Prove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Stereology Provides</w:t>
            </w:r>
          </w:p>
        </w:tc>
        <w:tc>
          <w:tcPr>
            <w:tcW w:type="dxa" w:w="5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We Must Prove (New)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Cavalieri for Euclidean volumes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Extension to unknown-topology capability spaces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CE for uniform-random sections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Bounds under biased sectioning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Disector for known dimensionality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Simultaneous dimension + coverage estimation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Volume estimation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Ranking reliability (order statistics)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Busemann-Petty for all hyperplane sections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Finite-benchmark analogue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Gardner Problem 1.5: stability for exact X-rays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Stability for noisy scalar measurements</w:t>
            </w:r>
          </w:p>
        </w:tc>
      </w:tr>
    </w:tbl>
    <w:p>
      <w:r>
        <w:br w:type="page"/>
      </w:r>
    </w:p>
    <w:p>
      <w:pPr>
        <w:pStyle w:val="Heading1"/>
        <w:spacing w:after="200" w:before="360"/>
      </w:pPr>
      <w:r>
        <w:rPr>
          <w:b/>
          <w:bCs/>
        </w:rPr>
        <w:t xml:space="preserve">3. Theoretical Framework (~3–4 pages)</w:t>
      </w:r>
    </w:p>
    <w:p>
      <w:pPr>
        <w:pStyle w:val="Heading2"/>
        <w:spacing w:after="160" w:before="240"/>
      </w:pPr>
      <w:r>
        <w:rPr>
          <w:b/>
          <w:bCs/>
        </w:rPr>
        <w:t xml:space="preserve">3.1 Formal Setup</w:t>
      </w:r>
    </w:p>
    <w:p>
      <w:pPr>
        <w:spacing w:after="120"/>
      </w:pPr>
      <w:r>
        <w:rPr>
          <w:rFonts w:ascii="Arial" w:cs="Arial" w:eastAsia="Arial" w:hAnsi="Arial"/>
          <w:i/>
          <w:iCs/>
          <w:sz w:val="22"/>
          <w:szCs w:val="22"/>
        </w:rPr>
        <w:t xml:space="preserve">"We model each model’s capability profile as a point in a high-dimensional capability space C. For our geometric bounds (Theorems 2 and 4), we further assume that the capability profiles of a model population are distributed within a convex region of C. This assumption yields conservative bounds: non-convex capability distributions would only increase reconstruction difficulty and enlarge the indistinguishability class."</w:t>
      </w:r>
    </w:p>
    <w:p>
      <w:pPr>
        <w:spacing w:after="120"/>
      </w:pPr>
      <w:r>
        <w:rPr>
          <w:rFonts w:ascii="Arial" w:cs="Arial" w:eastAsia="Arial" w:hAnsi="Arial"/>
          <w:b/>
          <w:bCs/>
          <w:color w:val="E65100"/>
          <w:sz w:val="22"/>
          <w:szCs w:val="22"/>
        </w:rPr>
        <w:t xml:space="preserve">NOTE: </w:t>
      </w:r>
      <w:r>
        <w:rPr>
          <w:rFonts w:ascii="Arial" w:cs="Arial" w:eastAsia="Arial" w:hAnsi="Arial"/>
          <w:sz w:val="22"/>
          <w:szCs w:val="22"/>
        </w:rPr>
        <w:t xml:space="preserve">State convexity assumption here, per-theorem. See Handling Guide B.</w:t>
      </w:r>
    </w:p>
    <w:p>
      <w:pPr>
        <w:pStyle w:val="ListParagraph"/>
        <w:numPr>
          <w:ilvl w:val="0"/>
          <w:numId w:val="6"/>
        </w:numPr>
        <w:spacing w:after="70"/>
      </w:pPr>
      <w:r>
        <w:rPr>
          <w:rFonts w:ascii="Arial" w:cs="Arial" w:eastAsia="Arial" w:hAnsi="Arial"/>
          <w:b/>
          <w:bCs/>
          <w:sz w:val="22"/>
          <w:szCs w:val="22"/>
        </w:rPr>
        <w:t xml:space="preserve">Capability space: </w:t>
      </w:r>
      <w:r>
        <w:rPr>
          <w:rFonts w:ascii="Arial" w:cs="Arial" w:eastAsia="Arial" w:hAnsi="Arial"/>
          <w:sz w:val="22"/>
          <w:szCs w:val="22"/>
        </w:rPr>
        <w:t xml:space="preserve">C ⊆ ℝᴰ, D unknown</w:t>
      </w:r>
    </w:p>
    <w:p>
      <w:pPr>
        <w:pStyle w:val="ListParagraph"/>
        <w:numPr>
          <w:ilvl w:val="0"/>
          <w:numId w:val="6"/>
        </w:numPr>
        <w:spacing w:after="70"/>
      </w:pPr>
      <w:r>
        <w:rPr>
          <w:rFonts w:ascii="Arial" w:cs="Arial" w:eastAsia="Arial" w:hAnsi="Arial"/>
          <w:b/>
          <w:bCs/>
          <w:sz w:val="22"/>
          <w:szCs w:val="22"/>
        </w:rPr>
        <w:t xml:space="preserve">Benchmark: </w:t>
      </w:r>
      <w:r>
        <w:rPr>
          <w:rFonts w:ascii="Arial" w:cs="Arial" w:eastAsia="Arial" w:hAnsi="Arial"/>
          <w:sz w:val="22"/>
          <w:szCs w:val="22"/>
        </w:rPr>
        <w:t xml:space="preserve">π_i : C → ℝ (one scalar score)</w:t>
      </w:r>
    </w:p>
    <w:p>
      <w:pPr>
        <w:pStyle w:val="ListParagraph"/>
        <w:numPr>
          <w:ilvl w:val="0"/>
          <w:numId w:val="6"/>
        </w:numPr>
        <w:spacing w:after="70"/>
      </w:pPr>
      <w:r>
        <w:rPr>
          <w:rFonts w:ascii="Arial" w:cs="Arial" w:eastAsia="Arial" w:hAnsi="Arial"/>
          <w:b/>
          <w:bCs/>
          <w:sz w:val="22"/>
          <w:szCs w:val="22"/>
        </w:rPr>
        <w:t xml:space="preserve">Suite: </w:t>
      </w:r>
      <w:r>
        <w:rPr>
          <w:rFonts w:ascii="Arial" w:cs="Arial" w:eastAsia="Arial" w:hAnsi="Arial"/>
          <w:sz w:val="22"/>
          <w:szCs w:val="22"/>
        </w:rPr>
        <w:t xml:space="preserve">k benchmarks define Π : C → ℝᵏ</w:t>
      </w:r>
    </w:p>
    <w:p>
      <w:pPr>
        <w:pStyle w:val="ListParagraph"/>
        <w:numPr>
          <w:ilvl w:val="0"/>
          <w:numId w:val="6"/>
        </w:numPr>
        <w:spacing w:after="70"/>
      </w:pPr>
      <w:r>
        <w:rPr>
          <w:rFonts w:ascii="Arial" w:cs="Arial" w:eastAsia="Arial" w:hAnsi="Arial"/>
          <w:b/>
          <w:bCs/>
          <w:sz w:val="22"/>
          <w:szCs w:val="22"/>
        </w:rPr>
        <w:t xml:space="preserve">Observable: </w:t>
      </w:r>
      <w:r>
        <w:rPr>
          <w:rFonts w:ascii="Arial" w:cs="Arial" w:eastAsia="Arial" w:hAnsi="Arial"/>
          <w:sz w:val="22"/>
          <w:szCs w:val="22"/>
        </w:rPr>
        <w:t xml:space="preserve">Π(m) ∈ ℝᵏ</w:t>
      </w:r>
    </w:p>
    <w:p>
      <w:pPr>
        <w:pStyle w:val="ListParagraph"/>
        <w:numPr>
          <w:ilvl w:val="0"/>
          <w:numId w:val="6"/>
        </w:numPr>
        <w:spacing w:after="70"/>
      </w:pPr>
      <w:r>
        <w:rPr>
          <w:rFonts w:ascii="Arial" w:cs="Arial" w:eastAsia="Arial" w:hAnsi="Arial"/>
          <w:b/>
          <w:bCs/>
          <w:sz w:val="22"/>
          <w:szCs w:val="22"/>
        </w:rPr>
        <w:t xml:space="preserve">True profile: </w:t>
      </w:r>
      <w:r>
        <w:rPr>
          <w:rFonts w:ascii="Arial" w:cs="Arial" w:eastAsia="Arial" w:hAnsi="Arial"/>
          <w:sz w:val="22"/>
          <w:szCs w:val="22"/>
        </w:rPr>
        <w:t xml:space="preserve">m ∈ C (what we want)</w:t>
      </w:r>
    </w:p>
    <w:p>
      <w:pPr>
        <w:pStyle w:val="Heading2"/>
        <w:spacing w:after="160" w:before="240"/>
      </w:pPr>
      <w:r>
        <w:rPr>
          <w:b/>
          <w:bCs/>
        </w:rPr>
        <w:t xml:space="preserve">3.2 Theorem 1: Effective Dimensionality (~95%)</w:t>
      </w:r>
    </w:p>
    <w:p>
      <w:pPr>
        <w:spacing w:after="120"/>
      </w:pPr>
      <w:r>
        <w:rPr>
          <w:rFonts w:ascii="Arial" w:cs="Arial" w:eastAsia="Arial" w:hAnsi="Arial"/>
          <w:sz w:val="22"/>
          <w:szCs w:val="22"/>
        </w:rPr>
        <w:t xml:space="preserve">d_eff = (Σ λ_i)² / (Σ λ_i²) (participation ratio). Marchenko-Pastur correction when n ~ k.</w:t>
      </w:r>
    </w:p>
    <w:p>
      <w:pPr>
        <w:spacing w:after="120"/>
      </w:pPr>
      <w:r>
        <w:rPr>
          <w:rFonts w:ascii="Arial" w:cs="Arial" w:eastAsia="Arial" w:hAnsi="Arial"/>
          <w:b/>
          <w:bCs/>
          <w:sz w:val="22"/>
          <w:szCs w:val="22"/>
        </w:rPr>
        <w:t xml:space="preserve">Theorem 1: </w:t>
      </w:r>
      <w:r>
        <w:rPr>
          <w:rFonts w:ascii="Arial" w:cs="Arial" w:eastAsia="Arial" w:hAnsi="Arial"/>
          <w:sz w:val="22"/>
          <w:szCs w:val="22"/>
        </w:rPr>
        <w:t xml:space="preserve">Fraction of capability variance captured ≤ d_eff / D.</w:t>
      </w:r>
    </w:p>
    <w:p>
      <w:pPr>
        <w:spacing w:after="120"/>
      </w:pPr>
      <w:r>
        <w:rPr>
          <w:rFonts w:ascii="Arial" w:cs="Arial" w:eastAsia="Arial" w:hAnsi="Arial"/>
          <w:b/>
          <w:bCs/>
          <w:color w:val="2E7D32"/>
          <w:sz w:val="22"/>
          <w:szCs w:val="22"/>
        </w:rPr>
        <w:t xml:space="preserve">CONVEXITY: NOT REQUIRED. </w:t>
      </w:r>
      <w:r>
        <w:rPr>
          <w:rFonts w:ascii="Arial" w:cs="Arial" w:eastAsia="Arial" w:hAnsi="Arial"/>
          <w:sz w:val="22"/>
          <w:szCs w:val="22"/>
        </w:rPr>
        <w:t xml:space="preserve">Operates on correlation matrix only.</w:t>
      </w:r>
    </w:p>
    <w:p>
      <w:pPr>
        <w:pStyle w:val="Heading2"/>
        <w:spacing w:after="160" w:before="240"/>
      </w:pPr>
      <w:r>
        <w:rPr>
          <w:b/>
          <w:bCs/>
        </w:rPr>
        <w:t xml:space="preserve">3.3 Theorem 2: Indistinguishability Bound (~95% Lipschitz)</w:t>
      </w:r>
    </w:p>
    <w:p>
      <w:pPr>
        <w:spacing w:after="120"/>
      </w:pPr>
      <w:r>
        <w:rPr>
          <w:rFonts w:ascii="Arial" w:cs="Arial" w:eastAsia="Arial" w:hAnsi="Arial"/>
          <w:b/>
          <w:bCs/>
          <w:color w:val="CC0000"/>
          <w:sz w:val="22"/>
          <w:szCs w:val="22"/>
        </w:rPr>
        <w:t xml:space="preserve">HEADLINE THEOREM.</w:t>
      </w:r>
    </w:p>
    <w:p>
      <w:pPr>
        <w:spacing w:after="120"/>
      </w:pPr>
      <w:r>
        <w:rPr>
          <w:rFonts w:ascii="Arial" w:cs="Arial" w:eastAsia="Arial" w:hAnsi="Arial"/>
          <w:b/>
          <w:bCs/>
          <w:sz w:val="22"/>
          <w:szCs w:val="22"/>
        </w:rPr>
        <w:t xml:space="preserve">Lipschitz version: </w:t>
      </w:r>
      <w:r>
        <w:rPr>
          <w:rFonts w:ascii="Arial" w:cs="Arial" w:eastAsia="Arial" w:hAnsi="Arial"/>
          <w:sz w:val="22"/>
          <w:szCs w:val="22"/>
        </w:rPr>
        <w:t xml:space="preserve">For centered bodies in ball of radius R, scores agree within ε in m directions: δ(K,L) ≤ ε + πR/m. Minimum benchmarks for distance ≤ δ: m ≥ πR/(δ−ε).</w:t>
      </w:r>
    </w:p>
    <w:p>
      <w:pPr>
        <w:spacing w:after="120"/>
      </w:pPr>
      <w:r>
        <w:rPr>
          <w:rFonts w:ascii="Arial" w:cs="Arial" w:eastAsia="Arial" w:hAnsi="Arial"/>
          <w:b/>
          <w:bCs/>
          <w:color w:val="E65100"/>
          <w:sz w:val="22"/>
          <w:szCs w:val="22"/>
        </w:rPr>
        <w:t xml:space="preserve">CONVEXITY: REQUIRED </w:t>
      </w:r>
      <w:r>
        <w:rPr>
          <w:rFonts w:ascii="Arial" w:cs="Arial" w:eastAsia="Arial" w:hAnsi="Arial"/>
          <w:sz w:val="22"/>
          <w:szCs w:val="22"/>
        </w:rPr>
        <w:t xml:space="preserve">for geometric bound. Empirical held-out validation works regardless.</w:t>
      </w:r>
    </w:p>
    <w:p>
      <w:pPr>
        <w:spacing w:after="120"/>
      </w:pPr>
      <w:r>
        <w:rPr>
          <w:rFonts w:ascii="Arial" w:cs="Arial" w:eastAsia="Arial" w:hAnsi="Arial"/>
          <w:b/>
          <w:bCs/>
          <w:sz w:val="22"/>
          <w:szCs w:val="22"/>
        </w:rPr>
        <w:t xml:space="preserve">Corollary 2.1 (Ranking Unreliability): </w:t>
      </w:r>
      <w:r>
        <w:rPr>
          <w:rFonts w:ascii="Arial" w:cs="Arial" w:eastAsia="Arial" w:hAnsi="Arial"/>
          <w:sz w:val="22"/>
          <w:szCs w:val="22"/>
        </w:rPr>
        <w:t xml:space="preserve">P(top-ranked = truly best) bounded by P(n, d_eff, D). Compute for Open LLM Leaderboard.</w:t>
      </w:r>
    </w:p>
    <w:p>
      <w:pPr>
        <w:spacing w:after="120"/>
      </w:pPr>
      <w:r>
        <w:rPr>
          <w:rFonts w:ascii="Arial" w:cs="Arial" w:eastAsia="Arial" w:hAnsi="Arial"/>
          <w:b/>
          <w:bCs/>
          <w:sz w:val="22"/>
          <w:szCs w:val="22"/>
        </w:rPr>
        <w:t xml:space="preserve">Corollary 2.2 (Rank Reversal): </w:t>
      </w:r>
      <w:r>
        <w:rPr>
          <w:rFonts w:ascii="Arial" w:cs="Arial" w:eastAsia="Arial" w:hAnsi="Arial"/>
          <w:sz w:val="22"/>
          <w:szCs w:val="22"/>
        </w:rPr>
        <w:t xml:space="preserve">For d_eff &lt; n−1, adding a model can reverse rankings. Connects to Belton &amp; Gear (1983), 40 years MCDM. One paragraph.</w:t>
      </w:r>
    </w:p>
    <w:p>
      <w:pPr>
        <w:pStyle w:val="Heading2"/>
        <w:spacing w:after="160" w:before="240"/>
      </w:pPr>
      <w:r>
        <w:rPr>
          <w:b/>
          <w:bCs/>
        </w:rPr>
        <w:t xml:space="preserve">3.4 Theorem 3: Greedy Algorithm + Dimension Estimation (~90%)</w:t>
      </w:r>
    </w:p>
    <w:p>
      <w:pPr>
        <w:spacing w:after="120"/>
      </w:pPr>
      <w:r>
        <w:rPr>
          <w:rFonts w:ascii="Arial" w:cs="Arial" w:eastAsia="Arial" w:hAnsi="Arial"/>
          <w:b/>
          <w:bCs/>
          <w:sz w:val="22"/>
          <w:szCs w:val="22"/>
        </w:rPr>
        <w:t xml:space="preserve">Part A: </w:t>
      </w:r>
      <w:r>
        <w:rPr>
          <w:rFonts w:ascii="Arial" w:cs="Arial" w:eastAsia="Arial" w:hAnsi="Arial"/>
          <w:sz w:val="22"/>
          <w:szCs w:val="22"/>
        </w:rPr>
        <w:t xml:space="preserve">Bound D from eigenvalue decay (lower) and distinguishable models (upper).</w:t>
      </w:r>
    </w:p>
    <w:p>
      <w:pPr>
        <w:spacing w:after="120"/>
      </w:pPr>
      <w:r>
        <w:rPr>
          <w:rFonts w:ascii="Arial" w:cs="Arial" w:eastAsia="Arial" w:hAnsi="Arial"/>
          <w:b/>
          <w:bCs/>
          <w:sz w:val="22"/>
          <w:szCs w:val="22"/>
        </w:rPr>
        <w:t xml:space="preserve">Part B: </w:t>
      </w:r>
      <w:r>
        <w:rPr>
          <w:rFonts w:ascii="Arial" w:cs="Arial" w:eastAsia="Arial" w:hAnsi="Arial"/>
          <w:sz w:val="22"/>
          <w:szCs w:val="22"/>
        </w:rPr>
        <w:t xml:space="preserve">Input: benchmarks + correlations. Output: (a) minimum subset, (b) redundancies, (c) uncovered directions.</w:t>
      </w:r>
    </w:p>
    <w:p>
      <w:pPr>
        <w:spacing w:after="120"/>
      </w:pPr>
      <w:r>
        <w:rPr>
          <w:rFonts w:ascii="Arial" w:cs="Arial" w:eastAsia="Arial" w:hAnsi="Arial"/>
          <w:b/>
          <w:bCs/>
          <w:color w:val="2E7D32"/>
          <w:sz w:val="22"/>
          <w:szCs w:val="22"/>
        </w:rPr>
        <w:t xml:space="preserve">CONVEXITY: NOT REQUIRED. </w:t>
      </w:r>
      <w:r>
        <w:rPr>
          <w:rFonts w:ascii="Arial" w:cs="Arial" w:eastAsia="Arial" w:hAnsi="Arial"/>
          <w:sz w:val="22"/>
          <w:szCs w:val="22"/>
        </w:rPr>
        <w:t xml:space="preserve">Operates on correlation matrix only.</w:t>
      </w:r>
    </w:p>
    <w:p>
      <w:pPr>
        <w:pStyle w:val="Heading2"/>
        <w:spacing w:after="160" w:before="240"/>
      </w:pPr>
      <w:r>
        <w:rPr>
          <w:b/>
          <w:bCs/>
        </w:rPr>
        <w:t xml:space="preserve">3.5 Corollary: Busemann-Petty Threshold</w:t>
      </w:r>
    </w:p>
    <w:p>
      <w:pPr>
        <w:spacing w:after="120"/>
      </w:pPr>
      <w:r>
        <w:rPr>
          <w:rFonts w:ascii="Arial" w:cs="Arial" w:eastAsia="Arial" w:hAnsi="Arial"/>
          <w:i/>
          <w:iCs/>
          <w:sz w:val="22"/>
          <w:szCs w:val="22"/>
        </w:rPr>
        <w:t xml:space="preserve">"For evaluation suites with effective dimensionality d_eff ≥ 5, there exist model pairs where model A’s projected score is strictly lower than model B’s in every benchmark direction, yet model A occupies a larger volume of the capability space. This follows from the general principle, established by the resolution of the Busemann-Petty problem and Shephard’s problem, that pointwise domination of lower-dimensional projections does not entail domination of full-dimensional quantities in high dimensions."</w:t>
      </w:r>
    </w:p>
    <w:p>
      <w:pPr>
        <w:spacing w:after="120"/>
      </w:pPr>
      <w:r>
        <w:rPr>
          <w:rFonts w:ascii="Arial" w:cs="Arial" w:eastAsia="Arial" w:hAnsi="Arial"/>
          <w:b/>
          <w:bCs/>
          <w:color w:val="E65100"/>
          <w:sz w:val="22"/>
          <w:szCs w:val="22"/>
        </w:rPr>
        <w:t xml:space="preserve">NOTE: </w:t>
      </w:r>
      <w:r>
        <w:rPr>
          <w:rFonts w:ascii="Arial" w:cs="Arial" w:eastAsia="Arial" w:hAnsi="Arial"/>
          <w:sz w:val="22"/>
          <w:szCs w:val="22"/>
        </w:rPr>
        <w:t xml:space="preserve">Says "projected score" not "section volume". Says "follows from the general principle" not "is a consequence of." Cites both B-P and Shephard. Exact threshold for benchmark scores stated as open question.</w:t>
      </w:r>
    </w:p>
    <w:p>
      <w:pPr>
        <w:pStyle w:val="Heading2"/>
        <w:spacing w:after="160" w:before="240"/>
      </w:pPr>
      <w:r>
        <w:rPr>
          <w:b/>
          <w:bCs/>
        </w:rPr>
        <w:t xml:space="preserve">3.6 Theorem 4: Tight Stability Bound (CEILING, ~40%)</w:t>
      </w:r>
    </w:p>
    <w:p>
      <w:pPr>
        <w:spacing w:after="120"/>
      </w:pPr>
      <w:r>
        <w:rPr>
          <w:rFonts w:ascii="Arial" w:cs="Arial" w:eastAsia="Arial" w:hAnsi="Arial"/>
          <w:b/>
          <w:bCs/>
          <w:color w:val="CC0000"/>
          <w:sz w:val="22"/>
          <w:szCs w:val="22"/>
        </w:rPr>
        <w:t xml:space="preserve">SPOTLIGHT BID.</w:t>
      </w:r>
    </w:p>
    <w:p>
      <w:pPr>
        <w:spacing w:after="120"/>
      </w:pPr>
      <w:r>
        <w:rPr>
          <w:rFonts w:ascii="Arial" w:cs="Arial" w:eastAsia="Arial" w:hAnsi="Arial"/>
          <w:b/>
          <w:bCs/>
          <w:sz w:val="22"/>
          <w:szCs w:val="22"/>
        </w:rPr>
        <w:t xml:space="preserve">Motivation: </w:t>
      </w:r>
      <w:r>
        <w:rPr>
          <w:rFonts w:ascii="Arial" w:cs="Arial" w:eastAsia="Arial" w:hAnsi="Arial"/>
          <w:sz w:val="22"/>
          <w:szCs w:val="22"/>
        </w:rPr>
        <w:t xml:space="preserve">Gardner’s Problem 1.5 (1995): stability of X-ray determination under noise. Open 30 years.</w:t>
      </w:r>
    </w:p>
    <w:p>
      <w:pPr>
        <w:spacing w:after="120"/>
      </w:pPr>
      <w:r>
        <w:rPr>
          <w:rFonts w:ascii="Arial" w:cs="Arial" w:eastAsia="Arial" w:hAnsi="Arial"/>
          <w:b/>
          <w:bCs/>
          <w:sz w:val="22"/>
          <w:szCs w:val="22"/>
        </w:rPr>
        <w:t xml:space="preserve">Approach: </w:t>
      </w:r>
      <w:r>
        <w:rPr>
          <w:rFonts w:ascii="Arial" w:cs="Arial" w:eastAsia="Arial" w:hAnsi="Arial"/>
          <w:sz w:val="22"/>
          <w:szCs w:val="22"/>
        </w:rPr>
        <w:t xml:space="preserve">Centered bodies, Fourier series on circle, m equally spaced directions sample m coefficients, bound tail via convexity, assemble via Groemer’s stability.</w:t>
      </w:r>
    </w:p>
    <w:p>
      <w:pPr>
        <w:spacing w:after="120"/>
      </w:pPr>
      <w:r>
        <w:rPr>
          <w:rFonts w:ascii="Arial" w:cs="Arial" w:eastAsia="Arial" w:hAnsi="Arial"/>
          <w:b/>
          <w:bCs/>
          <w:sz w:val="22"/>
          <w:szCs w:val="22"/>
        </w:rPr>
        <w:t xml:space="preserve">Theorem 4 (if achieved): </w:t>
      </w:r>
      <w:r>
        <w:rPr>
          <w:rFonts w:ascii="Arial" w:cs="Arial" w:eastAsia="Arial" w:hAnsi="Arial"/>
          <w:sz w:val="22"/>
          <w:szCs w:val="22"/>
        </w:rPr>
        <w:t xml:space="preserve">δ(K,L) ≤ Cε + C’/m². The 1/m² rate (vs Lipschitz 1/m) comes from Fourier decay.</w:t>
      </w:r>
    </w:p>
    <w:p>
      <w:pPr>
        <w:spacing w:after="120"/>
      </w:pPr>
      <w:r>
        <w:rPr>
          <w:rFonts w:ascii="Arial" w:cs="Arial" w:eastAsia="Arial" w:hAnsi="Arial"/>
          <w:b/>
          <w:bCs/>
          <w:color w:val="E65100"/>
          <w:sz w:val="22"/>
          <w:szCs w:val="22"/>
        </w:rPr>
        <w:t xml:space="preserve">CONVEXITY: REQUIRED.</w:t>
      </w:r>
    </w:p>
    <w:p>
      <w:pPr>
        <w:spacing w:after="120"/>
      </w:pPr>
      <w:r>
        <w:rPr>
          <w:rFonts w:ascii="Arial" w:cs="Arial" w:eastAsia="Arial" w:hAnsi="Arial"/>
          <w:b/>
          <w:bCs/>
          <w:sz w:val="22"/>
          <w:szCs w:val="22"/>
        </w:rPr>
        <w:t xml:space="preserve">Feasibility: </w:t>
      </w:r>
      <w:r>
        <w:rPr>
          <w:rFonts w:ascii="Arial" w:cs="Arial" w:eastAsia="Arial" w:hAnsi="Arial"/>
          <w:sz w:val="22"/>
          <w:szCs w:val="22"/>
        </w:rPr>
        <w:t xml:space="preserve">Lipschitz ~95%. Tight Fourier ~40%. Full Problem 1.5 ~10%. High-dim ~5%.</w:t>
      </w:r>
    </w:p>
    <w:p>
      <w:r>
        <w:br w:type="page"/>
      </w:r>
    </w:p>
    <w:p>
      <w:pPr>
        <w:pStyle w:val="Heading1"/>
        <w:spacing w:after="200" w:before="360"/>
      </w:pPr>
      <w:r>
        <w:rPr>
          <w:b/>
          <w:bCs/>
        </w:rPr>
        <w:t xml:space="preserve">4. Empirical Validation (~2.5 pages)</w:t>
      </w:r>
    </w:p>
    <w:p>
      <w:pPr>
        <w:pStyle w:val="Heading2"/>
        <w:spacing w:after="160" w:before="240"/>
      </w:pPr>
      <w:r>
        <w:rPr>
          <w:b/>
          <w:bCs/>
        </w:rPr>
        <w:t xml:space="preserve">4.1 Data (all public)</w:t>
      </w:r>
    </w:p>
    <w:p>
      <w:pPr>
        <w:pStyle w:val="ListParagraph"/>
        <w:numPr>
          <w:ilvl w:val="0"/>
          <w:numId w:val="7"/>
        </w:numPr>
        <w:spacing w:after="70"/>
      </w:pPr>
      <w:r>
        <w:rPr>
          <w:rFonts w:ascii="Arial" w:cs="Arial" w:eastAsia="Arial" w:hAnsi="Arial"/>
          <w:sz w:val="22"/>
          <w:szCs w:val="22"/>
        </w:rPr>
        <w:t xml:space="preserve">Open LLM Leaderboard (50+ models, 6 benchmarks)</w:t>
      </w:r>
    </w:p>
    <w:p>
      <w:pPr>
        <w:pStyle w:val="ListParagraph"/>
        <w:numPr>
          <w:ilvl w:val="0"/>
          <w:numId w:val="7"/>
        </w:numPr>
        <w:spacing w:after="70"/>
      </w:pPr>
      <w:r>
        <w:rPr>
          <w:rFonts w:ascii="Arial" w:cs="Arial" w:eastAsia="Arial" w:hAnsi="Arial"/>
          <w:sz w:val="22"/>
          <w:szCs w:val="22"/>
        </w:rPr>
        <w:t xml:space="preserve">HELM (30+ models)</w:t>
      </w:r>
    </w:p>
    <w:p>
      <w:pPr>
        <w:pStyle w:val="ListParagraph"/>
        <w:numPr>
          <w:ilvl w:val="0"/>
          <w:numId w:val="7"/>
        </w:numPr>
        <w:spacing w:after="70"/>
      </w:pPr>
      <w:r>
        <w:rPr>
          <w:rFonts w:ascii="Arial" w:cs="Arial" w:eastAsia="Arial" w:hAnsi="Arial"/>
          <w:sz w:val="22"/>
          <w:szCs w:val="22"/>
        </w:rPr>
        <w:t xml:space="preserve">Chatbot Arena (Elo as ground truth)</w:t>
      </w:r>
    </w:p>
    <w:p>
      <w:pPr>
        <w:pStyle w:val="ListParagraph"/>
        <w:numPr>
          <w:ilvl w:val="0"/>
          <w:numId w:val="7"/>
        </w:numPr>
        <w:spacing w:after="70"/>
      </w:pPr>
      <w:r>
        <w:rPr>
          <w:rFonts w:ascii="Arial" w:cs="Arial" w:eastAsia="Arial" w:hAnsi="Arial"/>
          <w:sz w:val="22"/>
          <w:szCs w:val="22"/>
        </w:rPr>
        <w:t xml:space="preserve">Published model cards</w:t>
      </w:r>
    </w:p>
    <w:p>
      <w:pPr>
        <w:pStyle w:val="Heading2"/>
        <w:spacing w:after="160" w:before="240"/>
      </w:pPr>
      <w:r>
        <w:rPr>
          <w:b/>
          <w:bCs/>
        </w:rPr>
        <w:t xml:space="preserve">4.2 Exp 1: d_eff Is 3–5</w:t>
      </w:r>
    </w:p>
    <w:p>
      <w:pPr>
        <w:spacing w:after="120"/>
      </w:pPr>
      <w:r>
        <w:rPr>
          <w:rFonts w:ascii="Arial" w:cs="Arial" w:eastAsia="Arial" w:hAnsi="Arial"/>
          <w:sz w:val="22"/>
          <w:szCs w:val="22"/>
        </w:rPr>
        <w:t xml:space="preserve">Eigenvalue decomposition. Participation ratio. Figure 2: PCA colored by benchmark.</w:t>
      </w:r>
    </w:p>
    <w:p>
      <w:pPr>
        <w:pStyle w:val="Heading2"/>
        <w:spacing w:after="160" w:before="240"/>
      </w:pPr>
      <w:r>
        <w:rPr>
          <w:b/>
          <w:bCs/>
        </w:rPr>
        <w:t xml:space="preserve">4.3 Exp 2: Blind Spot Is Large</w:t>
      </w:r>
    </w:p>
    <w:p>
      <w:pPr>
        <w:spacing w:after="120"/>
      </w:pPr>
      <w:r>
        <w:rPr>
          <w:rFonts w:ascii="Arial" w:cs="Arial" w:eastAsia="Arial" w:hAnsi="Arial"/>
          <w:sz w:val="22"/>
          <w:szCs w:val="22"/>
        </w:rPr>
        <w:t xml:space="preserve">Held-out: 10 known, 5 held out. Theory predicts divergence bound. Check real divergence. Ranking unreliability for Open LLM Leaderboard.</w:t>
      </w:r>
    </w:p>
    <w:p>
      <w:pPr>
        <w:pStyle w:val="Heading2"/>
        <w:spacing w:after="160" w:before="240"/>
      </w:pPr>
      <w:r>
        <w:rPr>
          <w:b/>
          <w:bCs/>
        </w:rPr>
        <w:t xml:space="preserve">4.4 Exp 3: Fix Works</w:t>
      </w:r>
    </w:p>
    <w:p>
      <w:pPr>
        <w:pStyle w:val="ListParagraph"/>
        <w:numPr>
          <w:ilvl w:val="0"/>
          <w:numId w:val="8"/>
        </w:numPr>
        <w:spacing w:after="70"/>
      </w:pPr>
      <w:r>
        <w:rPr>
          <w:rFonts w:ascii="Arial" w:cs="Arial" w:eastAsia="Arial" w:hAnsi="Arial"/>
          <w:sz w:val="22"/>
          <w:szCs w:val="22"/>
        </w:rPr>
        <w:t xml:space="preserve">"20 benchmarks but only need 7"</w:t>
      </w:r>
    </w:p>
    <w:p>
      <w:pPr>
        <w:pStyle w:val="ListParagraph"/>
        <w:numPr>
          <w:ilvl w:val="0"/>
          <w:numId w:val="8"/>
        </w:numPr>
        <w:spacing w:after="70"/>
      </w:pPr>
      <w:r>
        <w:rPr>
          <w:rFonts w:ascii="Arial" w:cs="Arial" w:eastAsia="Arial" w:hAnsi="Arial"/>
          <w:sz w:val="22"/>
          <w:szCs w:val="22"/>
        </w:rPr>
        <w:t xml:space="preserve">Blind spot shrinks with recommended subset</w:t>
      </w:r>
    </w:p>
    <w:p>
      <w:pPr>
        <w:pStyle w:val="ListParagraph"/>
        <w:numPr>
          <w:ilvl w:val="0"/>
          <w:numId w:val="8"/>
        </w:numPr>
        <w:spacing w:after="70"/>
      </w:pPr>
      <w:r>
        <w:rPr>
          <w:rFonts w:ascii="Arial" w:cs="Arial" w:eastAsia="Arial" w:hAnsi="Arial"/>
          <w:sz w:val="22"/>
          <w:szCs w:val="22"/>
        </w:rPr>
        <w:t xml:space="preserve">Characterize uncovered capability direction</w:t>
      </w:r>
    </w:p>
    <w:p>
      <w:pPr>
        <w:pStyle w:val="Heading2"/>
        <w:spacing w:after="160" w:before="240"/>
      </w:pPr>
      <w:r>
        <w:rPr>
          <w:b/>
          <w:bCs/>
        </w:rPr>
        <w:t xml:space="preserve">4.5 Exp 4: Corollaries in the Wild</w:t>
      </w:r>
    </w:p>
    <w:p>
      <w:pPr>
        <w:spacing w:after="120"/>
      </w:pPr>
      <w:r>
        <w:rPr>
          <w:rFonts w:ascii="Arial" w:cs="Arial" w:eastAsia="Arial" w:hAnsi="Arial"/>
          <w:sz w:val="22"/>
          <w:szCs w:val="22"/>
        </w:rPr>
        <w:t xml:space="preserve">Real rank reversals from adding models. Real cases of benchmark domination with plausible capability inferiority. Both predicted by theory.</w:t>
      </w:r>
    </w:p>
    <w:p>
      <w:r>
        <w:br w:type="page"/>
      </w:r>
    </w:p>
    <w:p>
      <w:pPr>
        <w:pStyle w:val="Heading1"/>
        <w:spacing w:after="200" w:before="360"/>
      </w:pPr>
      <w:r>
        <w:rPr>
          <w:b/>
          <w:bCs/>
        </w:rPr>
        <w:t xml:space="preserve">5. Applications (~0.75 pages)</w:t>
      </w:r>
    </w:p>
    <w:p>
      <w:pPr>
        <w:pStyle w:val="Heading2"/>
        <w:spacing w:after="160" w:before="240"/>
      </w:pPr>
      <w:r>
        <w:rPr>
          <w:b/>
          <w:bCs/>
        </w:rPr>
        <w:t xml:space="preserve">5.1 Ranking Reliability Formula</w:t>
      </w:r>
    </w:p>
    <w:p>
      <w:pPr>
        <w:spacing w:after="120"/>
      </w:pPr>
      <w:r>
        <w:rPr>
          <w:rFonts w:ascii="Arial" w:cs="Arial" w:eastAsia="Arial" w:hAnsi="Arial"/>
          <w:sz w:val="22"/>
          <w:szCs w:val="22"/>
        </w:rPr>
        <w:t xml:space="preserve">Input correlation matrix + number of models. Output reliability + required evaluations.</w:t>
      </w:r>
    </w:p>
    <w:p>
      <w:pPr>
        <w:pStyle w:val="Heading2"/>
        <w:spacing w:after="160" w:before="240"/>
      </w:pPr>
      <w:r>
        <w:rPr>
          <w:b/>
          <w:bCs/>
        </w:rPr>
        <w:t xml:space="preserve">5.2 Regulatory Minimum</w:t>
      </w:r>
    </w:p>
    <w:p>
      <w:pPr>
        <w:spacing w:after="120"/>
      </w:pPr>
      <w:r>
        <w:rPr>
          <w:rFonts w:ascii="Arial" w:cs="Arial" w:eastAsia="Arial" w:hAnsi="Arial"/>
          <w:sz w:val="22"/>
          <w:szCs w:val="22"/>
        </w:rPr>
        <w:t xml:space="preserve">EU AI Act: first principled answer to "how many evaluations is enough."</w:t>
      </w:r>
    </w:p>
    <w:p>
      <w:pPr>
        <w:pStyle w:val="Heading2"/>
        <w:spacing w:after="160" w:before="240"/>
      </w:pPr>
      <w:r>
        <w:rPr>
          <w:b/>
          <w:bCs/>
        </w:rPr>
        <w:t xml:space="preserve">5.3 Greedy Coverage Algorithm</w:t>
      </w:r>
    </w:p>
    <w:p>
      <w:pPr>
        <w:spacing w:after="120"/>
      </w:pPr>
      <w:r>
        <w:rPr>
          <w:rFonts w:ascii="Arial" w:cs="Arial" w:eastAsia="Arial" w:hAnsi="Arial"/>
          <w:sz w:val="22"/>
          <w:szCs w:val="22"/>
        </w:rPr>
        <w:t xml:space="preserve">Subsumes: cost reduction, update verification, benchmark retirement.</w:t>
      </w:r>
    </w:p>
    <w:p>
      <w:pPr>
        <w:pStyle w:val="Heading1"/>
        <w:spacing w:after="200" w:before="360"/>
      </w:pPr>
      <w:r>
        <w:rPr>
          <w:b/>
          <w:bCs/>
        </w:rPr>
        <w:t xml:space="preserve">6. Discussion (~0.75 pages)</w:t>
      </w:r>
    </w:p>
    <w:p>
      <w:pPr>
        <w:pStyle w:val="Heading2"/>
        <w:spacing w:after="160" w:before="240"/>
      </w:pPr>
      <w:r>
        <w:rPr>
          <w:b/>
          <w:bCs/>
        </w:rPr>
        <w:t xml:space="preserve">6.1 Limitations</w:t>
      </w:r>
    </w:p>
    <w:p>
      <w:pPr>
        <w:pStyle w:val="ListParagraph"/>
        <w:numPr>
          <w:ilvl w:val="0"/>
          <w:numId w:val="9"/>
        </w:numPr>
        <w:spacing w:after="70"/>
      </w:pPr>
      <w:r>
        <w:rPr>
          <w:rFonts w:ascii="Arial" w:cs="Arial" w:eastAsia="Arial" w:hAnsi="Arial"/>
          <w:sz w:val="22"/>
          <w:szCs w:val="22"/>
        </w:rPr>
        <w:t xml:space="preserve">Continuous capability assumption; some capabilities are discrete/emergent</w:t>
      </w:r>
    </w:p>
    <w:p>
      <w:pPr>
        <w:pStyle w:val="ListParagraph"/>
        <w:numPr>
          <w:ilvl w:val="0"/>
          <w:numId w:val="9"/>
        </w:numPr>
        <w:spacing w:after="70"/>
      </w:pPr>
      <w:r>
        <w:rPr>
          <w:rFonts w:ascii="Arial" w:cs="Arial" w:eastAsia="Arial" w:hAnsi="Arial"/>
          <w:sz w:val="22"/>
          <w:szCs w:val="22"/>
        </w:rPr>
        <w:t xml:space="preserve">Dimension bounds necessarily loose</w:t>
      </w:r>
    </w:p>
    <w:p>
      <w:pPr>
        <w:pStyle w:val="ListParagraph"/>
        <w:numPr>
          <w:ilvl w:val="0"/>
          <w:numId w:val="9"/>
        </w:numPr>
        <w:spacing w:after="70"/>
      </w:pPr>
      <w:r>
        <w:rPr>
          <w:rFonts w:ascii="Arial" w:cs="Arial" w:eastAsia="Arial" w:hAnsi="Arial"/>
          <w:sz w:val="22"/>
          <w:szCs w:val="22"/>
        </w:rPr>
        <w:t xml:space="preserve">Correlation structure from finite population; may shift</w:t>
      </w:r>
    </w:p>
    <w:p>
      <w:pPr>
        <w:pStyle w:val="ListParagraph"/>
        <w:numPr>
          <w:ilvl w:val="0"/>
          <w:numId w:val="9"/>
        </w:numPr>
        <w:spacing w:after="70"/>
      </w:pPr>
      <w:r>
        <w:rPr>
          <w:rFonts w:ascii="Arial" w:cs="Arial" w:eastAsia="Arial" w:hAnsi="Arial"/>
          <w:sz w:val="22"/>
          <w:szCs w:val="22"/>
        </w:rPr>
        <w:t xml:space="preserve">No deployment claims — distinguishability only</w:t>
      </w:r>
    </w:p>
    <w:p>
      <w:pPr>
        <w:pStyle w:val="ListParagraph"/>
        <w:numPr>
          <w:ilvl w:val="0"/>
          <w:numId w:val="9"/>
        </w:numPr>
        <w:spacing w:after="70"/>
      </w:pPr>
      <w:r>
        <w:rPr>
          <w:rFonts w:ascii="Arial" w:cs="Arial" w:eastAsia="Arial" w:hAnsi="Arial"/>
          <w:sz w:val="22"/>
          <w:szCs w:val="22"/>
        </w:rPr>
        <w:t xml:space="preserve">Tight bound (Th 4) only for centered bodies with equally spaced directions</w:t>
      </w:r>
    </w:p>
    <w:p>
      <w:pPr>
        <w:pStyle w:val="Heading2"/>
        <w:spacing w:after="160" w:before="240"/>
      </w:pPr>
      <w:r>
        <w:rPr>
          <w:b/>
          <w:bCs/>
        </w:rPr>
        <w:t xml:space="preserve">6.2 On the Convexity Assumption</w:t>
      </w:r>
    </w:p>
    <w:p>
      <w:pPr>
        <w:spacing w:after="120"/>
      </w:pPr>
      <w:r>
        <w:rPr>
          <w:rFonts w:ascii="Arial" w:cs="Arial" w:eastAsia="Arial" w:hAnsi="Arial"/>
          <w:i/>
          <w:iCs/>
          <w:sz w:val="22"/>
          <w:szCs w:val="22"/>
        </w:rPr>
        <w:t xml:space="preserve">"Our geometric bounds (Theorems 2 and 4) assume convex capability profiles. This may be violated by emergent capabilities, discrete capabilities, and training artifacts. Three observations mitigate: (1) our main practical tools (Theorems 1, 3) require no geometric assumptions; (2) convexity yields conservative bounds since non-convex profiles are harder to reconstruct; (3) empirical validation operates on real data without invoking convexity. Extending to star-shaped profiles follows the trajectory of geometric tomography itself."</w:t>
      </w:r>
    </w:p>
    <w:p>
      <w:pPr>
        <w:pStyle w:val="Heading2"/>
        <w:spacing w:after="160" w:before="240"/>
      </w:pPr>
      <w:r>
        <w:rPr>
          <w:b/>
          <w:bCs/>
        </w:rPr>
        <w:t xml:space="preserve">6.3 Gardner’s Open Problems</w:t>
      </w:r>
    </w:p>
    <w:p>
      <w:pPr>
        <w:spacing w:after="120"/>
      </w:pPr>
      <w:r>
        <w:rPr>
          <w:rFonts w:ascii="Arial" w:cs="Arial" w:eastAsia="Arial" w:hAnsi="Arial"/>
          <w:sz w:val="22"/>
          <w:szCs w:val="22"/>
        </w:rPr>
        <w:t xml:space="preserve">Cite the 66 problems. Position paper as bridge between geometric tomography and ML evaluation. Future work: Problems 2.1 (7-direction determination), 7.6 (section perimeters), 8.2 (lower-dimensional Busemann-Petty).</w:t>
      </w:r>
    </w:p>
    <w:p>
      <w:pPr>
        <w:pStyle w:val="Heading2"/>
        <w:spacing w:after="160" w:before="240"/>
      </w:pPr>
      <w:r>
        <w:rPr>
          <w:b/>
          <w:bCs/>
        </w:rPr>
        <w:t xml:space="preserve">6.4 Connection to Verification Tax</w:t>
      </w:r>
    </w:p>
    <w:p>
      <w:pPr>
        <w:spacing w:after="120"/>
      </w:pPr>
      <w:r>
        <w:rPr>
          <w:rFonts w:ascii="Arial" w:cs="Arial" w:eastAsia="Arial" w:hAnsi="Arial"/>
          <w:sz w:val="22"/>
          <w:szCs w:val="22"/>
        </w:rPr>
        <w:t xml:space="preserve">Stereology = geometric version. Assouad = statistical version. Same question: what can evaluators learn from finite observations?</w:t>
      </w:r>
    </w:p>
    <w:p>
      <w:r>
        <w:br w:type="page"/>
      </w:r>
    </w:p>
    <w:p>
      <w:pPr>
        <w:pStyle w:val="Heading1"/>
        <w:spacing w:after="200" w:before="360"/>
      </w:pPr>
      <w:r>
        <w:rPr>
          <w:b/>
          <w:bCs/>
        </w:rPr>
        <w:t xml:space="preserve">7. Execution Details</w:t>
      </w:r>
    </w:p>
    <w:p>
      <w:pPr>
        <w:pStyle w:val="Heading2"/>
        <w:spacing w:after="160" w:before="240"/>
      </w:pPr>
      <w:r>
        <w:rPr>
          <w:b/>
          <w:bCs/>
        </w:rPr>
        <w:t xml:space="preserve">7.1 Proof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45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2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Odds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1: eigenvalue + participation ratio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2: Lipschitz indistinguishability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3: greedy algorithm + dimension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Corollaries: B-P + rank reversal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Empirical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4: Fourier tight bound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~40%</w:t>
            </w:r>
          </w:p>
        </w:tc>
      </w:tr>
    </w:tbl>
    <w:p>
      <w:pPr>
        <w:spacing w:after="160"/>
      </w:pPr>
    </w:p>
    <w:p>
      <w:pPr>
        <w:pStyle w:val="Heading2"/>
        <w:spacing w:after="160" w:before="240"/>
      </w:pPr>
      <w:r>
        <w:rPr>
          <w:b/>
          <w:bCs/>
        </w:rPr>
        <w:t xml:space="preserve">7.2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29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d_eff &gt;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Result 1 weaker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Pivot: which suites are well-designed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Ranking reliability &gt; 90%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Headline weak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"Barely sufficient; more models breaks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4 fails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Lose spotlight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Floor still strong main track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"Just PCA"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Desk reject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Section 2.4 table; bounds are NOT PCA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"No real-world"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So-what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Proves benchmark insufficiency within benchmark space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"Convexity unrealistic"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Model concern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Handling Guide B; conservative bounds; Th 1,3 assumption-free</w:t>
            </w:r>
          </w:p>
        </w:tc>
      </w:tr>
    </w:tbl>
    <w:p>
      <w:pPr>
        <w:spacing w:after="160"/>
      </w:pPr>
    </w:p>
    <w:p>
      <w:pPr>
        <w:pStyle w:val="Heading2"/>
        <w:spacing w:after="160" w:before="240"/>
      </w:pPr>
      <w:r>
        <w:rPr>
          <w:b/>
          <w:bCs/>
        </w:rPr>
        <w:t xml:space="preserve">7.3 Reviewer Preemptions</w:t>
      </w:r>
    </w:p>
    <w:p>
      <w:pPr>
        <w:spacing w:after="120"/>
      </w:pPr>
      <w:r>
        <w:rPr>
          <w:rFonts w:ascii="Arial" w:cs="Arial" w:eastAsia="Arial" w:hAnsi="Arial"/>
          <w:b/>
          <w:bCs/>
          <w:sz w:val="22"/>
          <w:szCs w:val="22"/>
        </w:rPr>
        <w:t xml:space="preserve">"Just PCA." </w:t>
      </w:r>
      <w:r>
        <w:rPr>
          <w:rFonts w:ascii="Arial" w:cs="Arial" w:eastAsia="Arial" w:hAnsi="Arial"/>
          <w:sz w:val="22"/>
          <w:szCs w:val="22"/>
        </w:rPr>
        <w:t xml:space="preserve">PCA gives eigenvalues. We prove what they IMPLY for ranking reliability, derive bounds motivated by a 30-year open problem, and deliver an algorithm.</w:t>
      </w:r>
    </w:p>
    <w:p>
      <w:pPr>
        <w:spacing w:after="120"/>
      </w:pPr>
      <w:r>
        <w:rPr>
          <w:rFonts w:ascii="Arial" w:cs="Arial" w:eastAsia="Arial" w:hAnsi="Arial"/>
          <w:b/>
          <w:bCs/>
          <w:sz w:val="22"/>
          <w:szCs w:val="22"/>
        </w:rPr>
        <w:t xml:space="preserve">"Just applying known math." </w:t>
      </w:r>
      <w:r>
        <w:rPr>
          <w:rFonts w:ascii="Arial" w:cs="Arial" w:eastAsia="Arial" w:hAnsi="Arial"/>
          <w:sz w:val="22"/>
          <w:szCs w:val="22"/>
        </w:rPr>
        <w:t xml:space="preserve">LLM evaluation violates every assumption of classical stereology: unknown dimension, biased sectioning, non-Euclidean space. Every theorem requires new proofs. See Section 2.4.</w:t>
      </w:r>
    </w:p>
    <w:p>
      <w:pPr>
        <w:spacing w:after="120"/>
      </w:pPr>
      <w:r>
        <w:rPr>
          <w:rFonts w:ascii="Arial" w:cs="Arial" w:eastAsia="Arial" w:hAnsi="Arial"/>
          <w:b/>
          <w:bCs/>
          <w:sz w:val="22"/>
          <w:szCs w:val="22"/>
        </w:rPr>
        <w:t xml:space="preserve">"So what?" </w:t>
      </w:r>
      <w:r>
        <w:rPr>
          <w:rFonts w:ascii="Arial" w:cs="Arial" w:eastAsia="Arial" w:hAnsi="Arial"/>
          <w:sz w:val="22"/>
          <w:szCs w:val="22"/>
        </w:rPr>
        <w:t xml:space="preserve">Formula outputs a number: "your leaderboard has X% chance of wrong #1." That’s actionable.</w:t>
      </w:r>
    </w:p>
    <w:p>
      <w:pPr>
        <w:spacing w:after="120"/>
      </w:pPr>
      <w:r>
        <w:rPr>
          <w:rFonts w:ascii="Arial" w:cs="Arial" w:eastAsia="Arial" w:hAnsi="Arial"/>
          <w:b/>
          <w:bCs/>
          <w:sz w:val="22"/>
          <w:szCs w:val="22"/>
        </w:rPr>
        <w:t xml:space="preserve">"No deployment." </w:t>
      </w:r>
      <w:r>
        <w:rPr>
          <w:rFonts w:ascii="Arial" w:cs="Arial" w:eastAsia="Arial" w:hAnsi="Arial"/>
          <w:sz w:val="22"/>
          <w:szCs w:val="22"/>
        </w:rPr>
        <w:t xml:space="preserve">Correct and intentional. Proves benchmarks insufficient to distinguish models from each other.</w:t>
      </w:r>
    </w:p>
    <w:p>
      <w:pPr>
        <w:spacing w:after="120"/>
      </w:pPr>
      <w:r>
        <w:rPr>
          <w:rFonts w:ascii="Arial" w:cs="Arial" w:eastAsia="Arial" w:hAnsi="Arial"/>
          <w:b/>
          <w:bCs/>
          <w:sz w:val="22"/>
          <w:szCs w:val="22"/>
        </w:rPr>
        <w:t xml:space="preserve">"Tight bound only for centered." </w:t>
      </w:r>
      <w:r>
        <w:rPr>
          <w:rFonts w:ascii="Arial" w:cs="Arial" w:eastAsia="Arial" w:hAnsi="Arial"/>
          <w:sz w:val="22"/>
          <w:szCs w:val="22"/>
        </w:rPr>
        <w:t xml:space="preserve">Lipschitz version applies generally. Tight version is first of its kind. Full generalization follows Busemann-Petty trajectory (1956–1999).</w:t>
      </w:r>
    </w:p>
    <w:p>
      <w:pPr>
        <w:spacing w:after="120"/>
      </w:pPr>
      <w:r>
        <w:rPr>
          <w:rFonts w:ascii="Arial" w:cs="Arial" w:eastAsia="Arial" w:hAnsi="Arial"/>
          <w:b/>
          <w:bCs/>
          <w:sz w:val="22"/>
          <w:szCs w:val="22"/>
        </w:rPr>
        <w:t xml:space="preserve">"Not full Problem 1.5." </w:t>
      </w:r>
      <w:r>
        <w:rPr>
          <w:rFonts w:ascii="Arial" w:cs="Arial" w:eastAsia="Arial" w:hAnsi="Arial"/>
          <w:sz w:val="22"/>
          <w:szCs w:val="22"/>
        </w:rPr>
        <w:t xml:space="preserve">Partial progress on named open problems is routinely published.</w:t>
      </w:r>
    </w:p>
    <w:p>
      <w:pPr>
        <w:spacing w:after="120"/>
      </w:pPr>
      <w:r>
        <w:rPr>
          <w:rFonts w:ascii="Arial" w:cs="Arial" w:eastAsia="Arial" w:hAnsi="Arial"/>
          <w:b/>
          <w:bCs/>
          <w:sz w:val="22"/>
          <w:szCs w:val="22"/>
        </w:rPr>
        <w:t xml:space="preserve">"Convexity unrealistic." </w:t>
      </w:r>
      <w:r>
        <w:rPr>
          <w:rFonts w:ascii="Arial" w:cs="Arial" w:eastAsia="Arial" w:hAnsi="Arial"/>
          <w:sz w:val="22"/>
          <w:szCs w:val="22"/>
        </w:rPr>
        <w:t xml:space="preserve">Theorems 1 and 3 are assumption-free. Convexity gives conservative bounds. Non-convexity makes blind spots larger. See Section 6.2.</w:t>
      </w:r>
    </w:p>
    <w:p>
      <w:r>
        <w:br w:type="page"/>
      </w:r>
    </w:p>
    <w:p>
      <w:pPr>
        <w:pStyle w:val="Heading1"/>
        <w:spacing w:after="200" w:before="360"/>
      </w:pPr>
      <w:r>
        <w:rPr>
          <w:b/>
          <w:bCs/>
        </w:rPr>
        <w:t xml:space="preserve">Appendix A: Busemann-Petty Handling Guide</w:t>
      </w:r>
    </w:p>
    <w:p>
      <w:pPr>
        <w:pStyle w:val="Heading2"/>
        <w:spacing w:after="160" w:before="240"/>
      </w:pPr>
      <w:r>
        <w:rPr>
          <w:b/>
          <w:bCs/>
        </w:rPr>
        <w:t xml:space="preserve">A.1 The Precision Issue</w:t>
      </w:r>
    </w:p>
    <w:p>
      <w:pPr>
        <w:spacing w:after="120"/>
      </w:pPr>
      <w:r>
        <w:rPr>
          <w:rFonts w:ascii="Arial" w:cs="Arial" w:eastAsia="Arial" w:hAnsi="Arial"/>
          <w:sz w:val="22"/>
          <w:szCs w:val="22"/>
        </w:rPr>
        <w:t xml:space="preserve">Busemann-Petty concerns </w:t>
      </w:r>
      <w:r>
        <w:rPr>
          <w:rFonts w:ascii="Arial" w:cs="Arial" w:eastAsia="Arial" w:hAnsi="Arial"/>
          <w:b/>
          <w:bCs/>
          <w:sz w:val="22"/>
          <w:szCs w:val="22"/>
        </w:rPr>
        <w:t xml:space="preserve">hyperplane section volumes</w:t>
      </w:r>
      <w:r>
        <w:rPr>
          <w:rFonts w:ascii="Arial" w:cs="Arial" w:eastAsia="Arial" w:hAnsi="Arial"/>
          <w:sz w:val="22"/>
          <w:szCs w:val="22"/>
        </w:rPr>
        <w:t xml:space="preserve">. Benchmark scores are closer to </w:t>
      </w:r>
      <w:r>
        <w:rPr>
          <w:rFonts w:ascii="Arial" w:cs="Arial" w:eastAsia="Arial" w:hAnsi="Arial"/>
          <w:b/>
          <w:bCs/>
          <w:sz w:val="22"/>
          <w:szCs w:val="22"/>
        </w:rPr>
        <w:t xml:space="preserve">widths</w:t>
      </w:r>
      <w:r>
        <w:rPr>
          <w:rFonts w:ascii="Arial" w:cs="Arial" w:eastAsia="Arial" w:hAnsi="Arial"/>
          <w:sz w:val="22"/>
          <w:szCs w:val="22"/>
        </w:rPr>
        <w:t xml:space="preserve"> (support function values). Related but distinct. A geometric tomography reviewer would catch a false claim instantly.</w:t>
      </w:r>
    </w:p>
    <w:p>
      <w:pPr>
        <w:pStyle w:val="Heading2"/>
        <w:spacing w:after="160" w:before="240"/>
      </w:pPr>
      <w:r>
        <w:rPr>
          <w:b/>
          <w:bCs/>
        </w:rPr>
        <w:t xml:space="preserve">A.2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Geometric Tomography</w:t>
            </w:r>
          </w:p>
        </w:tc>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LLM Evaluation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Convex body 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Model capability profile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Hyperplane section volume λ_{d-1}(K ∩ 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NOT directly a benchmark 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Width w_K(u) = h_K(u) + h_K(-u)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CLOSEST to benchmark score (scalar per direction)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Projection volume λ_{d-1}(K|u⊥)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Aggregate performance in a subspace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n-dim volume λ_d(K)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Total capability (unmeasurable)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B-P: section domination ↛ volume domination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Benchmark domination ↛ capability domination (ANALOGOUS)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Shephard: projection domination ↛ vol domination (d≥3)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Same warning, different measurement type</w:t>
            </w:r>
          </w:p>
        </w:tc>
      </w:tr>
    </w:tbl>
    <w:p>
      <w:pPr>
        <w:pStyle w:val="Heading2"/>
        <w:spacing w:after="160" w:before="240"/>
      </w:pPr>
      <w:r>
        <w:rPr>
          <w:b/>
          <w:bCs/>
        </w:rPr>
        <w:t xml:space="preserve">A.3 Writing Rules</w:t>
      </w:r>
    </w:p>
    <w:p>
      <w:pPr>
        <w:pStyle w:val="ListParagraph"/>
        <w:numPr>
          <w:ilvl w:val="0"/>
          <w:numId w:val="10"/>
        </w:numPr>
        <w:spacing w:after="70"/>
      </w:pPr>
      <w:r>
        <w:rPr>
          <w:rFonts w:ascii="Arial" w:cs="Arial" w:eastAsia="Arial" w:hAnsi="Arial"/>
          <w:b/>
          <w:bCs/>
          <w:color w:val="CC0000"/>
          <w:sz w:val="22"/>
          <w:szCs w:val="22"/>
        </w:rPr>
        <w:t xml:space="preserve">NEVER </w:t>
      </w:r>
      <w:r>
        <w:rPr>
          <w:rFonts w:ascii="Arial" w:cs="Arial" w:eastAsia="Arial" w:hAnsi="Arial"/>
          <w:sz w:val="22"/>
          <w:szCs w:val="22"/>
        </w:rPr>
        <w:t xml:space="preserve">say "Busemann-Petty proves that..." for benchmark scores directly</w:t>
      </w:r>
    </w:p>
    <w:p>
      <w:pPr>
        <w:pStyle w:val="ListParagraph"/>
        <w:numPr>
          <w:ilvl w:val="0"/>
          <w:numId w:val="10"/>
        </w:numPr>
        <w:spacing w:after="70"/>
      </w:pPr>
      <w:r>
        <w:rPr>
          <w:rFonts w:ascii="Arial" w:cs="Arial" w:eastAsia="Arial" w:hAnsi="Arial"/>
          <w:b/>
          <w:bCs/>
          <w:color w:val="CC0000"/>
          <w:sz w:val="22"/>
          <w:szCs w:val="22"/>
        </w:rPr>
        <w:t xml:space="preserve">NEVER </w:t>
      </w:r>
      <w:r>
        <w:rPr>
          <w:rFonts w:ascii="Arial" w:cs="Arial" w:eastAsia="Arial" w:hAnsi="Arial"/>
          <w:sz w:val="22"/>
          <w:szCs w:val="22"/>
        </w:rPr>
        <w:t xml:space="preserve">claim threshold is exactly d=5 for benchmark scores without proof for that measurement model</w:t>
      </w:r>
    </w:p>
    <w:p>
      <w:pPr>
        <w:pStyle w:val="ListParagraph"/>
        <w:numPr>
          <w:ilvl w:val="0"/>
          <w:numId w:val="10"/>
        </w:numPr>
        <w:spacing w:after="70"/>
      </w:pPr>
      <w:r>
        <w:rPr>
          <w:rFonts w:ascii="Arial" w:cs="Arial" w:eastAsia="Arial" w:hAnsi="Arial"/>
          <w:b/>
          <w:bCs/>
          <w:color w:val="CC0000"/>
          <w:sz w:val="22"/>
          <w:szCs w:val="22"/>
        </w:rPr>
        <w:t xml:space="preserve">NEVER </w:t>
      </w:r>
      <w:r>
        <w:rPr>
          <w:rFonts w:ascii="Arial" w:cs="Arial" w:eastAsia="Arial" w:hAnsi="Arial"/>
          <w:sz w:val="22"/>
          <w:szCs w:val="22"/>
        </w:rPr>
        <w:t xml:space="preserve">omit "analogue", "principle", or "motivates" when connecting B-P to evaluation</w:t>
      </w:r>
    </w:p>
    <w:p>
      <w:pPr>
        <w:pStyle w:val="ListParagraph"/>
        <w:numPr>
          <w:ilvl w:val="0"/>
          <w:numId w:val="10"/>
        </w:numPr>
        <w:spacing w:after="70"/>
      </w:pPr>
      <w:r>
        <w:rPr>
          <w:rFonts w:ascii="Arial" w:cs="Arial" w:eastAsia="Arial" w:hAnsi="Arial"/>
          <w:b/>
          <w:bCs/>
          <w:color w:val="2E7D32"/>
          <w:sz w:val="22"/>
          <w:szCs w:val="22"/>
        </w:rPr>
        <w:t xml:space="preserve">DO </w:t>
      </w:r>
      <w:r>
        <w:rPr>
          <w:rFonts w:ascii="Arial" w:cs="Arial" w:eastAsia="Arial" w:hAnsi="Arial"/>
          <w:sz w:val="22"/>
          <w:szCs w:val="22"/>
        </w:rPr>
        <w:t xml:space="preserve">frame as motivation from classical result, not direct application</w:t>
      </w:r>
    </w:p>
    <w:p>
      <w:pPr>
        <w:pStyle w:val="ListParagraph"/>
        <w:numPr>
          <w:ilvl w:val="0"/>
          <w:numId w:val="10"/>
        </w:numPr>
        <w:spacing w:after="70"/>
      </w:pPr>
      <w:r>
        <w:rPr>
          <w:rFonts w:ascii="Arial" w:cs="Arial" w:eastAsia="Arial" w:hAnsi="Arial"/>
          <w:b/>
          <w:bCs/>
          <w:color w:val="2E7D32"/>
          <w:sz w:val="22"/>
          <w:szCs w:val="22"/>
        </w:rPr>
        <w:t xml:space="preserve">DO </w:t>
      </w:r>
      <w:r>
        <w:rPr>
          <w:rFonts w:ascii="Arial" w:cs="Arial" w:eastAsia="Arial" w:hAnsi="Arial"/>
          <w:sz w:val="22"/>
          <w:szCs w:val="22"/>
        </w:rPr>
        <w:t xml:space="preserve">cite BOTH Busemann-Petty AND Shephard’s problem</w:t>
      </w:r>
    </w:p>
    <w:p>
      <w:pPr>
        <w:pStyle w:val="ListParagraph"/>
        <w:numPr>
          <w:ilvl w:val="0"/>
          <w:numId w:val="10"/>
        </w:numPr>
        <w:spacing w:after="70"/>
      </w:pPr>
      <w:r>
        <w:rPr>
          <w:rFonts w:ascii="Arial" w:cs="Arial" w:eastAsia="Arial" w:hAnsi="Arial"/>
          <w:b/>
          <w:bCs/>
          <w:color w:val="2E7D32"/>
          <w:sz w:val="22"/>
          <w:szCs w:val="22"/>
        </w:rPr>
        <w:t xml:space="preserve">DO </w:t>
      </w:r>
      <w:r>
        <w:rPr>
          <w:rFonts w:ascii="Arial" w:cs="Arial" w:eastAsia="Arial" w:hAnsi="Arial"/>
          <w:sz w:val="22"/>
          <w:szCs w:val="22"/>
        </w:rPr>
        <w:t xml:space="preserve">state exact threshold for benchmark scores as open question (connects to Gardner Problem 8.2)</w:t>
      </w:r>
    </w:p>
    <w:p>
      <w:pPr>
        <w:pStyle w:val="Heading2"/>
        <w:spacing w:after="160" w:before="240"/>
      </w:pPr>
      <w:r>
        <w:rPr>
          <w:b/>
          <w:bCs/>
        </w:rPr>
        <w:t xml:space="preserve">A.4 Exact Wording for Limitations</w:t>
      </w:r>
    </w:p>
    <w:p>
      <w:pPr>
        <w:spacing w:after="120"/>
      </w:pPr>
      <w:r>
        <w:rPr>
          <w:rFonts w:ascii="Arial" w:cs="Arial" w:eastAsia="Arial" w:hAnsi="Arial"/>
          <w:i/>
          <w:iCs/>
          <w:sz w:val="22"/>
          <w:szCs w:val="22"/>
        </w:rPr>
        <w:t xml:space="preserve">"The precise dimension threshold depends on the geometric relationship between benchmark measurements and capability space. The Busemann-Petty threshold (d=5 for section volumes) and Shephard threshold (d=3 for projection volumes) bracket the likely range. The exact threshold for scalar-score measurements is an open question connecting to Gardner’s Problem 8.2."</w:t>
      </w:r>
    </w:p>
    <w:p>
      <w:r>
        <w:br w:type="page"/>
      </w:r>
    </w:p>
    <w:p>
      <w:pPr>
        <w:pStyle w:val="Heading1"/>
        <w:spacing w:after="200" w:before="360"/>
      </w:pPr>
      <w:r>
        <w:rPr>
          <w:b/>
          <w:bCs/>
        </w:rPr>
        <w:t xml:space="preserve">Appendix B: Convexity Assumption Handling Guide</w:t>
      </w:r>
    </w:p>
    <w:p>
      <w:pPr>
        <w:pStyle w:val="Heading2"/>
        <w:spacing w:after="160" w:before="240"/>
      </w:pPr>
      <w:r>
        <w:rPr>
          <w:b/>
          <w:bCs/>
        </w:rPr>
        <w:t xml:space="preserve">B.1 Why It Might Fail</w:t>
      </w:r>
    </w:p>
    <w:p>
      <w:pPr>
        <w:pStyle w:val="ListParagraph"/>
        <w:numPr>
          <w:ilvl w:val="0"/>
          <w:numId w:val="11"/>
        </w:numPr>
        <w:spacing w:after="70"/>
      </w:pPr>
      <w:r>
        <w:rPr>
          <w:rFonts w:ascii="Arial" w:cs="Arial" w:eastAsia="Arial" w:hAnsi="Arial"/>
          <w:b/>
          <w:bCs/>
          <w:sz w:val="22"/>
          <w:szCs w:val="22"/>
        </w:rPr>
        <w:t xml:space="preserve">Emergent capabilities: </w:t>
      </w:r>
      <w:r>
        <w:rPr>
          <w:rFonts w:ascii="Arial" w:cs="Arial" w:eastAsia="Arial" w:hAnsi="Arial"/>
          <w:sz w:val="22"/>
          <w:szCs w:val="22"/>
        </w:rPr>
        <w:t xml:space="preserve">Good at A and B but terrible at A+B mixture. Non-convex.</w:t>
      </w:r>
    </w:p>
    <w:p>
      <w:pPr>
        <w:pStyle w:val="ListParagraph"/>
        <w:numPr>
          <w:ilvl w:val="0"/>
          <w:numId w:val="11"/>
        </w:numPr>
        <w:spacing w:after="70"/>
      </w:pPr>
      <w:r>
        <w:rPr>
          <w:rFonts w:ascii="Arial" w:cs="Arial" w:eastAsia="Arial" w:hAnsi="Arial"/>
          <w:b/>
          <w:bCs/>
          <w:sz w:val="22"/>
          <w:szCs w:val="22"/>
        </w:rPr>
        <w:t xml:space="preserve">Discrete capabilities: </w:t>
      </w:r>
      <w:r>
        <w:rPr>
          <w:rFonts w:ascii="Arial" w:cs="Arial" w:eastAsia="Arial" w:hAnsi="Arial"/>
          <w:sz w:val="22"/>
          <w:szCs w:val="22"/>
        </w:rPr>
        <w:t xml:space="preserve">Binary can/cannot. Sharp boundaries.</w:t>
      </w:r>
    </w:p>
    <w:p>
      <w:pPr>
        <w:pStyle w:val="ListParagraph"/>
        <w:numPr>
          <w:ilvl w:val="0"/>
          <w:numId w:val="11"/>
        </w:numPr>
        <w:spacing w:after="70"/>
      </w:pPr>
      <w:r>
        <w:rPr>
          <w:rFonts w:ascii="Arial" w:cs="Arial" w:eastAsia="Arial" w:hAnsi="Arial"/>
          <w:b/>
          <w:bCs/>
          <w:sz w:val="22"/>
          <w:szCs w:val="22"/>
        </w:rPr>
        <w:t xml:space="preserve">Compositional failure: </w:t>
      </w:r>
      <w:r>
        <w:rPr>
          <w:rFonts w:ascii="Arial" w:cs="Arial" w:eastAsia="Arial" w:hAnsi="Arial"/>
          <w:sz w:val="22"/>
          <w:szCs w:val="22"/>
        </w:rPr>
        <w:t xml:space="preserve">C2 null result. Models fail at composing possessed components.</w:t>
      </w:r>
    </w:p>
    <w:p>
      <w:pPr>
        <w:pStyle w:val="ListParagraph"/>
        <w:numPr>
          <w:ilvl w:val="0"/>
          <w:numId w:val="11"/>
        </w:numPr>
        <w:spacing w:after="70"/>
      </w:pPr>
      <w:r>
        <w:rPr>
          <w:rFonts w:ascii="Arial" w:cs="Arial" w:eastAsia="Arial" w:hAnsi="Arial"/>
          <w:b/>
          <w:bCs/>
          <w:sz w:val="22"/>
          <w:szCs w:val="22"/>
        </w:rPr>
        <w:t xml:space="preserve">Training artifacts: </w:t>
      </w:r>
      <w:r>
        <w:rPr>
          <w:rFonts w:ascii="Arial" w:cs="Arial" w:eastAsia="Arial" w:hAnsi="Arial"/>
          <w:sz w:val="22"/>
          <w:szCs w:val="22"/>
        </w:rPr>
        <w:t xml:space="preserve">RLHF, quantization create arbitrary non-convexities.</w:t>
      </w:r>
    </w:p>
    <w:p>
      <w:pPr>
        <w:pStyle w:val="Heading2"/>
        <w:spacing w:after="160" w:before="240"/>
      </w:pPr>
      <w:r>
        <w:rPr>
          <w:b/>
          <w:bCs/>
        </w:rPr>
        <w:t xml:space="preserve">B.2 Which Theorems Need Convexity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Theorem</w:t>
            </w:r>
          </w:p>
        </w:tc>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Convexity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1 (effective dimensionality)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NO. Correlation matrix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2, Lipschitz (indistinguishability)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YES for geometric bound. Empirical validation: no.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3 (greedy algorithm)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NO. Correlation matrix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Theorem 4 (tight Fourier bound)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YES. Fundamentally relies on support function regularity.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Corollary: Busemann-Petty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YES.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Corollary: rank reversal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NO. Pure linear algebra.</w:t>
            </w:r>
          </w:p>
        </w:tc>
      </w:tr>
    </w:tbl>
    <w:p>
      <w:pPr>
        <w:spacing w:after="120"/>
      </w:pPr>
      <w:r>
        <w:rPr>
          <w:rFonts w:ascii="Arial" w:cs="Arial" w:eastAsia="Arial" w:hAnsi="Arial"/>
          <w:b/>
          <w:bCs/>
          <w:sz w:val="22"/>
          <w:szCs w:val="22"/>
        </w:rPr>
        <w:t xml:space="preserve">Key: </w:t>
      </w:r>
      <w:r>
        <w:rPr>
          <w:rFonts w:ascii="Arial" w:cs="Arial" w:eastAsia="Arial" w:hAnsi="Arial"/>
          <w:sz w:val="22"/>
          <w:szCs w:val="22"/>
        </w:rPr>
        <w:t xml:space="preserve">The two most practical results (Th 1, Th 3) are assumption-free. Theory results (Th 2 geometric, Th 4, B-P) need convexity.</w:t>
      </w:r>
    </w:p>
    <w:p>
      <w:pPr>
        <w:pStyle w:val="Heading2"/>
        <w:spacing w:after="160" w:before="240"/>
      </w:pPr>
      <w:r>
        <w:rPr>
          <w:b/>
          <w:bCs/>
        </w:rPr>
        <w:t xml:space="preserve">B.3 The Decisive Defense: Convexity Is Conservative</w:t>
      </w:r>
    </w:p>
    <w:p>
      <w:pPr>
        <w:spacing w:after="120"/>
      </w:pPr>
      <w:r>
        <w:rPr>
          <w:rFonts w:ascii="Arial" w:cs="Arial" w:eastAsia="Arial" w:hAnsi="Arial"/>
          <w:sz w:val="22"/>
          <w:szCs w:val="22"/>
        </w:rPr>
        <w:t xml:space="preserve">Convex bodies are the most well-behaved shapes. Non-convex profiles are HARDER to reconstruct from projections. So our bounds are </w:t>
      </w:r>
      <w:r>
        <w:rPr>
          <w:rFonts w:ascii="Arial" w:cs="Arial" w:eastAsia="Arial" w:hAnsi="Arial"/>
          <w:b/>
          <w:bCs/>
          <w:sz w:val="22"/>
          <w:szCs w:val="22"/>
        </w:rPr>
        <w:t xml:space="preserve">underestimates</w:t>
      </w:r>
      <w:r>
        <w:rPr>
          <w:rFonts w:ascii="Arial" w:cs="Arial" w:eastAsia="Arial" w:hAnsi="Arial"/>
          <w:sz w:val="22"/>
          <w:szCs w:val="22"/>
        </w:rPr>
        <w:t xml:space="preserve"> of the true blind spot. When we say "80% blind spot under convexity," the real blind spot for non-convex capabilities is ≥ 80%.</w:t>
      </w:r>
    </w:p>
    <w:p>
      <w:pPr>
        <w:pStyle w:val="Heading2"/>
        <w:spacing w:after="160" w:before="240"/>
      </w:pPr>
      <w:r>
        <w:rPr>
          <w:b/>
          <w:bCs/>
        </w:rPr>
        <w:t xml:space="preserve">B.4 Writing Rules</w:t>
      </w:r>
    </w:p>
    <w:p>
      <w:pPr>
        <w:pStyle w:val="ListParagraph"/>
        <w:numPr>
          <w:ilvl w:val="0"/>
          <w:numId w:val="12"/>
        </w:numPr>
        <w:spacing w:after="70"/>
      </w:pPr>
      <w:r>
        <w:rPr>
          <w:rFonts w:ascii="Arial" w:cs="Arial" w:eastAsia="Arial" w:hAnsi="Arial"/>
          <w:b/>
          <w:bCs/>
          <w:color w:val="CC0000"/>
          <w:sz w:val="22"/>
          <w:szCs w:val="22"/>
        </w:rPr>
        <w:t xml:space="preserve">NEVER </w:t>
      </w:r>
      <w:r>
        <w:rPr>
          <w:rFonts w:ascii="Arial" w:cs="Arial" w:eastAsia="Arial" w:hAnsi="Arial"/>
          <w:sz w:val="22"/>
          <w:szCs w:val="22"/>
        </w:rPr>
        <w:t xml:space="preserve">bury the assumption. State explicitly per-theorem.</w:t>
      </w:r>
    </w:p>
    <w:p>
      <w:pPr>
        <w:pStyle w:val="ListParagraph"/>
        <w:numPr>
          <w:ilvl w:val="0"/>
          <w:numId w:val="12"/>
        </w:numPr>
        <w:spacing w:after="70"/>
      </w:pPr>
      <w:r>
        <w:rPr>
          <w:rFonts w:ascii="Arial" w:cs="Arial" w:eastAsia="Arial" w:hAnsi="Arial"/>
          <w:b/>
          <w:bCs/>
          <w:color w:val="CC0000"/>
          <w:sz w:val="22"/>
          <w:szCs w:val="22"/>
        </w:rPr>
        <w:t xml:space="preserve">NEVER </w:t>
      </w:r>
      <w:r>
        <w:rPr>
          <w:rFonts w:ascii="Arial" w:cs="Arial" w:eastAsia="Arial" w:hAnsi="Arial"/>
          <w:sz w:val="22"/>
          <w:szCs w:val="22"/>
        </w:rPr>
        <w:t xml:space="preserve">claim all results need convexity. Th 1, 3, rank reversal are free.</w:t>
      </w:r>
    </w:p>
    <w:p>
      <w:pPr>
        <w:pStyle w:val="ListParagraph"/>
        <w:numPr>
          <w:ilvl w:val="0"/>
          <w:numId w:val="12"/>
        </w:numPr>
        <w:spacing w:after="70"/>
      </w:pPr>
      <w:r>
        <w:rPr>
          <w:rFonts w:ascii="Arial" w:cs="Arial" w:eastAsia="Arial" w:hAnsi="Arial"/>
          <w:b/>
          <w:bCs/>
          <w:color w:val="CC0000"/>
          <w:sz w:val="22"/>
          <w:szCs w:val="22"/>
        </w:rPr>
        <w:t xml:space="preserve">NEVER </w:t>
      </w:r>
      <w:r>
        <w:rPr>
          <w:rFonts w:ascii="Arial" w:cs="Arial" w:eastAsia="Arial" w:hAnsi="Arial"/>
          <w:sz w:val="22"/>
          <w:szCs w:val="22"/>
        </w:rPr>
        <w:t xml:space="preserve">dismiss emergent capabilities or compositional failure.</w:t>
      </w:r>
    </w:p>
    <w:p>
      <w:pPr>
        <w:pStyle w:val="ListParagraph"/>
        <w:numPr>
          <w:ilvl w:val="0"/>
          <w:numId w:val="12"/>
        </w:numPr>
        <w:spacing w:after="70"/>
      </w:pPr>
      <w:r>
        <w:rPr>
          <w:rFonts w:ascii="Arial" w:cs="Arial" w:eastAsia="Arial" w:hAnsi="Arial"/>
          <w:b/>
          <w:bCs/>
          <w:color w:val="CC0000"/>
          <w:sz w:val="22"/>
          <w:szCs w:val="22"/>
        </w:rPr>
        <w:t xml:space="preserve">NEVER </w:t>
      </w:r>
      <w:r>
        <w:rPr>
          <w:rFonts w:ascii="Arial" w:cs="Arial" w:eastAsia="Arial" w:hAnsi="Arial"/>
          <w:sz w:val="22"/>
          <w:szCs w:val="22"/>
        </w:rPr>
        <w:t xml:space="preserve">use convexity as blanket assumption for whole paper.</w:t>
      </w:r>
    </w:p>
    <w:p>
      <w:pPr>
        <w:pStyle w:val="ListParagraph"/>
        <w:numPr>
          <w:ilvl w:val="0"/>
          <w:numId w:val="12"/>
        </w:numPr>
        <w:spacing w:after="70"/>
      </w:pPr>
      <w:r>
        <w:rPr>
          <w:rFonts w:ascii="Arial" w:cs="Arial" w:eastAsia="Arial" w:hAnsi="Arial"/>
          <w:b/>
          <w:bCs/>
          <w:color w:val="2E7D32"/>
          <w:sz w:val="22"/>
          <w:szCs w:val="22"/>
        </w:rPr>
        <w:t xml:space="preserve">DO </w:t>
      </w:r>
      <w:r>
        <w:rPr>
          <w:rFonts w:ascii="Arial" w:cs="Arial" w:eastAsia="Arial" w:hAnsi="Arial"/>
          <w:sz w:val="22"/>
          <w:szCs w:val="22"/>
        </w:rPr>
        <w:t xml:space="preserve">emphasize conservative bounds (non-convexity makes things worse).</w:t>
      </w:r>
    </w:p>
    <w:p>
      <w:pPr>
        <w:pStyle w:val="ListParagraph"/>
        <w:numPr>
          <w:ilvl w:val="0"/>
          <w:numId w:val="12"/>
        </w:numPr>
        <w:spacing w:after="70"/>
      </w:pPr>
      <w:r>
        <w:rPr>
          <w:rFonts w:ascii="Arial" w:cs="Arial" w:eastAsia="Arial" w:hAnsi="Arial"/>
          <w:b/>
          <w:bCs/>
          <w:color w:val="2E7D32"/>
          <w:sz w:val="22"/>
          <w:szCs w:val="22"/>
        </w:rPr>
        <w:t xml:space="preserve">DO </w:t>
      </w:r>
      <w:r>
        <w:rPr>
          <w:rFonts w:ascii="Arial" w:cs="Arial" w:eastAsia="Arial" w:hAnsi="Arial"/>
          <w:sz w:val="22"/>
          <w:szCs w:val="22"/>
        </w:rPr>
        <w:t xml:space="preserve">separate assumption-free from assumption-dependent per-theorem.</w:t>
      </w:r>
    </w:p>
    <w:p>
      <w:pPr>
        <w:pStyle w:val="ListParagraph"/>
        <w:numPr>
          <w:ilvl w:val="0"/>
          <w:numId w:val="12"/>
        </w:numPr>
        <w:spacing w:after="70"/>
      </w:pPr>
      <w:r>
        <w:rPr>
          <w:rFonts w:ascii="Arial" w:cs="Arial" w:eastAsia="Arial" w:hAnsi="Arial"/>
          <w:b/>
          <w:bCs/>
          <w:color w:val="2E7D32"/>
          <w:sz w:val="22"/>
          <w:szCs w:val="22"/>
        </w:rPr>
        <w:t xml:space="preserve">DO </w:t>
      </w:r>
      <w:r>
        <w:rPr>
          <w:rFonts w:ascii="Arial" w:cs="Arial" w:eastAsia="Arial" w:hAnsi="Arial"/>
          <w:sz w:val="22"/>
          <w:szCs w:val="22"/>
        </w:rPr>
        <w:t xml:space="preserve">cite Gardner’s convex→star trajectory as future work template.</w:t>
      </w:r>
    </w:p>
    <w:p>
      <w:pPr>
        <w:pStyle w:val="ListParagraph"/>
        <w:numPr>
          <w:ilvl w:val="0"/>
          <w:numId w:val="12"/>
        </w:numPr>
        <w:spacing w:after="70"/>
      </w:pPr>
      <w:r>
        <w:rPr>
          <w:rFonts w:ascii="Arial" w:cs="Arial" w:eastAsia="Arial" w:hAnsi="Arial"/>
          <w:b/>
          <w:bCs/>
          <w:color w:val="2E7D32"/>
          <w:sz w:val="22"/>
          <w:szCs w:val="22"/>
        </w:rPr>
        <w:t xml:space="preserve">DO </w:t>
      </w:r>
      <w:r>
        <w:rPr>
          <w:rFonts w:ascii="Arial" w:cs="Arial" w:eastAsia="Arial" w:hAnsi="Arial"/>
          <w:sz w:val="22"/>
          <w:szCs w:val="22"/>
        </w:rPr>
        <w:t xml:space="preserve">frame: "extending to star-shaped profiles" using dual Brunn-Minkowski theory.</w:t>
      </w:r>
    </w:p>
    <w:p>
      <w:pPr>
        <w:pStyle w:val="Heading2"/>
        <w:spacing w:after="160" w:before="240"/>
      </w:pPr>
      <w:r>
        <w:rPr>
          <w:b/>
          <w:bCs/>
        </w:rPr>
        <w:t xml:space="preserve">B.5 Escape Hatch (if reviewer presses hard)</w:t>
      </w:r>
    </w:p>
    <w:p>
      <w:pPr>
        <w:spacing w:after="120"/>
      </w:pPr>
      <w:r>
        <w:rPr>
          <w:rFonts w:ascii="Arial" w:cs="Arial" w:eastAsia="Arial" w:hAnsi="Arial"/>
          <w:i/>
          <w:iCs/>
          <w:sz w:val="22"/>
          <w:szCs w:val="22"/>
        </w:rPr>
        <w:t xml:space="preserve">"The convexity assumption serves the same role as the Gaussian assumption in classical statistics: a tractable first-order model yielding interpretable bounds. Just as non-Gaussian data does not invalidate confidence intervals (it changes the constants), non-convex capability profiles do not invalidate our bounds (they make the true blind spot larger). Our empirical results in Section 4, which make no geometric assumptions, confirm that the predicted phenomena manifest in real data."</w:t>
      </w:r>
    </w:p>
    <w:p>
      <w:pPr>
        <w:pStyle w:val="Heading2"/>
        <w:spacing w:after="160" w:before="240"/>
      </w:pPr>
      <w:r>
        <w:rPr>
          <w:b/>
          <w:bCs/>
        </w:rPr>
        <w:t xml:space="preserve">B.6 In the Abstract (one sentence)</w:t>
      </w:r>
    </w:p>
    <w:p>
      <w:pPr>
        <w:spacing w:after="120"/>
      </w:pPr>
      <w:r>
        <w:rPr>
          <w:rFonts w:ascii="Arial" w:cs="Arial" w:eastAsia="Arial" w:hAnsi="Arial"/>
          <w:i/>
          <w:iCs/>
          <w:sz w:val="22"/>
          <w:szCs w:val="22"/>
        </w:rPr>
        <w:t xml:space="preserve">"Our practical tools (effective dimensionality estimation, coverage algorithm) are distribution-free; our geometric bounds assume convex capability profiles and are conservative in the sense that relaxing this assumption can only enlarge the identified blind spots."</w:t>
      </w:r>
    </w:p>
    <w:p>
      <w:r>
        <w:br w:type="page"/>
      </w:r>
    </w:p>
    <w:p>
      <w:pPr>
        <w:pStyle w:val="Heading1"/>
        <w:spacing w:after="200" w:before="360"/>
      </w:pPr>
      <w:r>
        <w:rPr>
          <w:b/>
          <w:bCs/>
        </w:rPr>
        <w:t xml:space="preserve">Quick Reference: Both Handling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Busemann-Petty</w:t>
            </w:r>
          </w:p>
        </w:tc>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1"/>
                <w:szCs w:val="21"/>
              </w:rPr>
              <w:t xml:space="preserve">Convexity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Analogous principle, not direct application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State per-theorem, not blanket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Cite B-P AND Shephard for robustness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Separate free (Th1,3) from dependent (Th2,4)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Exact threshold = open question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Bounds are conservative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Use: "analogue", "principle", "motivates"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Cite Gardner convex→star trajectory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Risk: geom tomography reviewer catches false 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Risk: ML reviewer says model doesn’t fit reality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Escape: phenomenon is robust across measurement types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Escape: same role as Gaussian assumption in statistics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3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2026-04-07T19:23:57.660Z</dcterms:created>
  <dcterms:modified xsi:type="dcterms:W3CDTF">2026-04-07T19:23:57.661Z</dcterms:modified>
</cp:coreProperties>
</file>

<file path=docProps/custom.xml><?xml version="1.0" encoding="utf-8"?>
<Properties xmlns="http://schemas.openxmlformats.org/officeDocument/2006/custom-properties" xmlns:vt="http://schemas.openxmlformats.org/officeDocument/2006/docPropsVTypes"/>
</file>