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60"/>
      </w:pPr>
      <w:r>
        <w:rPr>
          <w:rFonts w:ascii="Aptos" w:hAnsi="Aptos" w:eastAsia="Microsoft YaHei"/>
          <w:b/>
          <w:color w:val="103E59"/>
          <w:sz w:val="56"/>
        </w:rPr>
        <w:t>目标公司致命风险排雷报告</w:t>
      </w:r>
    </w:p>
    <w:p>
      <w:pPr>
        <w:spacing w:after="600"/>
      </w:pPr>
      <w:r>
        <w:rPr>
          <w:rFonts w:ascii="Aptos" w:hAnsi="Aptos" w:eastAsia="Microsoft YaHei"/>
          <w:b/>
          <w:color w:val="1B6585"/>
          <w:sz w:val="26"/>
        </w:rPr>
        <w:t>V3.0 精简版框架｜开题前快速过滤</w:t>
      </w:r>
    </w:p>
    <w:p>
      <w:pPr>
        <w:spacing w:after="40"/>
      </w:pPr>
      <w:r>
        <w:rPr>
          <w:rFonts w:ascii="Aptos" w:hAnsi="Aptos" w:eastAsia="Microsoft YaHei"/>
          <w:b/>
          <w:color w:val="1F2933"/>
          <w:sz w:val="62"/>
        </w:rPr>
        <w:t>贵州茅台</w:t>
      </w:r>
    </w:p>
    <w:p>
      <w:pPr>
        <w:spacing w:after="400"/>
      </w:pPr>
      <w:r>
        <w:rPr>
          <w:rFonts w:ascii="Aptos" w:hAnsi="Aptos" w:eastAsia="Microsoft YaHei"/>
          <w:b w:val="0"/>
          <w:color w:val="667085"/>
          <w:sz w:val="26"/>
        </w:rPr>
        <w:t>600519.SH｜贵州茅台｜Production and sales of Moutai liquor and series liquor, covering domestic and overseas markets</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最终结论：待补证</w:t>
            </w:r>
          </w:p>
          <w:p>
            <w:pPr>
              <w:spacing w:after="0" w:line="288" w:lineRule="auto"/>
            </w:pPr>
            <w:r>
              <w:rPr>
                <w:rFonts w:ascii="Aptos" w:hAnsi="Aptos" w:eastAsia="Microsoft YaHei"/>
                <w:b w:val="0"/>
                <w:color w:val="1F2933"/>
                <w:sz w:val="20"/>
              </w:rPr>
              <w:t>19项证据不足｜补证后再作整体判断</w:t>
            </w:r>
          </w:p>
        </w:tc>
      </w:tr>
    </w:tbl>
    <w:p>
      <w:pPr>
        <w:spacing w:after="0"/>
      </w:pPr>
    </w:p>
    <w:tbl>
      <w:tblPr>
        <w:tblStyle w:val="TableGrid"/>
        <w:tblW w:type="dxa" w:w="9835"/>
        <w:jc w:val="center"/>
        <w:tblLayout w:type="fixed"/>
        <w:tblLook w:firstColumn="1" w:firstRow="1" w:lastColumn="0" w:lastRow="0" w:noHBand="0" w:noVBand="1" w:val="04A0"/>
        <w:tblInd w:w="120" w:type="dxa"/>
      </w:tblPr>
      <w:tblGrid>
        <w:gridCol w:w="2459"/>
        <w:gridCol w:w="2459"/>
        <w:gridCol w:w="2459"/>
        <w:gridCol w:w="2458"/>
      </w:tblGrid>
      <w:tr>
        <w:trPr>
          <w:tblHeader w:val="true"/>
        </w:trPr>
        <w:tc>
          <w:tcPr>
            <w:tcW w:type="dxa" w:w="2459"/>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19项</w:t>
            </w:r>
          </w:p>
        </w:tc>
        <w:tc>
          <w:tcPr>
            <w:tcW w:type="dxa" w:w="2459"/>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0项</w:t>
            </w:r>
          </w:p>
        </w:tc>
        <w:tc>
          <w:tcPr>
            <w:tcW w:type="dxa" w:w="2459"/>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0项</w:t>
            </w:r>
          </w:p>
        </w:tc>
        <w:tc>
          <w:tcPr>
            <w:tcW w:type="dxa" w:w="2458"/>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19项</w:t>
            </w:r>
          </w:p>
        </w:tc>
      </w:tr>
      <w:tr>
        <w:trPr>
          <w:cantSplit/>
        </w:trPr>
        <w:tc>
          <w:tcPr>
            <w:tcW w:type="dxa" w:w="2459"/>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硬性排雷项</w:t>
            </w:r>
          </w:p>
        </w:tc>
        <w:tc>
          <w:tcPr>
            <w:tcW w:type="dxa" w:w="2459"/>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高风险命中</w:t>
            </w:r>
          </w:p>
        </w:tc>
        <w:tc>
          <w:tcPr>
            <w:tcW w:type="dxa" w:w="2459"/>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已核验未触发/不适用</w:t>
            </w:r>
          </w:p>
        </w:tc>
        <w:tc>
          <w:tcPr>
            <w:tcW w:type="dxa" w:w="2458"/>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证据不足</w:t>
            </w:r>
          </w:p>
        </w:tc>
      </w:tr>
    </w:tbl>
    <w:p>
      <w:pPr>
        <w:spacing w:after="0"/>
      </w:pP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一句话结论</w:t>
            </w:r>
          </w:p>
          <w:p>
            <w:pPr>
              <w:spacing w:after="0" w:line="288" w:lineRule="auto"/>
            </w:pPr>
            <w:r>
              <w:rPr>
                <w:rFonts w:ascii="Aptos" w:hAnsi="Aptos" w:eastAsia="Microsoft YaHei"/>
                <w:b w:val="0"/>
                <w:color w:val="1F2933"/>
                <w:sz w:val="20"/>
              </w:rPr>
              <w:t>待补证：19项证据不足；在已核验范围内未触发致命红线，不能据此判定整体通过。</w:t>
            </w:r>
          </w:p>
        </w:tc>
      </w:tr>
    </w:tbl>
    <w:p>
      <w:pPr>
        <w:spacing w:after="0"/>
      </w:pPr>
    </w:p>
    <w:p>
      <w:pPr>
        <w:spacing w:after="100" w:line="300" w:lineRule="auto"/>
      </w:pPr>
      <w:r>
        <w:rPr>
          <w:rFonts w:ascii="Aptos" w:hAnsi="Aptos" w:eastAsia="Microsoft YaHei"/>
          <w:b/>
          <w:color w:val="1F2933"/>
          <w:sz w:val="21"/>
        </w:rPr>
        <w:t>档案编号：</w:t>
      </w:r>
      <w:r>
        <w:rPr>
          <w:rFonts w:ascii="Aptos" w:hAnsi="Aptos" w:eastAsia="Microsoft YaHei"/>
          <w:b w:val="0"/>
          <w:color w:val="1F2933"/>
          <w:sz w:val="21"/>
        </w:rPr>
        <w:t>无需归档</w:t>
      </w:r>
    </w:p>
    <w:p>
      <w:pPr>
        <w:spacing w:after="100" w:line="300" w:lineRule="auto"/>
      </w:pPr>
      <w:r>
        <w:rPr>
          <w:rFonts w:ascii="Aptos" w:hAnsi="Aptos" w:eastAsia="Microsoft YaHei"/>
          <w:b/>
          <w:color w:val="1F2933"/>
          <w:sz w:val="21"/>
        </w:rPr>
        <w:t>筛查日期：</w:t>
      </w:r>
      <w:r>
        <w:rPr>
          <w:rFonts w:ascii="Aptos" w:hAnsi="Aptos" w:eastAsia="Microsoft YaHei"/>
          <w:b w:val="0"/>
          <w:color w:val="1F2933"/>
          <w:sz w:val="21"/>
        </w:rPr>
        <w:t>2026-10-15</w:t>
      </w:r>
    </w:p>
    <w:p>
      <w:pPr>
        <w:spacing w:after="100" w:line="300" w:lineRule="auto"/>
      </w:pPr>
      <w:r>
        <w:rPr>
          <w:rFonts w:ascii="Aptos" w:hAnsi="Aptos" w:eastAsia="Microsoft YaHei"/>
          <w:b/>
          <w:color w:val="1F2933"/>
          <w:sz w:val="21"/>
        </w:rPr>
        <w:t>建议复核日：</w:t>
      </w:r>
      <w:r>
        <w:rPr>
          <w:rFonts w:ascii="Aptos" w:hAnsi="Aptos" w:eastAsia="Microsoft YaHei"/>
          <w:b w:val="0"/>
          <w:color w:val="1F2933"/>
          <w:sz w:val="21"/>
        </w:rPr>
        <w:t>不适用</w:t>
      </w:r>
    </w:p>
    <w:p>
      <w:pPr>
        <w:pStyle w:val="Heading1"/>
        <w:keepNext w:val="0"/>
        <w:pageBreakBefore/>
        <w:spacing w:before="200" w:after="100"/>
      </w:pPr>
      <w:r>
        <w:rPr>
          <w:rFonts w:ascii="Aptos" w:hAnsi="Aptos" w:eastAsia="Microsoft YaHei"/>
          <w:b/>
          <w:color w:val="103E59"/>
          <w:sz w:val="46"/>
        </w:rPr>
        <w:t>01｜执行摘要</w:t>
      </w:r>
    </w:p>
    <w:tbl>
      <w:tblPr>
        <w:tblStyle w:val="TableGrid"/>
        <w:tblW w:type="dxa" w:w="9835"/>
        <w:jc w:val="center"/>
        <w:tblLayout w:type="fixed"/>
        <w:tblLook w:firstColumn="1" w:firstRow="1" w:lastColumn="0" w:lastRow="0" w:noHBand="0" w:noVBand="1" w:val="04A0"/>
        <w:tblInd w:w="120" w:type="dxa"/>
      </w:tblPr>
      <w:tblGrid>
        <w:gridCol w:w="2100"/>
        <w:gridCol w:w="2100"/>
        <w:gridCol w:w="5635"/>
      </w:tblGrid>
      <w:tr>
        <w:trPr>
          <w:tblHeader w:val="true"/>
        </w:trPr>
        <w:tc>
          <w:tcPr>
            <w:tcW w:type="dxa" w:w="21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维度</w:t>
            </w:r>
          </w:p>
        </w:tc>
        <w:tc>
          <w:tcPr>
            <w:tcW w:type="dxa" w:w="21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结论</w:t>
            </w:r>
          </w:p>
        </w:tc>
        <w:tc>
          <w:tcPr>
            <w:tcW w:type="dxa" w:w="5635"/>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核心依据</w:t>
            </w:r>
          </w:p>
        </w:tc>
      </w:tr>
      <w:tr>
        <w:trPr>
          <w:cantSplit/>
        </w:trPr>
        <w:tc>
          <w:tcPr>
            <w:tcW w:type="dxa" w:w="21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行业层</w:t>
            </w:r>
          </w:p>
        </w:tc>
        <w:tc>
          <w:tcPr>
            <w:tcW w:type="dxa" w:w="21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56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待补证 H1, H2</w:t>
            </w:r>
          </w:p>
        </w:tc>
      </w:tr>
      <w:tr>
        <w:trPr>
          <w:cantSplit/>
        </w:trPr>
        <w:tc>
          <w:tcPr>
            <w:tcW w:type="dxa" w:w="21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公司层</w:t>
            </w:r>
          </w:p>
        </w:tc>
        <w:tc>
          <w:tcPr>
            <w:tcW w:type="dxa" w:w="21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56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待补证 C1, C2, C3, C4, C5, C6, C7, C8, C9, C10, C11</w:t>
            </w:r>
          </w:p>
        </w:tc>
      </w:tr>
      <w:tr>
        <w:trPr>
          <w:cantSplit/>
        </w:trPr>
        <w:tc>
          <w:tcPr>
            <w:tcW w:type="dxa" w:w="21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量化层</w:t>
            </w:r>
          </w:p>
        </w:tc>
        <w:tc>
          <w:tcPr>
            <w:tcW w:type="dxa" w:w="21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56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待补证 Q1, Q2, Q3, Q4, Q5, Q6</w:t>
            </w:r>
          </w:p>
        </w:tc>
      </w:tr>
      <w:tr>
        <w:trPr>
          <w:cantSplit/>
        </w:trPr>
        <w:tc>
          <w:tcPr>
            <w:tcW w:type="dxa" w:w="21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最终处置</w:t>
            </w:r>
          </w:p>
        </w:tc>
        <w:tc>
          <w:tcPr>
            <w:tcW w:type="dxa" w:w="21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待补证</w:t>
            </w:r>
          </w:p>
        </w:tc>
        <w:tc>
          <w:tcPr>
            <w:tcW w:type="dxa" w:w="56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补齐证据后复核</w:t>
            </w:r>
          </w:p>
        </w:tc>
      </w:tr>
    </w:tbl>
    <w:p>
      <w:pPr>
        <w:spacing w:after="0"/>
      </w:pPr>
    </w:p>
    <w:p>
      <w:pPr>
        <w:pStyle w:val="Heading2"/>
        <w:keepNext/>
        <w:pageBreakBefore w:val="0"/>
        <w:spacing w:before="140" w:after="100"/>
      </w:pPr>
      <w:r>
        <w:rPr>
          <w:rFonts w:ascii="Aptos" w:hAnsi="Aptos" w:eastAsia="Microsoft YaHei"/>
          <w:b/>
          <w:color w:val="103E59"/>
          <w:sz w:val="30"/>
        </w:rPr>
        <w:t>研究范围</w:t>
      </w:r>
    </w:p>
    <w:p>
      <w:pPr>
        <w:spacing w:after="100" w:line="300" w:lineRule="auto"/>
      </w:pPr>
      <w:r>
        <w:rPr>
          <w:rFonts w:ascii="Aptos" w:hAnsi="Aptos" w:eastAsia="Microsoft YaHei"/>
          <w:b w:val="0"/>
          <w:color w:val="1F2933"/>
          <w:sz w:val="21"/>
        </w:rPr>
        <w:t>以本期定期报告全文、已提取财务指标为主；行情、质押、减持、估值分位未做全网核验。</w:t>
      </w:r>
    </w:p>
    <w:p>
      <w:pPr>
        <w:pStyle w:val="Heading2"/>
        <w:keepNext/>
        <w:pageBreakBefore w:val="0"/>
        <w:spacing w:before="140" w:after="100"/>
      </w:pPr>
      <w:r>
        <w:rPr>
          <w:rFonts w:ascii="Aptos" w:hAnsi="Aptos" w:eastAsia="Microsoft YaHei"/>
          <w:b/>
          <w:color w:val="103E59"/>
          <w:sz w:val="30"/>
        </w:rPr>
        <w:t>公司快照</w:t>
      </w:r>
    </w:p>
    <w:tbl>
      <w:tblPr>
        <w:tblStyle w:val="TableGrid"/>
        <w:tblW w:type="dxa" w:w="9835"/>
        <w:jc w:val="center"/>
        <w:tblLayout w:type="fixed"/>
        <w:tblLook w:firstColumn="1" w:firstRow="1" w:lastColumn="0" w:lastRow="0" w:noHBand="0" w:noVBand="1" w:val="04A0"/>
        <w:tblInd w:w="120" w:type="dxa"/>
      </w:tblPr>
      <w:tblGrid>
        <w:gridCol w:w="2500"/>
        <w:gridCol w:w="3000"/>
        <w:gridCol w:w="4335"/>
      </w:tblGrid>
      <w:tr>
        <w:trPr>
          <w:tblHeader w:val="true"/>
        </w:trPr>
        <w:tc>
          <w:tcPr>
            <w:tcW w:type="dxa" w:w="25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项目</w:t>
            </w:r>
          </w:p>
        </w:tc>
        <w:tc>
          <w:tcPr>
            <w:tcW w:type="dxa" w:w="30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数据</w:t>
            </w:r>
          </w:p>
        </w:tc>
        <w:tc>
          <w:tcPr>
            <w:tcW w:type="dxa" w:w="4335"/>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判断/口径</w:t>
            </w:r>
          </w:p>
        </w:tc>
      </w:tr>
      <w:tr>
        <w:trPr>
          <w:cantSplit/>
        </w:trPr>
        <w:tc>
          <w:tcPr>
            <w:tcW w:type="dxa" w:w="25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排雷结论</w:t>
            </w:r>
          </w:p>
        </w:tc>
        <w:tc>
          <w:tcPr>
            <w:tcW w:type="dxa" w:w="30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待补证</w:t>
            </w:r>
          </w:p>
        </w:tc>
        <w:tc>
          <w:tcPr>
            <w:tcW w:type="dxa" w:w="43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待补证：19项证据不足；在已核验范围内未触发致命红线，不能据此判定整体通过。</w:t>
            </w:r>
          </w:p>
        </w:tc>
      </w:tr>
    </w:tbl>
    <w:p>
      <w:pPr>
        <w:spacing w:after="0"/>
      </w:pPr>
    </w:p>
    <w:p>
      <w:pPr>
        <w:pStyle w:val="Heading1"/>
        <w:keepNext w:val="0"/>
        <w:pageBreakBefore/>
        <w:spacing w:before="200" w:after="100"/>
      </w:pPr>
      <w:r>
        <w:rPr>
          <w:rFonts w:ascii="Aptos" w:hAnsi="Aptos" w:eastAsia="Microsoft YaHei"/>
          <w:b/>
          <w:color w:val="103E59"/>
          <w:sz w:val="46"/>
        </w:rPr>
        <w:t>02｜第一层：行业致命风险</w:t>
      </w:r>
    </w:p>
    <w:tbl>
      <w:tblPr>
        <w:tblStyle w:val="TableGrid"/>
        <w:tblW w:type="dxa" w:w="9835"/>
        <w:jc w:val="center"/>
        <w:tblLayout w:type="fixed"/>
        <w:tblLook w:firstColumn="1" w:firstRow="1" w:lastColumn="0" w:lastRow="0" w:noHBand="0" w:noVBand="1" w:val="04A0"/>
        <w:tblInd w:w="120" w:type="dxa"/>
      </w:tblPr>
      <w:tblGrid>
        <w:gridCol w:w="900"/>
        <w:gridCol w:w="2300"/>
        <w:gridCol w:w="1800"/>
        <w:gridCol w:w="4835"/>
      </w:tblGrid>
      <w:tr>
        <w:trPr>
          <w:tblHeader w:val="true"/>
        </w:trPr>
        <w:tc>
          <w:tcPr>
            <w:tcW w:type="dxa" w:w="9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编号</w:t>
            </w:r>
          </w:p>
        </w:tc>
        <w:tc>
          <w:tcPr>
            <w:tcW w:type="dxa" w:w="23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检查项</w:t>
            </w:r>
          </w:p>
        </w:tc>
        <w:tc>
          <w:tcPr>
            <w:tcW w:type="dxa" w:w="18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结果</w:t>
            </w:r>
          </w:p>
        </w:tc>
        <w:tc>
          <w:tcPr>
            <w:tcW w:type="dxa" w:w="4835"/>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阈值核验与依据</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H1</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行业需求不可逆萎缩</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仅披露公司自身经营情况，未提供白酒行业整体需求连续下滑、无周期复苏信号及技术替代不可逆的行业数据。报告称“白酒行业正处于宏观经济周期与产业调整周期的双重叠加时期，未来发展虽面临不少挑战与压力，但有利因素强于不利因素，总体发展态势依然向好”，该表述不支持“不可逆萎缩”结论，但也不足以完成行业层核验。</w:t>
              <w:br/>
              <w:t>S1 PDF第6页行业说明；候选材料未覆盖行业总量、周期及技术替代数据。[S1]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H2</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行业面临政策致命风险</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提供白酒行业商业模式合法性、核心收入对单一政策容忍度依赖及政策转向导致业务归零的直接证据。公司披露主导产品为“贵州茅台酒”，集国家地理标志产品、有机食品和国家非物质文化遗产于一身，但该等资质描述不能排除政策致命风险，也不能完成核验。</w:t>
              <w:br/>
              <w:t>S1 PDF第6页主营业务说明；候选材料未覆盖行业政策合法性及政策容忍度分析。[S1]</w:t>
            </w:r>
          </w:p>
        </w:tc>
      </w:tr>
    </w:tbl>
    <w:p>
      <w:pPr>
        <w:spacing w:after="0"/>
      </w:pPr>
    </w:p>
    <w:p>
      <w:pPr>
        <w:pStyle w:val="Heading2"/>
        <w:keepNext/>
        <w:pageBreakBefore w:val="0"/>
        <w:spacing w:before="140" w:after="100"/>
      </w:pPr>
      <w:r>
        <w:rPr>
          <w:rFonts w:ascii="Aptos" w:hAnsi="Aptos" w:eastAsia="Microsoft YaHei"/>
          <w:b/>
          <w:color w:val="103E59"/>
          <w:sz w:val="30"/>
        </w:rPr>
        <w:t>H1｜行业需求不可逆萎缩</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行业整体需求连续下滑、无周期复苏信号，且技术替代不可逆。</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仅披露公司自身经营情况，未提供白酒行业整体需求连续下滑、无周期复苏信号及技术替代不可逆的行业数据。报告称“白酒行业正处于宏观经济周期与产业调整周期的双重叠加时期，未来发展虽面临不少挑战与压力，但有利因素强于不利因素，总体发展态势依然向好”，该表述不支持“不可逆萎缩”结论，但也不足以完成行业层核验。 S1 PDF第6页行业说明；候选材料未覆盖行业总量、周期及技术替代数据。[S1]</w:t>
            </w:r>
          </w:p>
        </w:tc>
      </w:tr>
    </w:tbl>
    <w:p>
      <w:pPr>
        <w:spacing w:after="0"/>
      </w:pPr>
    </w:p>
    <w:p>
      <w:pPr>
        <w:pStyle w:val="Heading2"/>
        <w:keepNext/>
        <w:pageBreakBefore w:val="0"/>
        <w:spacing w:before="140" w:after="100"/>
      </w:pPr>
      <w:r>
        <w:rPr>
          <w:rFonts w:ascii="Aptos" w:hAnsi="Aptos" w:eastAsia="Microsoft YaHei"/>
          <w:b/>
          <w:color w:val="103E59"/>
          <w:sz w:val="30"/>
        </w:rPr>
        <w:t>H2｜行业面临政策致命风险</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行业商业模式合法性存疑；核心收入依赖单一政策容忍度，一纸文件可归零。</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未提供白酒行业商业模式合法性、核心收入对单一政策容忍度依赖及政策转向导致业务归零的直接证据。公司披露主导产品为“贵州茅台酒”，集国家地理标志产品、有机食品和国家非物质文化遗产于一身，但该等资质描述不能排除政策致命风险，也不能完成核验。 S1 PDF第6页主营业务说明；候选材料未覆盖行业政策合法性及政策容忍度分析。[S1]</w:t>
            </w:r>
          </w:p>
        </w:tc>
      </w:tr>
    </w:tbl>
    <w:p>
      <w:pPr>
        <w:spacing w:after="0"/>
      </w:pPr>
    </w:p>
    <w:p>
      <w:pPr>
        <w:pStyle w:val="Heading1"/>
        <w:keepNext w:val="0"/>
        <w:pageBreakBefore/>
        <w:spacing w:before="200" w:after="100"/>
      </w:pPr>
      <w:r>
        <w:rPr>
          <w:rFonts w:ascii="Aptos" w:hAnsi="Aptos" w:eastAsia="Microsoft YaHei"/>
          <w:b/>
          <w:color w:val="103E59"/>
          <w:sz w:val="46"/>
        </w:rPr>
        <w:t>03｜第二层：公司致命风险红线</w:t>
      </w:r>
    </w:p>
    <w:tbl>
      <w:tblPr>
        <w:tblStyle w:val="TableGrid"/>
        <w:tblW w:type="dxa" w:w="9835"/>
        <w:jc w:val="center"/>
        <w:tblLayout w:type="fixed"/>
        <w:tblLook w:firstColumn="1" w:firstRow="1" w:lastColumn="0" w:lastRow="0" w:noHBand="0" w:noVBand="1" w:val="04A0"/>
        <w:tblInd w:w="120" w:type="dxa"/>
      </w:tblPr>
      <w:tblGrid>
        <w:gridCol w:w="900"/>
        <w:gridCol w:w="2300"/>
        <w:gridCol w:w="1800"/>
        <w:gridCol w:w="4835"/>
      </w:tblGrid>
      <w:tr>
        <w:trPr>
          <w:tblHeader w:val="true"/>
        </w:trPr>
        <w:tc>
          <w:tcPr>
            <w:tcW w:type="dxa" w:w="9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编号</w:t>
            </w:r>
          </w:p>
        </w:tc>
        <w:tc>
          <w:tcPr>
            <w:tcW w:type="dxa" w:w="23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检查项</w:t>
            </w:r>
          </w:p>
        </w:tc>
        <w:tc>
          <w:tcPr>
            <w:tcW w:type="dxa" w:w="18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结果</w:t>
            </w:r>
          </w:p>
        </w:tc>
        <w:tc>
          <w:tcPr>
            <w:tcW w:type="dxa" w:w="4835"/>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阈值核验与依据</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C1</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财务真实性存疑</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货币资金516.45亿元、总资产2922.58亿元，货币资金/总资产约17.67%，未超过20%；其他应收款0.50亿元、归母净资产2386.47亿元，其他应收款/净资产约0.02%，未超过20%。但候选材料未覆盖有息负债率、利息收支匹配性、关联采购/销售占比是否&gt;30%及定价公允性、最近3年审计意见、近3年累计经营现金流/累计净利润、公司或实控人财务造假及重大信披违规处罚前科等全部子条件，无法完成全部触发条件或必要条件反证。</w:t>
              <w:br/>
              <w:t>S1 PDF第5页主要会计数据、PDF第24页合并资产负债表；候选材料未覆盖审计意见、处罚前科及完整关联交易占比。[S1]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C2</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资金链断裂风险</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候选材料显示2025年半年度经营活动产生的现金流量净额为131.19亿元，为正；报告称“是否存在被控股股东及其他关联方非经营性占用资金情况 否”“是否存在违反规定决策程序对外提供担保的情况 否”。但候选材料未覆盖短期有息负债、未受限银行授信、大股东股权质押比例及资金占用/违规担保实锤等全部子条件，无法完成核验。</w:t>
              <w:br/>
              <w:t>S1 PDF第2页重要提示、PDF第5页主要会计数据；候选材料未覆盖短期有息负债、授信及质押数据。[S1]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C3</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政策一招致命</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提供公司核心业务合法性完全依赖单一政策容忍度、政策转向业务归零，或行业已被明确限制/禁止且政策底部不明的直接证据。公司披露主导产品为“贵州茅台酒”，集国家地理标志产品、有机食品和国家非物质文化遗产于一身，但该等描述不能完成政策致命风险核验。</w:t>
              <w:br/>
              <w:t>S1 PDF第6页主营业务说明；候选材料未覆盖政策限制/禁止及政策底部分析。[S1]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C4</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管理层诚信缺陷</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公司负责人张德芹、主管会计工作负责人蒋焰及会计机构负责人蔡聪应声明保证半年度报告中财务报告的真实、准确、完整；报告称“报告期内公司及控股股东、实际控制人诚信状况良好”。但候选材料未覆盖实控人/高管违规前科、刑事犯罪记录、重大失信被执行记录、低价定增、高位减持、忽悠式重组、承诺屡次不兑现及核心管理团队1年内集体离职等全部子条件，无法完成核验。</w:t>
              <w:br/>
              <w:t>S1 PDF第2页重要提示、PDF第15页诚信状况说明；候选材料未覆盖处罚记录、减持及团队稳定性数据。[S1]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C5</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极度高估</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候选材料未提供公司估值分位、市盈率、市净率、历史估值区间及隐含增速等行情或估值数据，无法判断是否处于自身历史90%分位以上，也无法判断隐含增速是否透支两年以上业绩。</w:t>
              <w:br/>
              <w:t>候选材料未覆盖估值及行情数据；S1为半年度报告，不含估值分位信息。[S1]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C6</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短期暴涨</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候选材料未提供公司股票近1个月、近3个月、近6个月涨跌幅数据，无法判断是否触发短期暴涨阈值。</w:t>
              <w:br/>
              <w:t>候选材料未覆盖行情涨跌幅数据；S1为半年度报告，不含股价走势信息。[S1]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C7</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价值陷阱</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2025年半年度营业总收入910.94亿元、同比增长9.16%，归母净利润454.03亿元、同比增长8.89%，未显示主营业务连续2年营收、归母净利双下滑。但候选材料未覆盖连续2年完整财务数据、行业需求不可逆萎缩、技术/政策颠覆、连续5年分红回购记录及未来12-18个月催化剂等全部子条件，无法完成核验。</w:t>
              <w:br/>
              <w:t>S1 PDF第5页主要会计数据、PDF第7页经营情况讨论；候选材料未覆盖连续2年数据、分红回购历史及催化剂分析。[S1]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C8</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次新股</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公司股票简况显示股票种类为A股，股票上市交易所为上海证券交易所，股票简称贵州茅台，股票代码600519。公司2001年上市，至2025年半年度报告披露时已上市超过20年，远超2-3年阈值，不构成次新股风险。</w:t>
              <w:br/>
              <w:t>未取得可在所给原文复核的直接引文，须补证后判断。[S1]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C9</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资本黑洞</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候选材料显示2025年半年度营业总收入同比增长9.16%、归母净利润同比增长8.89%，未显示收入利润多年无增长。但候选材料未覆盖多年收入利润趋势、资本开支/折旧比及自由现金流等全部组合条件，无法完成核验。</w:t>
              <w:br/>
              <w:t>S1 PDF第5页主要会计数据、PDF第7页经营情况讨论；候选材料未覆盖资本开支、折旧及自由现金流多年数据。[S1]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C10</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纯概念蹭风口</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公司主要业务是茅台酒及系列酒的生产与销售，主导产品“贵州茅台酒”为我国大曲酱香型白酒的鼻祖和典型代表，营销网络覆盖国内市场及五大洲64个国家和地区。但候选材料未覆盖热点业务收入占比、公告/互动易蹭概念行为及订单、客户验证、资本开支等落地证据，无法完成核验。</w:t>
              <w:br/>
              <w:t>S1 PDF第6页主营业务说明；候选材料未覆盖热点业务收入占比及概念炒作证据。[S1]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C11</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流动性与退市风险</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候选材料未显示公司被实施ST/*ST或存在明确退市风险；未提供日均成交额数据；未提供商誉金额、商誉/净资产比例及业绩承诺到期情况。无法完成全部子条件核验。</w:t>
              <w:br/>
              <w:t>S1 PDF第4页股票简况、PDF第24页合并资产负债表；候选材料未覆盖ST状态、成交额及商誉数据。[S1]</w:t>
            </w:r>
          </w:p>
        </w:tc>
      </w:tr>
    </w:tbl>
    <w:p>
      <w:pPr>
        <w:spacing w:after="0"/>
      </w:pPr>
    </w:p>
    <w:p>
      <w:pPr>
        <w:pStyle w:val="Heading2"/>
        <w:keepNext/>
        <w:pageBreakBefore w:val="0"/>
        <w:spacing w:before="140" w:after="100"/>
      </w:pPr>
      <w:r>
        <w:rPr>
          <w:rFonts w:ascii="Aptos" w:hAnsi="Aptos" w:eastAsia="Microsoft YaHei"/>
          <w:b/>
          <w:color w:val="103E59"/>
          <w:sz w:val="30"/>
        </w:rPr>
        <w:t>C1｜财务真实性存疑</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任一命中：①货币资金/总资产&gt;20% 且有息负债率&gt;40%，并出现利息收支不匹配；②其他应收款/净资产&gt;20%且去向不明，或关联采购/销售占比&gt;30%且定价不公允；③最近3年审计非标；④近3年累计经营现金流净额/累计净利润&lt;50%且无合理解释；⑤公司或实控人有财务造假、重大信披违规被立案处罚前科。</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显示货币资金516.45亿元、总资产2922.58亿元，货币资金/总资产约17.67%，未超过20%；其他应收款0.50亿元、归母净资产2386.47亿元，其他应收款/净资产约0.02%，未超过20%。但候选材料未覆盖有息负债率、利息收支匹配性、关联采购/销售占比是否&gt;30%及定价公允性、最近3年审计意见、近3年累计经营现金流/累计净利润、公司或实控人财务造假及重大信披违规处罚前科等全部子条件，无法完成全部触发条件或必要条件反证。 S1 PDF第5页主要会计数据、PDF第24页合并资产负债表；候选材料未覆盖审计意见、处罚前科及完整关联交易占比。[S1]</w:t>
            </w:r>
          </w:p>
        </w:tc>
      </w:tr>
    </w:tbl>
    <w:p>
      <w:pPr>
        <w:spacing w:after="0"/>
      </w:pPr>
    </w:p>
    <w:p>
      <w:pPr>
        <w:pStyle w:val="Heading2"/>
        <w:keepNext/>
        <w:pageBreakBefore w:val="0"/>
        <w:spacing w:before="140" w:after="100"/>
      </w:pPr>
      <w:r>
        <w:rPr>
          <w:rFonts w:ascii="Aptos" w:hAnsi="Aptos" w:eastAsia="Microsoft YaHei"/>
          <w:b/>
          <w:color w:val="103E59"/>
          <w:sz w:val="30"/>
        </w:rPr>
        <w:t>C2｜资金链断裂风险</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任一命中：①短期有息负债&gt;货币资金+未受限银行授信，且经营现金流为负；②大股东股权质押&gt;70%（&gt;80%极端）；③大股东资金占用、违规担保或掏空上市公司有实锤。</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候选材料显示2025年半年度经营活动产生的现金流量净额为131.19亿元，为正；报告称“是否存在被控股股东及其他关联方非经营性占用资金情况 否”“是否存在违反规定决策程序对外提供担保的情况 否”。但候选材料未覆盖短期有息负债、未受限银行授信、大股东股权质押比例及资金占用/违规担保实锤等全部子条件，无法完成核验。 S1 PDF第2页重要提示、PDF第5页主要会计数据；候选材料未覆盖短期有息负债、授信及质押数据。[S1]</w:t>
            </w:r>
          </w:p>
        </w:tc>
      </w:tr>
    </w:tbl>
    <w:p>
      <w:pPr>
        <w:spacing w:after="0"/>
      </w:pPr>
    </w:p>
    <w:p>
      <w:pPr>
        <w:pStyle w:val="Heading2"/>
        <w:keepNext/>
        <w:pageBreakBefore w:val="0"/>
        <w:spacing w:before="140" w:after="100"/>
      </w:pPr>
      <w:r>
        <w:rPr>
          <w:rFonts w:ascii="Aptos" w:hAnsi="Aptos" w:eastAsia="Microsoft YaHei"/>
          <w:b/>
          <w:color w:val="103E59"/>
          <w:sz w:val="30"/>
        </w:rPr>
        <w:t>C3｜政策一招致命</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核心业务合法性完全依赖单一政策容忍度，政策转向业务归零；或行业已被明确限制/禁止且政策底部不明。</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未提供公司核心业务合法性完全依赖单一政策容忍度、政策转向业务归零，或行业已被明确限制/禁止且政策底部不明的直接证据。公司披露主导产品为“贵州茅台酒”，集国家地理标志产品、有机食品和国家非物质文化遗产于一身，但该等描述不能完成政策致命风险核验。 S1 PDF第6页主营业务说明；候选材料未覆盖政策限制/禁止及政策底部分析。[S1]</w:t>
            </w:r>
          </w:p>
        </w:tc>
      </w:tr>
    </w:tbl>
    <w:p>
      <w:pPr>
        <w:spacing w:after="0"/>
      </w:pPr>
    </w:p>
    <w:p>
      <w:pPr>
        <w:pStyle w:val="Heading2"/>
        <w:keepNext/>
        <w:pageBreakBefore w:val="0"/>
        <w:spacing w:before="140" w:after="100"/>
      </w:pPr>
      <w:r>
        <w:rPr>
          <w:rFonts w:ascii="Aptos" w:hAnsi="Aptos" w:eastAsia="Microsoft YaHei"/>
          <w:b/>
          <w:color w:val="103E59"/>
          <w:sz w:val="30"/>
        </w:rPr>
        <w:t>C4｜管理层诚信缺陷</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任一命中：①实控人/高管有财务造假、内幕交易、行贿等违规前科、刑事犯罪记录或重大失信被执行记录；②存在低价定增输送、高位精准减持、忽悠式重组、承诺屡次不兑现等损害小股东利益实锤；③核心管理团队1年内集体离职。</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显示公司负责人张德芹、主管会计工作负责人蒋焰及会计机构负责人蔡聪应声明保证半年度报告中财务报告的真实、准确、完整；报告称“报告期内公司及控股股东、实际控制人诚信状况良好”。但候选材料未覆盖实控人/高管违规前科、刑事犯罪记录、重大失信被执行记录、低价定增、高位减持、忽悠式重组、承诺屡次不兑现及核心管理团队1年内集体离职等全部子条件，无法完成核验。 S1 PDF第2页重要提示、PDF第15页诚信状况说明；候选材料未覆盖处罚记录、减持及团队稳定性数据。[S1]</w:t>
            </w:r>
          </w:p>
        </w:tc>
      </w:tr>
    </w:tbl>
    <w:p>
      <w:pPr>
        <w:spacing w:after="0"/>
      </w:pPr>
    </w:p>
    <w:p>
      <w:pPr>
        <w:pStyle w:val="Heading2"/>
        <w:keepNext/>
        <w:pageBreakBefore w:val="0"/>
        <w:spacing w:before="140" w:after="100"/>
      </w:pPr>
      <w:r>
        <w:rPr>
          <w:rFonts w:ascii="Aptos" w:hAnsi="Aptos" w:eastAsia="Microsoft YaHei"/>
          <w:b/>
          <w:color w:val="103E59"/>
          <w:sz w:val="30"/>
        </w:rPr>
        <w:t>C5｜极度高估</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估值处于自身历史90%分位以上，且无足够业绩增长支撑，隐含增速已透支两年以上业绩。</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候选材料未提供公司估值分位、市盈率、市净率、历史估值区间及隐含增速等行情或估值数据，无法判断是否处于自身历史90%分位以上，也无法判断隐含增速是否透支两年以上业绩。 候选材料未覆盖估值及行情数据；S1为半年度报告，不含估值分位信息。[S1]</w:t>
            </w:r>
          </w:p>
        </w:tc>
      </w:tr>
    </w:tbl>
    <w:p>
      <w:pPr>
        <w:spacing w:after="0"/>
      </w:pPr>
    </w:p>
    <w:p>
      <w:pPr>
        <w:pStyle w:val="Heading2"/>
        <w:keepNext/>
        <w:pageBreakBefore w:val="0"/>
        <w:spacing w:before="140" w:after="100"/>
      </w:pPr>
      <w:r>
        <w:rPr>
          <w:rFonts w:ascii="Aptos" w:hAnsi="Aptos" w:eastAsia="Microsoft YaHei"/>
          <w:b/>
          <w:color w:val="103E59"/>
          <w:sz w:val="30"/>
        </w:rPr>
        <w:t>C6｜短期暴涨</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近6个月涨幅&gt;80%，或近3个月&gt;100%，或近1个月&gt;50%，且无基本面重大变化支撑。</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候选材料未提供公司股票近1个月、近3个月、近6个月涨跌幅数据，无法判断是否触发短期暴涨阈值。 候选材料未覆盖行情涨跌幅数据；S1为半年度报告，不含股价走势信息。[S1]</w:t>
            </w:r>
          </w:p>
        </w:tc>
      </w:tr>
    </w:tbl>
    <w:p>
      <w:pPr>
        <w:spacing w:after="0"/>
      </w:pPr>
    </w:p>
    <w:p>
      <w:pPr>
        <w:pStyle w:val="Heading2"/>
        <w:keepNext/>
        <w:pageBreakBefore w:val="0"/>
        <w:spacing w:before="140" w:after="100"/>
      </w:pPr>
      <w:r>
        <w:rPr>
          <w:rFonts w:ascii="Aptos" w:hAnsi="Aptos" w:eastAsia="Microsoft YaHei"/>
          <w:b/>
          <w:color w:val="103E59"/>
          <w:sz w:val="30"/>
        </w:rPr>
        <w:t>C7｜价值陷阱</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按原框架逐一核验：主营业务连续2年营收、归母净利双下滑且行业需求不可逆萎缩、无周期反转；或核心业务被技术/政策彻底颠覆且无转型能力；或现金充沛但连续5年不分红不回购；或未来12-18个月无可名状催化剂。不要把“便宜”当作通过证据。</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显示2025年半年度营业总收入910.94亿元、同比增长9.16%，归母净利润454.03亿元、同比增长8.89%，未显示主营业务连续2年营收、归母净利双下滑。但候选材料未覆盖连续2年完整财务数据、行业需求不可逆萎缩、技术/政策颠覆、连续5年分红回购记录及未来12-18个月催化剂等全部子条件，无法完成核验。 S1 PDF第5页主要会计数据、PDF第7页经营情况讨论；候选材料未覆盖连续2年数据、分红回购历史及催化剂分析。[S1]</w:t>
            </w:r>
          </w:p>
        </w:tc>
      </w:tr>
    </w:tbl>
    <w:p>
      <w:pPr>
        <w:spacing w:after="0"/>
      </w:pPr>
    </w:p>
    <w:p>
      <w:pPr>
        <w:pStyle w:val="Heading2"/>
        <w:keepNext/>
        <w:pageBreakBefore w:val="0"/>
        <w:spacing w:before="140" w:after="100"/>
      </w:pPr>
      <w:r>
        <w:rPr>
          <w:rFonts w:ascii="Aptos" w:hAnsi="Aptos" w:eastAsia="Microsoft YaHei"/>
          <w:b/>
          <w:color w:val="103E59"/>
          <w:sz w:val="30"/>
        </w:rPr>
        <w:t>C8｜次新股</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上市不满2-3年，财务包装期、解禁减持和完整周期检验尚未结束。框架原文为直接排除。</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公司股票简况显示股票种类为A股，股票上市交易所为上海证券交易所，股票简称贵州茅台，股票代码600519。公司2001年上市，至2025年半年度报告披露时已上市超过20年，远超2-3年阈值，不构成次新股风险。 未取得可在所给原文复核的直接引文，须补证后判断。[S1]</w:t>
            </w:r>
          </w:p>
        </w:tc>
      </w:tr>
    </w:tbl>
    <w:p>
      <w:pPr>
        <w:spacing w:after="0"/>
      </w:pPr>
    </w:p>
    <w:p>
      <w:pPr>
        <w:pStyle w:val="Heading2"/>
        <w:keepNext/>
        <w:pageBreakBefore w:val="0"/>
        <w:spacing w:before="140" w:after="100"/>
      </w:pPr>
      <w:r>
        <w:rPr>
          <w:rFonts w:ascii="Aptos" w:hAnsi="Aptos" w:eastAsia="Microsoft YaHei"/>
          <w:b/>
          <w:color w:val="103E59"/>
          <w:sz w:val="30"/>
        </w:rPr>
        <w:t>C9｜资本黑洞</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收入利润多年无增长，同时资本开支/折旧比长期&gt;1.5，且自由现金流常年为负。三项组合条件要按“同时”理解。</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候选材料显示2025年半年度营业总收入同比增长9.16%、归母净利润同比增长8.89%，未显示收入利润多年无增长。但候选材料未覆盖多年收入利润趋势、资本开支/折旧比及自由现金流等全部组合条件，无法完成核验。 S1 PDF第5页主要会计数据、PDF第7页经营情况讨论；候选材料未覆盖资本开支、折旧及自由现金流多年数据。[S1]</w:t>
            </w:r>
          </w:p>
        </w:tc>
      </w:tr>
    </w:tbl>
    <w:p>
      <w:pPr>
        <w:spacing w:after="0"/>
      </w:pPr>
    </w:p>
    <w:p>
      <w:pPr>
        <w:pStyle w:val="Heading2"/>
        <w:keepNext/>
        <w:pageBreakBefore w:val="0"/>
        <w:spacing w:before="140" w:after="100"/>
      </w:pPr>
      <w:r>
        <w:rPr>
          <w:rFonts w:ascii="Aptos" w:hAnsi="Aptos" w:eastAsia="Microsoft YaHei"/>
          <w:b/>
          <w:color w:val="103E59"/>
          <w:sz w:val="30"/>
        </w:rPr>
        <w:t>C10｜纯概念蹭风口</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热点业务真实收入占比&lt;20%，且依靠公告/互动易蹭概念，并缺乏订单、客户验证、资本开支等落地证据。真实产品/交付可以否定“纯概念”，但不等于证明盈利。</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显示公司主要业务是茅台酒及系列酒的生产与销售，主导产品“贵州茅台酒”为我国大曲酱香型白酒的鼻祖和典型代表，营销网络覆盖国内市场及五大洲64个国家和地区。但候选材料未覆盖热点业务收入占比、公告/互动易蹭概念行为及订单、客户验证、资本开支等落地证据，无法完成核验。 S1 PDF第6页主营业务说明；候选材料未覆盖热点业务收入占比及概念炒作证据。[S1]</w:t>
            </w:r>
          </w:p>
        </w:tc>
      </w:tr>
    </w:tbl>
    <w:p>
      <w:pPr>
        <w:spacing w:after="0"/>
      </w:pPr>
    </w:p>
    <w:p>
      <w:pPr>
        <w:pStyle w:val="Heading2"/>
        <w:keepNext/>
        <w:pageBreakBefore w:val="0"/>
        <w:spacing w:before="140" w:after="100"/>
      </w:pPr>
      <w:r>
        <w:rPr>
          <w:rFonts w:ascii="Aptos" w:hAnsi="Aptos" w:eastAsia="Microsoft YaHei"/>
          <w:b/>
          <w:color w:val="103E59"/>
          <w:sz w:val="30"/>
        </w:rPr>
        <w:t>C11｜流动性与退市风险</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任一命中：①已被实施 ST/*ST 或存在明确退市风险；②日均成交额&lt;5000万元；③商誉/净资产&gt;50%且业绩承诺集中到期、大概率无法兑现。</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候选材料未显示公司被实施ST/*ST或存在明确退市风险；未提供日均成交额数据；未提供商誉金额、商誉/净资产比例及业绩承诺到期情况。无法完成全部子条件核验。 S1 PDF第4页股票简况、PDF第24页合并资产负债表；候选材料未覆盖ST状态、成交额及商誉数据。[S1]</w:t>
            </w:r>
          </w:p>
        </w:tc>
      </w:tr>
    </w:tbl>
    <w:p>
      <w:pPr>
        <w:spacing w:after="0"/>
      </w:pPr>
    </w:p>
    <w:p>
      <w:pPr>
        <w:pStyle w:val="Heading1"/>
        <w:keepNext w:val="0"/>
        <w:pageBreakBefore/>
        <w:spacing w:before="200" w:after="100"/>
      </w:pPr>
      <w:r>
        <w:rPr>
          <w:rFonts w:ascii="Aptos" w:hAnsi="Aptos" w:eastAsia="Microsoft YaHei"/>
          <w:b/>
          <w:color w:val="103E59"/>
          <w:sz w:val="46"/>
        </w:rPr>
        <w:t>04｜第三层：关键定量底线</w:t>
      </w:r>
    </w:p>
    <w:tbl>
      <w:tblPr>
        <w:tblStyle w:val="TableGrid"/>
        <w:tblW w:type="dxa" w:w="9835"/>
        <w:jc w:val="center"/>
        <w:tblLayout w:type="fixed"/>
        <w:tblLook w:firstColumn="1" w:firstRow="1" w:lastColumn="0" w:lastRow="0" w:noHBand="0" w:noVBand="1" w:val="04A0"/>
        <w:tblInd w:w="120" w:type="dxa"/>
      </w:tblPr>
      <w:tblGrid>
        <w:gridCol w:w="900"/>
        <w:gridCol w:w="2300"/>
        <w:gridCol w:w="1800"/>
        <w:gridCol w:w="4835"/>
      </w:tblGrid>
      <w:tr>
        <w:trPr>
          <w:tblHeader w:val="true"/>
        </w:trPr>
        <w:tc>
          <w:tcPr>
            <w:tcW w:type="dxa" w:w="9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编号</w:t>
            </w:r>
          </w:p>
        </w:tc>
        <w:tc>
          <w:tcPr>
            <w:tcW w:type="dxa" w:w="23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检查项</w:t>
            </w:r>
          </w:p>
        </w:tc>
        <w:tc>
          <w:tcPr>
            <w:tcW w:type="dxa" w:w="18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结果</w:t>
            </w:r>
          </w:p>
        </w:tc>
        <w:tc>
          <w:tcPr>
            <w:tcW w:type="dxa" w:w="4835"/>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阈值核验与依据</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Q1</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资产负债率红线</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2025年6月30日总资产292,257,789,095.51元，归母净资产238,646,536,390.48元。以总资产和归母净资产近似计算，资产负债率约18.34%，远低于80%阈值。该反证已足以否定“资产负债率&gt;80%”这一必要条件，无需再要求连续两年趋势。</w:t>
              <w:br/>
              <w:t>所称AND必要条件反证未通过数值/条件核验，须补证后判断。[S1]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Q2</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现金流红线</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候选材料显示2025年半年度经营活动产生的现金流量净额为13,119,061,031.33元，为正；但未提供连续3年经营现金流净额数据，无法判断是否连续3年为负。</w:t>
              <w:br/>
              <w:t>S1 PDF第5页主要会计数据、PDF第7页财务报表相关科目变动分析表；候选材料未覆盖连续3年经营现金流数据。[S1]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Q3</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利润质量红线</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2025年半年度归母净利润454.03亿元、经营活动现金流量净额131.19亿元，半年度经营现金流/净利润约28.89%，低于50%。但该指标为半年度数据，非近3年累计口径；候选材料未覆盖近3年累计经营现金流净额及累计净利润，无法完成核验。累计净利润未显示≤0，不适用“通过（不适用）”。</w:t>
              <w:br/>
              <w:t>S1 PDF第5页主要会计数据；候选材料未覆盖近3年累计数据。[S1]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Q4</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商誉暴雷风险</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候选材料未提供商誉金额、商誉/净资产比例及标的公司业绩承诺期到期情况，无法完成核验。</w:t>
              <w:br/>
              <w:t>S1 PDF第24页合并资产负债表；候选材料未覆盖商誉及业绩承诺数据。[S1]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Q5</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应收账款恶化</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2025年6月30日应收账款37,961,242.39元，2025年半年度营业收入89,389,354,416.84元。应收账款/营业收入约0.04%，远低于40%阈值。该反证已足以否定“应收账款/营收&gt;40%”这一必要条件，无需再要求1年以上账龄占比。</w:t>
              <w:br/>
              <w:t>所称AND必要条件反证未通过数值/条件核验，须补证后判断。[S1]</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Q6</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大股东减持信号</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前十名股东中中国贵州茅台酒厂（集团）有限责任公司期末持股679,211,576股，比例54.07%，报告期内增减未列示；香港中央结算有限公司报告期内减少4,645,423股。但候选材料未覆盖近1年大股东/实控人减持是否&gt;总股本5%及估值历史分位，无法完成核验。</w:t>
              <w:br/>
              <w:t>S1 PDF第21页前十名股东持股情况表；候选材料未覆盖近1年减持汇总及估值分位。[S1]</w:t>
            </w:r>
          </w:p>
        </w:tc>
      </w:tr>
    </w:tbl>
    <w:p>
      <w:pPr>
        <w:spacing w:after="0"/>
      </w:pPr>
    </w:p>
    <w:p>
      <w:pPr>
        <w:pStyle w:val="Heading2"/>
        <w:keepNext/>
        <w:pageBreakBefore w:val="0"/>
        <w:spacing w:before="140" w:after="100"/>
      </w:pPr>
      <w:r>
        <w:rPr>
          <w:rFonts w:ascii="Aptos" w:hAnsi="Aptos" w:eastAsia="Microsoft YaHei"/>
          <w:b/>
          <w:color w:val="103E59"/>
          <w:sz w:val="30"/>
        </w:rPr>
        <w:t>Q1｜资产负债率红线</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资产负债率&gt;80%，且连续2年持续上升。</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2025年6月30日总资产292,257,789,095.51元，归母净资产238,646,536,390.48元。以总资产和归母净资产近似计算，资产负债率约18.34%，远低于80%阈值。该反证已足以否定“资产负债率&gt;80%”这一必要条件，无需再要求连续两年趋势。 所称AND必要条件反证未通过数值/条件核验，须补证后判断。[S1]</w:t>
            </w:r>
          </w:p>
        </w:tc>
      </w:tr>
    </w:tbl>
    <w:p>
      <w:pPr>
        <w:spacing w:after="0"/>
      </w:pPr>
    </w:p>
    <w:p>
      <w:pPr>
        <w:pStyle w:val="Heading2"/>
        <w:keepNext/>
        <w:pageBreakBefore w:val="0"/>
        <w:spacing w:before="140" w:after="100"/>
      </w:pPr>
      <w:r>
        <w:rPr>
          <w:rFonts w:ascii="Aptos" w:hAnsi="Aptos" w:eastAsia="Microsoft YaHei"/>
          <w:b/>
          <w:color w:val="103E59"/>
          <w:sz w:val="30"/>
        </w:rPr>
        <w:t>Q2｜现金流红线</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连续3年经营现金流净额为负，且主业无周期反转逻辑。</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候选材料显示2025年半年度经营活动产生的现金流量净额为13,119,061,031.33元，为正；但未提供连续3年经营现金流净额数据，无法判断是否连续3年为负。 S1 PDF第5页主要会计数据、PDF第7页财务报表相关科目变动分析表；候选材料未覆盖连续3年经营现金流数据。[S1]</w:t>
            </w:r>
          </w:p>
        </w:tc>
      </w:tr>
    </w:tbl>
    <w:p>
      <w:pPr>
        <w:spacing w:after="0"/>
      </w:pPr>
    </w:p>
    <w:p>
      <w:pPr>
        <w:pStyle w:val="Heading2"/>
        <w:keepNext/>
        <w:pageBreakBefore w:val="0"/>
        <w:spacing w:before="140" w:after="100"/>
      </w:pPr>
      <w:r>
        <w:rPr>
          <w:rFonts w:ascii="Aptos" w:hAnsi="Aptos" w:eastAsia="Microsoft YaHei"/>
          <w:b/>
          <w:color w:val="103E59"/>
          <w:sz w:val="30"/>
        </w:rPr>
        <w:t>Q3｜利润质量红线</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近3年累计经营现金流净额/累计净利润&lt;50%。累计净利润≤0时分母失效，标为“通过（不适用）”，并把持续亏损另列黄灯。</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显示2025年半年度归母净利润454.03亿元、经营活动现金流量净额131.19亿元，半年度经营现金流/净利润约28.89%，低于50%。但该指标为半年度数据，非近3年累计口径；候选材料未覆盖近3年累计经营现金流净额及累计净利润，无法完成核验。累计净利润未显示≤0，不适用“通过（不适用）”。 S1 PDF第5页主要会计数据；候选材料未覆盖近3年累计数据。[S1]</w:t>
            </w:r>
          </w:p>
        </w:tc>
      </w:tr>
    </w:tbl>
    <w:p>
      <w:pPr>
        <w:spacing w:after="0"/>
      </w:pPr>
    </w:p>
    <w:p>
      <w:pPr>
        <w:pStyle w:val="Heading2"/>
        <w:keepNext/>
        <w:pageBreakBefore w:val="0"/>
        <w:spacing w:before="140" w:after="100"/>
      </w:pPr>
      <w:r>
        <w:rPr>
          <w:rFonts w:ascii="Aptos" w:hAnsi="Aptos" w:eastAsia="Microsoft YaHei"/>
          <w:b/>
          <w:color w:val="103E59"/>
          <w:sz w:val="30"/>
        </w:rPr>
        <w:t>Q4｜商誉暴雷风险</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商誉/净资产&gt;50%，且标的公司业绩承诺期集中到期。</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候选材料未提供商誉金额、商誉/净资产比例及标的公司业绩承诺期到期情况，无法完成核验。 S1 PDF第24页合并资产负债表；候选材料未覆盖商誉及业绩承诺数据。[S1]</w:t>
            </w:r>
          </w:p>
        </w:tc>
      </w:tr>
    </w:tbl>
    <w:p>
      <w:pPr>
        <w:spacing w:after="0"/>
      </w:pPr>
    </w:p>
    <w:p>
      <w:pPr>
        <w:pStyle w:val="Heading2"/>
        <w:keepNext/>
        <w:pageBreakBefore w:val="0"/>
        <w:spacing w:before="140" w:after="100"/>
      </w:pPr>
      <w:r>
        <w:rPr>
          <w:rFonts w:ascii="Aptos" w:hAnsi="Aptos" w:eastAsia="Microsoft YaHei"/>
          <w:b/>
          <w:color w:val="103E59"/>
          <w:sz w:val="30"/>
        </w:rPr>
        <w:t>Q5｜应收账款恶化</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应收账款/营收&gt;40%，且1年以上账龄占比&gt;30%。</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2025年6月30日应收账款37,961,242.39元，2025年半年度营业收入89,389,354,416.84元。应收账款/营业收入约0.04%，远低于40%阈值。该反证已足以否定“应收账款/营收&gt;40%”这一必要条件，无需再要求1年以上账龄占比。 所称AND必要条件反证未通过数值/条件核验，须补证后判断。[S1]</w:t>
            </w:r>
          </w:p>
        </w:tc>
      </w:tr>
    </w:tbl>
    <w:p>
      <w:pPr>
        <w:spacing w:after="0"/>
      </w:pPr>
    </w:p>
    <w:p>
      <w:pPr>
        <w:pStyle w:val="Heading2"/>
        <w:keepNext/>
        <w:pageBreakBefore w:val="0"/>
        <w:spacing w:before="140" w:after="100"/>
      </w:pPr>
      <w:r>
        <w:rPr>
          <w:rFonts w:ascii="Aptos" w:hAnsi="Aptos" w:eastAsia="Microsoft YaHei"/>
          <w:b/>
          <w:color w:val="103E59"/>
          <w:sz w:val="30"/>
        </w:rPr>
        <w:t>Q6｜大股东减持信号</w:t>
      </w:r>
    </w:p>
    <w:p>
      <w:pPr>
        <w:spacing w:after="100" w:line="300" w:lineRule="auto"/>
      </w:pPr>
      <w:r>
        <w:rPr>
          <w:rFonts w:ascii="Aptos" w:hAnsi="Aptos" w:eastAsia="Microsoft YaHei"/>
          <w:b/>
          <w:color w:val="667085"/>
          <w:sz w:val="19"/>
        </w:rPr>
        <w:t>红线：</w:t>
      </w:r>
      <w:r>
        <w:rPr>
          <w:rFonts w:ascii="Aptos" w:hAnsi="Aptos" w:eastAsia="Microsoft YaHei"/>
          <w:b w:val="0"/>
          <w:color w:val="667085"/>
          <w:sz w:val="19"/>
        </w:rPr>
        <w:t>近1年大股东/实控人减持&gt;总股本5%，且估值处于历史中高分位。</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结论：证据不足</w:t>
            </w:r>
          </w:p>
          <w:p>
            <w:pPr>
              <w:spacing w:after="0" w:line="288" w:lineRule="auto"/>
            </w:pPr>
            <w:r>
              <w:rPr>
                <w:rFonts w:ascii="Aptos" w:hAnsi="Aptos" w:eastAsia="Microsoft YaHei"/>
                <w:b w:val="0"/>
                <w:color w:val="1F2933"/>
                <w:sz w:val="20"/>
              </w:rPr>
              <w:t>候选材料显示前十名股东中中国贵州茅台酒厂（集团）有限责任公司期末持股679,211,576股，比例54.07%，报告期内增减未列示；香港中央结算有限公司报告期内减少4,645,423股。但候选材料未覆盖近1年大股东/实控人减持是否&gt;总股本5%及估值历史分位，无法完成核验。 S1 PDF第21页前十名股东持股情况表；候选材料未覆盖近1年减持汇总及估值分位。[S1]</w:t>
            </w:r>
          </w:p>
        </w:tc>
      </w:tr>
    </w:tbl>
    <w:p>
      <w:pPr>
        <w:spacing w:after="0"/>
      </w:pPr>
    </w:p>
    <w:p>
      <w:pPr>
        <w:pStyle w:val="Heading1"/>
        <w:keepNext w:val="0"/>
        <w:pageBreakBefore/>
        <w:spacing w:before="200" w:after="100"/>
      </w:pPr>
      <w:r>
        <w:rPr>
          <w:rFonts w:ascii="Aptos" w:hAnsi="Aptos" w:eastAsia="Microsoft YaHei"/>
          <w:b/>
          <w:color w:val="103E59"/>
          <w:sz w:val="46"/>
        </w:rPr>
        <w:t>06｜补充黄灯与后续验证</w:t>
      </w:r>
    </w:p>
    <w:p>
      <w:pPr>
        <w:spacing w:after="100" w:line="300" w:lineRule="auto"/>
      </w:pPr>
      <w:r>
        <w:rPr>
          <w:rFonts w:ascii="Aptos" w:hAnsi="Aptos" w:eastAsia="Microsoft YaHei"/>
          <w:b w:val="0"/>
          <w:color w:val="667085"/>
          <w:sz w:val="21"/>
        </w:rPr>
        <w:t>未列示额外黄灯；不代表公司不存在一般风险。</w:t>
      </w:r>
    </w:p>
    <w:p>
      <w:pPr>
        <w:pStyle w:val="Heading2"/>
        <w:keepNext/>
        <w:pageBreakBefore w:val="0"/>
        <w:spacing w:before="140" w:after="100"/>
      </w:pPr>
      <w:r>
        <w:rPr>
          <w:rFonts w:ascii="Aptos" w:hAnsi="Aptos" w:eastAsia="Microsoft YaHei"/>
          <w:b/>
          <w:color w:val="103E59"/>
          <w:sz w:val="30"/>
        </w:rPr>
        <w:t>处置建议</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补证优先</w:t>
            </w:r>
          </w:p>
          <w:p>
            <w:pPr>
              <w:spacing w:after="0" w:line="288" w:lineRule="auto"/>
            </w:pPr>
            <w:r>
              <w:rPr>
                <w:rFonts w:ascii="Aptos" w:hAnsi="Aptos" w:eastAsia="Microsoft YaHei"/>
                <w:b w:val="0"/>
                <w:color w:val="1F2933"/>
                <w:sz w:val="20"/>
              </w:rPr>
              <w:t>当前排雷尚未完成全部核验。优先补齐证据不足项目的期间、口径与官方原始来源，证据不足不代表低风险。</w:t>
            </w:r>
          </w:p>
        </w:tc>
      </w:tr>
    </w:tbl>
    <w:p>
      <w:pPr>
        <w:spacing w:after="0"/>
      </w:pPr>
    </w:p>
    <w:p>
      <w:pPr>
        <w:pStyle w:val="Heading1"/>
        <w:keepNext w:val="0"/>
        <w:pageBreakBefore/>
        <w:spacing w:before="200" w:after="100"/>
      </w:pPr>
      <w:r>
        <w:rPr>
          <w:rFonts w:ascii="Aptos" w:hAnsi="Aptos" w:eastAsia="Microsoft YaHei"/>
          <w:b/>
          <w:color w:val="103E59"/>
          <w:sz w:val="46"/>
        </w:rPr>
        <w:t>07｜最终排雷结论卡</w:t>
      </w:r>
    </w:p>
    <w:tbl>
      <w:tblPr>
        <w:tblW w:type="dxa" w:w="9835"/>
        <w:jc w:val="center"/>
        <w:tblLayout w:type="fixed"/>
        <w:tblLook w:firstColumn="1" w:firstRow="1" w:lastColumn="0" w:lastRow="0" w:noHBand="0" w:noVBand="1" w:val="04A0"/>
        <w:tblInd w:w="120" w:type="dxa"/>
      </w:tblPr>
      <w:tblGrid>
        <w:gridCol w:w="9835"/>
      </w:tblGrid>
      <w:tr>
        <w:tc>
          <w:tcPr>
            <w:tcW w:type="dxa" w:w="9835"/>
            <w:shd w:fill="FFF1DE"/>
            <w:tcMar>
              <w:top w:w="100" w:type="dxa"/>
              <w:start w:w="120" w:type="dxa"/>
              <w:bottom w:w="100" w:type="dxa"/>
              <w:end w:w="120" w:type="dxa"/>
            </w:tcMar>
            <w:vAlign w:val="center"/>
          </w:tcPr>
          <w:p>
            <w:pPr>
              <w:spacing w:after="40"/>
            </w:pPr>
            <w:r/>
            <w:r>
              <w:rPr>
                <w:rFonts w:ascii="Aptos" w:hAnsi="Aptos" w:eastAsia="Microsoft YaHei"/>
                <w:b/>
                <w:color w:val="B85C00"/>
                <w:sz w:val="23"/>
              </w:rPr>
              <w:t>最终结论：待补证</w:t>
            </w:r>
          </w:p>
          <w:p>
            <w:pPr>
              <w:spacing w:after="0" w:line="288" w:lineRule="auto"/>
            </w:pPr>
            <w:r>
              <w:rPr>
                <w:rFonts w:ascii="Aptos" w:hAnsi="Aptos" w:eastAsia="Microsoft YaHei"/>
                <w:b w:val="0"/>
                <w:color w:val="1F2933"/>
                <w:sz w:val="20"/>
              </w:rPr>
              <w:t>19项硬性检查中命中0项高风险。另有19项证据不足，暂不能整体判定通过。</w:t>
            </w:r>
          </w:p>
        </w:tc>
      </w:tr>
    </w:tbl>
    <w:p>
      <w:pPr>
        <w:spacing w:after="0"/>
      </w:pPr>
    </w:p>
    <w:tbl>
      <w:tblPr>
        <w:tblStyle w:val="TableGrid"/>
        <w:tblW w:type="dxa" w:w="9835"/>
        <w:jc w:val="center"/>
        <w:tblLayout w:type="fixed"/>
        <w:tblLook w:firstColumn="1" w:firstRow="1" w:lastColumn="0" w:lastRow="0" w:noHBand="0" w:noVBand="1" w:val="04A0"/>
        <w:tblInd w:w="120" w:type="dxa"/>
      </w:tblPr>
      <w:tblGrid>
        <w:gridCol w:w="900"/>
        <w:gridCol w:w="2300"/>
        <w:gridCol w:w="1800"/>
        <w:gridCol w:w="4835"/>
      </w:tblGrid>
      <w:tr>
        <w:trPr>
          <w:tblHeader w:val="true"/>
        </w:trPr>
        <w:tc>
          <w:tcPr>
            <w:tcW w:type="dxa" w:w="9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编号</w:t>
            </w:r>
          </w:p>
        </w:tc>
        <w:tc>
          <w:tcPr>
            <w:tcW w:type="dxa" w:w="23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检查项</w:t>
            </w:r>
          </w:p>
        </w:tc>
        <w:tc>
          <w:tcPr>
            <w:tcW w:type="dxa" w:w="1800"/>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结果</w:t>
            </w:r>
          </w:p>
        </w:tc>
        <w:tc>
          <w:tcPr>
            <w:tcW w:type="dxa" w:w="4835"/>
            <w:shd w:fill="103E59"/>
            <w:vAlign w:val="center"/>
            <w:tcMar>
              <w:top w:w="100" w:type="dxa"/>
              <w:start w:w="120" w:type="dxa"/>
              <w:bottom w:w="100" w:type="dxa"/>
              <w:end w:w="120" w:type="dxa"/>
            </w:tcMar>
          </w:tcPr>
          <w:p>
            <w:pPr>
              <w:spacing w:after="0" w:line="269" w:lineRule="auto"/>
              <w:jc w:val="center"/>
            </w:pPr>
            <w:r/>
            <w:r>
              <w:rPr>
                <w:rFonts w:ascii="Aptos" w:hAnsi="Aptos" w:eastAsia="Microsoft YaHei"/>
                <w:b/>
                <w:color w:val="FFFFFF"/>
                <w:sz w:val="18"/>
              </w:rPr>
              <w:t>依据摘要</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H1</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行业需求不可逆萎缩</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仅披露公司自身经营情况，未提供白酒行业整体需求连续下滑、无周期复苏信号及技术替代不可逆的行业数据。报告称“白酒行业正处于宏观经济周期与产业调整周期的双重叠加时期，未来发展虽面临不少挑战与压力，但有利因素强于不利因素，总体发展态势依然向好”，该表述不支持“不可逆萎缩”结论，但也不足以完成行业层核验。</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H2</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行业面临政策致命风险</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提供白酒行业商业模式合法性、核心收入对单一政策容忍度依赖及政策转向导致业务归零的直接证据。公司披露主导产品为“贵州茅台酒”，集国家地理标志产品、有机食品和国家非物质文化遗产于一身，但该等资质描述不能排除政策致命风险，也不能完成核验。</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C1</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财务真实性存疑</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货币资金516.45亿元、总资产2922.58亿元，货币资金/总资产约17.67%，未超过20%；其他应收款0.50亿元、归母净资产2386.47亿元，其他应收款/净资产约0.02%，未超过20%。但候选材料未覆盖有息负债率、利息收支匹配性、关联采购/销售占比是否&gt;30%及定价公允性、最近3年审计意见、近3年累计经营现金流/累计净利润、公司或实控人财务造假及重大信披违规处罚前科等全部子条件，无法完成全部触发条件或必要条件反证。</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C2</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资金链断裂风险</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候选材料显示2025年半年度经营活动产生的现金流量净额为131.19亿元，为正；报告称“是否存在被控股股东及其他关联方非经营性占用资金情况 否”“是否存在违反规定决策程序对外提供担保的情况 否”。但候选材料未覆盖短期有息负债、未受限银行授信、大股东股权质押比例及资金占用/违规担保实锤等全部子条件，无法完成核验。</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C3</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政策一招致命</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提供公司核心业务合法性完全依赖单一政策容忍度、政策转向业务归零，或行业已被明确限制/禁止且政策底部不明的直接证据。公司披露主导产品为“贵州茅台酒”，集国家地理标志产品、有机食品和国家非物质文化遗产于一身，但该等描述不能完成政策致命风险核验。</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C4</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管理层诚信缺陷</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公司负责人张德芹、主管会计工作负责人蒋焰及会计机构负责人蔡聪应声明保证半年度报告中财务报告的真实、准确、完整；报告称“报告期内公司及控股股东、实际控制人诚信状况良好”。但候选材料未覆盖实控人/高管违规前科、刑事犯罪记录、重大失信被执行记录、低价定增、高位减持、忽悠式重组、承诺屡次不兑现及核心管理团队1年内集体离职等全部子条件，无法完成核验。</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C5</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极度高估</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候选材料未提供公司估值分位、市盈率、市净率、历史估值区间及隐含增速等行情或估值数据，无法判断是否处于自身历史90%分位以上，也无法判断隐含增速是否透支两年以上业绩。</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C6</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短期暴涨</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候选材料未提供公司股票近1个月、近3个月、近6个月涨跌幅数据，无法判断是否触发短期暴涨阈值。</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C7</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价值陷阱</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2025年半年度营业总收入910.94亿元、同比增长9.16%，归母净利润454.03亿元、同比增长8.89%，未显示主营业务连续2年营收、归母净利双下滑。但候选材料未覆盖连续2年完整财务数据、行业需求不可逆萎缩、技术/政策颠覆、连续5年分红回购记录及未来12-18个月催化剂等全部子条件，无法完成核验。</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C8</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次新股</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公司股票简况显示股票种类为A股，股票上市交易所为上海证券交易所，股票简称贵州茅台，股票代码600519。公司2001年上市，至2025年半年度报告披露时已上市超过20年，远超2-3年阈值，不构成次新股风险。</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C9</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资本黑洞</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候选材料显示2025年半年度营业总收入同比增长9.16%、归母净利润同比增长8.89%，未显示收入利润多年无增长。但候选材料未覆盖多年收入利润趋势、资本开支/折旧比及自由现金流等全部组合条件，无法完成核验。</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C10</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纯概念蹭风口</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公司主要业务是茅台酒及系列酒的生产与销售，主导产品“贵州茅台酒”为我国大曲酱香型白酒的鼻祖和典型代表，营销网络覆盖国内市场及五大洲64个国家和地区。但候选材料未覆盖热点业务收入占比、公告/互动易蹭概念行为及订单、客户验证、资本开支等落地证据，无法完成核验。</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C11</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流动性与退市风险</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候选材料未显示公司被实施ST/*ST或存在明确退市风险；未提供日均成交额数据；未提供商誉金额、商誉/净资产比例及业绩承诺到期情况。无法完成全部子条件核验。</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Q1</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资产负债率红线</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2025年6月30日总资产292,257,789,095.51元，归母净资产238,646,536,390.48元。以总资产和归母净资产近似计算，资产负债率约18.34%，远低于80%阈值。该反证已足以否定“资产负债率&gt;80%”这一必要条件，无需再要求连续两年趋势。</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Q2</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现金流红线</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候选材料显示2025年半年度经营活动产生的现金流量净额为13,119,061,031.33元，为正；但未提供连续3年经营现金流净额数据，无法判断是否连续3年为负。</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Q3</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利润质量红线</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2025年半年度归母净利润454.03亿元、经营活动现金流量净额131.19亿元，半年度经营现金流/净利润约28.89%，低于50%。但该指标为半年度数据，非近3年累计口径；候选材料未覆盖近3年累计经营现金流净额及累计净利润，无法完成核验。累计净利润未显示≤0，不适用“通过（不适用）”。</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Q4</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商誉暴雷风险</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候选材料未提供商誉金额、商誉/净资产比例及标的公司业绩承诺期到期情况，无法完成核验。</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Q5</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应收账款恶化</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2025年6月30日应收账款37,961,242.39元，2025年半年度营业收入89,389,354,416.84元。应收账款/营业收入约0.04%，远低于40%阈值。该反证已足以否定“应收账款/营收&gt;40%”这一必要条件，无需再要求1年以上账龄占比。</w:t>
            </w:r>
          </w:p>
        </w:tc>
      </w:tr>
      <w:tr>
        <w:trPr>
          <w:cantSplit/>
        </w:trPr>
        <w:tc>
          <w:tcPr>
            <w:tcW w:type="dxa" w:w="900"/>
            <w:shd w:fill="E8F1F5"/>
            <w:vAlign w:val="center"/>
            <w:tcMar>
              <w:top w:w="100" w:type="dxa"/>
              <w:start w:w="120" w:type="dxa"/>
              <w:bottom w:w="100" w:type="dxa"/>
              <w:end w:w="120" w:type="dxa"/>
            </w:tcMar>
          </w:tcPr>
          <w:p>
            <w:pPr>
              <w:spacing w:after="0" w:line="269" w:lineRule="auto"/>
              <w:jc w:val="center"/>
            </w:pPr>
            <w:r/>
            <w:r>
              <w:rPr>
                <w:rFonts w:ascii="Aptos" w:hAnsi="Aptos" w:eastAsia="Microsoft YaHei"/>
                <w:b/>
                <w:color w:val="1B6585"/>
                <w:sz w:val="18"/>
              </w:rPr>
              <w:t>Q6</w:t>
            </w:r>
          </w:p>
        </w:tc>
        <w:tc>
          <w:tcPr>
            <w:tcW w:type="dxa" w:w="2300"/>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大股东减持信号</w:t>
            </w:r>
          </w:p>
        </w:tc>
        <w:tc>
          <w:tcPr>
            <w:tcW w:type="dxa" w:w="1800"/>
            <w:shd w:fill="FFF1DE"/>
            <w:vAlign w:val="center"/>
            <w:tcMar>
              <w:top w:w="100" w:type="dxa"/>
              <w:start w:w="120" w:type="dxa"/>
              <w:bottom w:w="100" w:type="dxa"/>
              <w:end w:w="120" w:type="dxa"/>
            </w:tcMar>
          </w:tcPr>
          <w:p>
            <w:pPr>
              <w:spacing w:after="0" w:line="269" w:lineRule="auto"/>
              <w:jc w:val="center"/>
            </w:pPr>
            <w:r/>
            <w:r>
              <w:rPr>
                <w:rFonts w:ascii="Aptos" w:hAnsi="Aptos" w:eastAsia="Microsoft YaHei"/>
                <w:b/>
                <w:color w:val="B85C00"/>
                <w:sz w:val="18"/>
              </w:rPr>
              <w:t>证据不足</w:t>
            </w:r>
          </w:p>
        </w:tc>
        <w:tc>
          <w:tcPr>
            <w:tcW w:type="dxa" w:w="4835"/>
            <w:vAlign w:val="center"/>
            <w:tcMar>
              <w:top w:w="100" w:type="dxa"/>
              <w:start w:w="120" w:type="dxa"/>
              <w:bottom w:w="100" w:type="dxa"/>
              <w:end w:w="120" w:type="dxa"/>
            </w:tcMar>
          </w:tcPr>
          <w:p>
            <w:pPr>
              <w:spacing w:after="0" w:line="269" w:lineRule="auto"/>
              <w:jc w:val="left"/>
            </w:pPr>
            <w:r/>
            <w:r>
              <w:rPr>
                <w:rFonts w:ascii="Aptos" w:hAnsi="Aptos" w:eastAsia="Microsoft YaHei"/>
                <w:b w:val="0"/>
                <w:color w:val="1F2933"/>
                <w:sz w:val="18"/>
              </w:rPr>
              <w:t>候选材料显示前十名股东中中国贵州茅台酒厂（集团）有限责任公司期末持股679,211,576股，比例54.07%，报告期内增减未列示；香港中央结算有限公司报告期内减少4,645,423股。但候选材料未覆盖近1年大股东/实控人减持是否&gt;总股本5%及估值历史分位，无法完成核验。</w:t>
            </w:r>
          </w:p>
        </w:tc>
      </w:tr>
    </w:tbl>
    <w:p>
      <w:pPr>
        <w:spacing w:after="0"/>
      </w:pPr>
    </w:p>
    <w:p>
      <w:pPr>
        <w:pStyle w:val="Heading1"/>
        <w:keepNext w:val="0"/>
        <w:pageBreakBefore/>
        <w:spacing w:before="200" w:after="100"/>
      </w:pPr>
      <w:r>
        <w:rPr>
          <w:rFonts w:ascii="Aptos" w:hAnsi="Aptos" w:eastAsia="Microsoft YaHei"/>
          <w:b/>
          <w:color w:val="103E59"/>
          <w:sz w:val="46"/>
        </w:rPr>
        <w:t>08｜来源、公式与限制</w:t>
      </w:r>
    </w:p>
    <w:p>
      <w:pPr>
        <w:pStyle w:val="Heading2"/>
        <w:keepNext/>
        <w:pageBreakBefore w:val="0"/>
        <w:spacing w:before="140" w:after="100"/>
      </w:pPr>
      <w:r>
        <w:rPr>
          <w:rFonts w:ascii="Aptos" w:hAnsi="Aptos" w:eastAsia="Microsoft YaHei"/>
          <w:b/>
          <w:color w:val="103E59"/>
          <w:sz w:val="30"/>
        </w:rPr>
        <w:t>主要来源</w:t>
      </w:r>
    </w:p>
    <w:p>
      <w:pPr>
        <w:spacing w:after="80"/>
      </w:pPr>
      <w:r>
        <w:rPr>
          <w:rFonts w:ascii="Aptos" w:hAnsi="Aptos" w:eastAsia="Microsoft YaHei"/>
          <w:b/>
          <w:color w:val="103E59"/>
          <w:sz w:val="20"/>
        </w:rPr>
        <w:t xml:space="preserve">[S1] </w:t>
      </w:r>
      <w:hyperlink r:id="rId11">
        <w:r>
          <w:rPr>
            <w:rFonts w:ascii="Aptos" w:hAnsi="Aptos" w:eastAsia="Microsoft YaHei"/>
            <w:color w:val="1B6585"/>
            <w:u w:val="single"/>
            <w:sz w:val="20"/>
          </w:rPr>
          <w:t>贵州茅台2025年半年度报告</w:t>
        </w:r>
      </w:hyperlink>
      <w:r>
        <w:rPr>
          <w:rFonts w:ascii="Aptos" w:hAnsi="Aptos" w:eastAsia="Microsoft YaHei"/>
          <w:b w:val="0"/>
          <w:color w:val="667085"/>
          <w:sz w:val="19"/>
        </w:rPr>
        <w:t>（发布/报告期：2026-10-15；用于：本期定期报告全文）</w:t>
      </w:r>
    </w:p>
    <w:p>
      <w:pPr>
        <w:pStyle w:val="Heading2"/>
        <w:keepNext/>
        <w:pageBreakBefore w:val="0"/>
        <w:spacing w:before="140" w:after="100"/>
      </w:pPr>
      <w:r>
        <w:rPr>
          <w:rFonts w:ascii="Aptos" w:hAnsi="Aptos" w:eastAsia="Microsoft YaHei"/>
          <w:b/>
          <w:color w:val="103E59"/>
          <w:sz w:val="30"/>
        </w:rPr>
        <w:t>限制与免责声明</w:t>
      </w:r>
    </w:p>
    <w:p>
      <w:pPr>
        <w:pStyle w:val="ListBullet"/>
        <w:spacing w:after="60" w:line="288" w:lineRule="auto"/>
      </w:pPr>
      <w:r>
        <w:rPr>
          <w:rFonts w:ascii="Aptos" w:hAnsi="Aptos" w:eastAsia="Microsoft YaHei"/>
          <w:b w:val="0"/>
          <w:color w:val="1F2933"/>
          <w:sz w:val="20"/>
        </w:rPr>
        <w:t>批量排雷依据本期定期报告候选页，不等于人工逐项联网核验。</w:t>
      </w:r>
    </w:p>
    <w:p>
      <w:pPr>
        <w:pStyle w:val="ListBullet"/>
        <w:spacing w:after="60" w:line="288" w:lineRule="auto"/>
      </w:pPr>
      <w:r>
        <w:rPr>
          <w:rFonts w:ascii="Aptos" w:hAnsi="Aptos" w:eastAsia="Microsoft YaHei"/>
          <w:b w:val="0"/>
          <w:color w:val="1F2933"/>
          <w:sz w:val="20"/>
        </w:rPr>
        <w:t>估值分位、涨跌幅、质押、减持、日均成交若材料未出现，不因此判高风险。</w:t>
      </w:r>
    </w:p>
    <w:p>
      <w:pPr>
        <w:pStyle w:val="ListBullet"/>
        <w:spacing w:after="60" w:line="288" w:lineRule="auto"/>
      </w:pPr>
      <w:r>
        <w:rPr>
          <w:rFonts w:ascii="Aptos" w:hAnsi="Aptos" w:eastAsia="Microsoft YaHei"/>
          <w:b w:val="0"/>
          <w:color w:val="1F2933"/>
          <w:sz w:val="20"/>
        </w:rPr>
        <w:t>排雷通过只表示未发现框架定义的致命风险，不构成投资建议。</w:t>
      </w:r>
    </w:p>
    <w:p>
      <w:pPr>
        <w:pStyle w:val="ListBullet"/>
        <w:spacing w:after="60" w:line="288" w:lineRule="auto"/>
      </w:pPr>
      <w:r>
        <w:rPr>
          <w:rFonts w:ascii="Aptos" w:hAnsi="Aptos" w:eastAsia="Microsoft YaHei"/>
          <w:b w:val="0"/>
          <w:color w:val="1F2933"/>
          <w:sz w:val="20"/>
        </w:rPr>
        <w:t>本报告用于研究立项前快速排雷，不构成证券投资建议、估值结论或买卖依据。</w:t>
      </w:r>
    </w:p>
    <w:p>
      <w:pPr>
        <w:spacing w:before="280"/>
        <w:jc w:val="center"/>
      </w:pPr>
      <w:r>
        <w:rPr>
          <w:rFonts w:ascii="Aptos" w:hAnsi="Aptos" w:eastAsia="Microsoft YaHei"/>
          <w:b/>
          <w:color w:val="147A4B"/>
          <w:sz w:val="24"/>
        </w:rPr>
        <w:t>END｜严格框架结论：待补证</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Microsoft YaHei"/>
        <w:b w:val="0"/>
        <w:color w:val="667085"/>
        <w:sz w:val="16"/>
      </w:rPr>
      <w:t xml:space="preserve">仅供研究立项筛选 | 数据截止 2026-10-15（以本期定期报告及已提取财务数据为准）    </w:t>
    </w:r>
    <w:r>
      <w:rPr>
        <w:rFonts w:ascii="Aptos" w:hAnsi="Aptos" w:eastAsia="Microsoft YaHei"/>
        <w:b w:val="0"/>
        <w:color w:val="66708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b/>
        <w:color w:val="667085"/>
        <w:sz w:val="17"/>
      </w:rPr>
      <w:t>600519.SH | 致命风险排雷 | 2026-10-15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atic.cninfo.com.cn/finalpage/2025-08-13/122446293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贵州茅台致命风险排雷报告</dc:title>
  <dc:subject>V3.0 精简版开题前快速过滤</dc:subject>
  <dc:creator>Jason</dc:creator>
  <cp:keywords/>
  <dc:description>generated by python-docx</dc:description>
  <cp:lastModifiedBy/>
  <cp:revision>1</cp:revision>
  <dcterms:created xsi:type="dcterms:W3CDTF">2013-12-23T23:15:00Z</dcterms:created>
  <dcterms:modified xsi:type="dcterms:W3CDTF">2013-12-23T23:15:00Z</dcterms:modified>
  <cp:category/>
</cp:coreProperties>
</file>