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1"/>
        </w:numPr>
        <w:jc w:val="left"/>
      </w:pPr>
      <w:r>
        <w:rPr>
          <w:rFonts w:hint="eastAsia"/>
          <w:lang w:val="en-US" w:eastAsia="zh-CN"/>
        </w:rPr>
        <w:t>项目管理、</w:t>
      </w:r>
      <w:r>
        <w:rPr>
          <w:rFonts w:hint="eastAsia"/>
        </w:rPr>
        <w:t>项目集、项目组合的区别。</w:t>
      </w:r>
    </w:p>
    <w:tbl>
      <w:tblPr>
        <w:tblW w:w="97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64"/>
        <w:gridCol w:w="963"/>
        <w:gridCol w:w="2131"/>
        <w:gridCol w:w="1034"/>
        <w:gridCol w:w="1162"/>
        <w:gridCol w:w="1321"/>
        <w:gridCol w:w="1161"/>
        <w:gridCol w:w="16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0" w:hRule="atLeast"/>
        </w:trPr>
        <w:tc>
          <w:tcPr>
            <w:tcW w:w="364" w:type="dxa"/>
            <w:tcBorders>
              <w:top w:val="single" w:color="000000" w:sz="4" w:space="0"/>
              <w:left w:val="single" w:color="000000" w:sz="4" w:space="0"/>
              <w:bottom w:val="single" w:color="000000" w:sz="4" w:space="0"/>
              <w:right w:val="single" w:color="000000" w:sz="4" w:space="0"/>
            </w:tcBorders>
            <w:shd w:val="clear" w:color="auto" w:fill="C4BD97"/>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序号</w:t>
            </w:r>
          </w:p>
        </w:tc>
        <w:tc>
          <w:tcPr>
            <w:tcW w:w="963" w:type="dxa"/>
            <w:tcBorders>
              <w:top w:val="single" w:color="000000" w:sz="4" w:space="0"/>
              <w:left w:val="single" w:color="000000" w:sz="4" w:space="0"/>
              <w:bottom w:val="single" w:color="000000" w:sz="4" w:space="0"/>
              <w:right w:val="single" w:color="000000" w:sz="4" w:space="0"/>
            </w:tcBorders>
            <w:shd w:val="clear" w:color="auto" w:fill="C4BD97"/>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名称</w:t>
            </w:r>
          </w:p>
        </w:tc>
        <w:tc>
          <w:tcPr>
            <w:tcW w:w="2131" w:type="dxa"/>
            <w:tcBorders>
              <w:top w:val="single" w:color="000000" w:sz="4" w:space="0"/>
              <w:left w:val="single" w:color="000000" w:sz="4" w:space="0"/>
              <w:bottom w:val="single" w:color="000000" w:sz="4" w:space="0"/>
              <w:right w:val="single" w:color="000000" w:sz="4" w:space="0"/>
            </w:tcBorders>
            <w:shd w:val="clear" w:color="auto" w:fill="C4BD97"/>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管理</w:t>
            </w:r>
          </w:p>
        </w:tc>
        <w:tc>
          <w:tcPr>
            <w:tcW w:w="1034" w:type="dxa"/>
            <w:tcBorders>
              <w:top w:val="single" w:color="000000" w:sz="4" w:space="0"/>
              <w:left w:val="single" w:color="000000" w:sz="4" w:space="0"/>
              <w:bottom w:val="single" w:color="000000" w:sz="4" w:space="0"/>
              <w:right w:val="single" w:color="000000" w:sz="4" w:space="0"/>
            </w:tcBorders>
            <w:shd w:val="clear" w:color="auto" w:fill="C4BD97"/>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共同特点</w:t>
            </w:r>
          </w:p>
        </w:tc>
        <w:tc>
          <w:tcPr>
            <w:tcW w:w="1162" w:type="dxa"/>
            <w:tcBorders>
              <w:top w:val="single" w:color="000000" w:sz="4" w:space="0"/>
              <w:left w:val="single" w:color="000000" w:sz="4" w:space="0"/>
              <w:bottom w:val="single" w:color="000000" w:sz="4" w:space="0"/>
              <w:right w:val="single" w:color="000000" w:sz="4" w:space="0"/>
            </w:tcBorders>
            <w:shd w:val="clear" w:color="auto" w:fill="C4BD97"/>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实现方法</w:t>
            </w:r>
          </w:p>
        </w:tc>
        <w:tc>
          <w:tcPr>
            <w:tcW w:w="1321" w:type="dxa"/>
            <w:tcBorders>
              <w:top w:val="single" w:color="000000" w:sz="4" w:space="0"/>
              <w:left w:val="single" w:color="000000" w:sz="4" w:space="0"/>
              <w:bottom w:val="single" w:color="000000" w:sz="4" w:space="0"/>
              <w:right w:val="single" w:color="000000" w:sz="4" w:space="0"/>
            </w:tcBorders>
            <w:shd w:val="clear" w:color="auto" w:fill="C4BD97"/>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主要区别</w:t>
            </w:r>
          </w:p>
        </w:tc>
        <w:tc>
          <w:tcPr>
            <w:tcW w:w="1161" w:type="dxa"/>
            <w:tcBorders>
              <w:top w:val="single" w:color="000000" w:sz="4" w:space="0"/>
              <w:left w:val="single" w:color="000000" w:sz="4" w:space="0"/>
              <w:bottom w:val="single" w:color="000000" w:sz="4" w:space="0"/>
              <w:right w:val="single" w:color="000000" w:sz="4" w:space="0"/>
            </w:tcBorders>
            <w:shd w:val="clear" w:color="auto" w:fill="C4BD97"/>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专有特点</w:t>
            </w:r>
          </w:p>
        </w:tc>
        <w:tc>
          <w:tcPr>
            <w:tcW w:w="1639" w:type="dxa"/>
            <w:tcBorders>
              <w:top w:val="single" w:color="000000" w:sz="4" w:space="0"/>
              <w:left w:val="single" w:color="000000" w:sz="4" w:space="0"/>
              <w:bottom w:val="single" w:color="000000" w:sz="4" w:space="0"/>
              <w:right w:val="single" w:color="000000" w:sz="4" w:space="0"/>
            </w:tcBorders>
            <w:shd w:val="clear" w:color="auto" w:fill="C4BD97"/>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应用的时机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320" w:hRule="atLeast"/>
        </w:trPr>
        <w:tc>
          <w:tcPr>
            <w:tcW w:w="36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96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项目组合管理</w:t>
            </w:r>
          </w:p>
        </w:tc>
        <w:tc>
          <w:tcPr>
            <w:tcW w:w="213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Style w:val="13"/>
                <w:lang w:val="en-US" w:eastAsia="zh-CN" w:bidi="ar"/>
              </w:rPr>
              <w:t>是为了实现战略目标而对一个或多个项目组合进</w:t>
            </w:r>
            <w:r>
              <w:rPr>
                <w:rStyle w:val="14"/>
                <w:lang w:val="en-US" w:eastAsia="zh-CN" w:bidi="ar"/>
              </w:rPr>
              <w:t>行集中管理</w:t>
            </w:r>
            <w:r>
              <w:rPr>
                <w:rStyle w:val="13"/>
                <w:lang w:val="en-US" w:eastAsia="zh-CN" w:bidi="ar"/>
              </w:rPr>
              <w:t>。</w:t>
            </w:r>
          </w:p>
        </w:tc>
        <w:tc>
          <w:tcPr>
            <w:tcW w:w="1034"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服务与战略目标的实现</w:t>
            </w:r>
          </w:p>
        </w:tc>
        <w:tc>
          <w:tcPr>
            <w:tcW w:w="116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对工作优先排序</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提供所需资源</w:t>
            </w:r>
          </w:p>
        </w:tc>
        <w:tc>
          <w:tcPr>
            <w:tcW w:w="132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将相互没有依赖或关系的项目组合在一起</w:t>
            </w:r>
          </w:p>
        </w:tc>
        <w:tc>
          <w:tcPr>
            <w:tcW w:w="116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方便实现战略目标</w:t>
            </w:r>
          </w:p>
        </w:tc>
        <w:tc>
          <w:tcPr>
            <w:tcW w:w="163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1.为了确定多个项目或项目集能与组织战略协调一致。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735" w:hRule="atLeast"/>
        </w:trPr>
        <w:tc>
          <w:tcPr>
            <w:tcW w:w="364"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963"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项目集管理</w:t>
            </w:r>
          </w:p>
        </w:tc>
        <w:tc>
          <w:tcPr>
            <w:tcW w:w="2131"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Style w:val="13"/>
                <w:lang w:val="en-US" w:eastAsia="zh-CN" w:bidi="ar"/>
              </w:rPr>
              <w:t>在项目集中应用知识、技能、工具与技术来满足项目集的要求，获得分别管理无法实现的</w:t>
            </w:r>
            <w:r>
              <w:rPr>
                <w:rStyle w:val="14"/>
                <w:lang w:val="en-US" w:eastAsia="zh-CN" w:bidi="ar"/>
              </w:rPr>
              <w:t>利益和控制</w:t>
            </w:r>
            <w:r>
              <w:rPr>
                <w:rStyle w:val="13"/>
                <w:lang w:val="en-US" w:eastAsia="zh-CN" w:bidi="ar"/>
              </w:rPr>
              <w:t>。</w:t>
            </w:r>
          </w:p>
        </w:tc>
        <w:tc>
          <w:tcPr>
            <w:tcW w:w="1034"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1162"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组成部分进行协调</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控制相互依赖关系</w:t>
            </w:r>
          </w:p>
        </w:tc>
        <w:tc>
          <w:tcPr>
            <w:tcW w:w="1321"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将相互关联的项目和子项目集组合在一起</w:t>
            </w:r>
          </w:p>
        </w:tc>
        <w:tc>
          <w:tcPr>
            <w:tcW w:w="1161"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实现利益最大化</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产生共同的结果</w:t>
            </w:r>
          </w:p>
        </w:tc>
        <w:tc>
          <w:tcPr>
            <w:tcW w:w="163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1.解决资源制约或冲突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15" w:hRule="atLeast"/>
        </w:trPr>
        <w:tc>
          <w:tcPr>
            <w:tcW w:w="364"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963"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213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left"/>
              <w:rPr>
                <w:rFonts w:hint="eastAsia" w:ascii="宋体" w:hAnsi="宋体" w:eastAsia="宋体" w:cs="宋体"/>
                <w:i w:val="0"/>
                <w:color w:val="000000"/>
                <w:sz w:val="22"/>
                <w:szCs w:val="22"/>
                <w:u w:val="none"/>
              </w:rPr>
            </w:pPr>
          </w:p>
        </w:tc>
        <w:tc>
          <w:tcPr>
            <w:tcW w:w="1034"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1162"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132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116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left"/>
              <w:rPr>
                <w:rFonts w:hint="eastAsia" w:ascii="宋体" w:hAnsi="宋体" w:eastAsia="宋体" w:cs="宋体"/>
                <w:i w:val="0"/>
                <w:color w:val="000000"/>
                <w:sz w:val="22"/>
                <w:szCs w:val="22"/>
                <w:u w:val="none"/>
              </w:rPr>
            </w:pPr>
          </w:p>
        </w:tc>
        <w:tc>
          <w:tcPr>
            <w:tcW w:w="163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2.调整对项目和项目集的目标有影响的组织或战略方向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25" w:hRule="atLeast"/>
        </w:trPr>
        <w:tc>
          <w:tcPr>
            <w:tcW w:w="364"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963"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213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left"/>
              <w:rPr>
                <w:rFonts w:hint="eastAsia" w:ascii="宋体" w:hAnsi="宋体" w:eastAsia="宋体" w:cs="宋体"/>
                <w:i w:val="0"/>
                <w:color w:val="000000"/>
                <w:sz w:val="22"/>
                <w:szCs w:val="22"/>
                <w:u w:val="none"/>
              </w:rPr>
            </w:pPr>
          </w:p>
        </w:tc>
        <w:tc>
          <w:tcPr>
            <w:tcW w:w="1034"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1162"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132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116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left"/>
              <w:rPr>
                <w:rFonts w:hint="eastAsia" w:ascii="宋体" w:hAnsi="宋体" w:eastAsia="宋体" w:cs="宋体"/>
                <w:i w:val="0"/>
                <w:color w:val="000000"/>
                <w:sz w:val="22"/>
                <w:szCs w:val="22"/>
                <w:u w:val="none"/>
              </w:rPr>
            </w:pPr>
          </w:p>
        </w:tc>
        <w:tc>
          <w:tcPr>
            <w:tcW w:w="163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3.处理同一个治理结构内的相关问题和变更管理。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0" w:hRule="atLeast"/>
        </w:trPr>
        <w:tc>
          <w:tcPr>
            <w:tcW w:w="364"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963"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项目管理</w:t>
            </w:r>
          </w:p>
        </w:tc>
        <w:tc>
          <w:tcPr>
            <w:tcW w:w="2131"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Style w:val="13"/>
                <w:lang w:val="en-US" w:eastAsia="zh-CN" w:bidi="ar"/>
              </w:rPr>
              <w:t>将知识、技能、工具与技术应用于项目活动，以满足</w:t>
            </w:r>
            <w:r>
              <w:rPr>
                <w:rStyle w:val="14"/>
                <w:lang w:val="en-US" w:eastAsia="zh-CN" w:bidi="ar"/>
              </w:rPr>
              <w:t>项目的要求</w:t>
            </w:r>
            <w:r>
              <w:rPr>
                <w:rStyle w:val="13"/>
                <w:lang w:val="en-US" w:eastAsia="zh-CN" w:bidi="ar"/>
              </w:rPr>
              <w:t>。</w:t>
            </w:r>
          </w:p>
        </w:tc>
        <w:tc>
          <w:tcPr>
            <w:tcW w:w="1034"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1162"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通过制定实施计划</w:t>
            </w:r>
          </w:p>
        </w:tc>
        <w:tc>
          <w:tcPr>
            <w:tcW w:w="1321"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项目是单独存储在的</w:t>
            </w:r>
          </w:p>
        </w:tc>
        <w:tc>
          <w:tcPr>
            <w:tcW w:w="1161"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服务与战略目标</w:t>
            </w:r>
          </w:p>
        </w:tc>
        <w:tc>
          <w:tcPr>
            <w:tcW w:w="163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1.市场需求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364"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963"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213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left"/>
              <w:rPr>
                <w:rFonts w:hint="eastAsia" w:ascii="宋体" w:hAnsi="宋体" w:eastAsia="宋体" w:cs="宋体"/>
                <w:i w:val="0"/>
                <w:color w:val="000000"/>
                <w:sz w:val="22"/>
                <w:szCs w:val="22"/>
                <w:u w:val="none"/>
              </w:rPr>
            </w:pPr>
          </w:p>
        </w:tc>
        <w:tc>
          <w:tcPr>
            <w:tcW w:w="1034"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1162"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132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116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163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2.战备机会/业务需求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0" w:hRule="atLeast"/>
        </w:trPr>
        <w:tc>
          <w:tcPr>
            <w:tcW w:w="364"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963"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213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left"/>
              <w:rPr>
                <w:rFonts w:hint="eastAsia" w:ascii="宋体" w:hAnsi="宋体" w:eastAsia="宋体" w:cs="宋体"/>
                <w:i w:val="0"/>
                <w:color w:val="000000"/>
                <w:sz w:val="22"/>
                <w:szCs w:val="22"/>
                <w:u w:val="none"/>
              </w:rPr>
            </w:pPr>
          </w:p>
        </w:tc>
        <w:tc>
          <w:tcPr>
            <w:tcW w:w="1034"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1162"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132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116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163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3.社会需求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0" w:hRule="atLeast"/>
        </w:trPr>
        <w:tc>
          <w:tcPr>
            <w:tcW w:w="364"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963"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213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left"/>
              <w:rPr>
                <w:rFonts w:hint="eastAsia" w:ascii="宋体" w:hAnsi="宋体" w:eastAsia="宋体" w:cs="宋体"/>
                <w:i w:val="0"/>
                <w:color w:val="000000"/>
                <w:sz w:val="22"/>
                <w:szCs w:val="22"/>
                <w:u w:val="none"/>
              </w:rPr>
            </w:pPr>
          </w:p>
        </w:tc>
        <w:tc>
          <w:tcPr>
            <w:tcW w:w="1034"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1162"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132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116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163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4.环境考虑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364"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963"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213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left"/>
              <w:rPr>
                <w:rFonts w:hint="eastAsia" w:ascii="宋体" w:hAnsi="宋体" w:eastAsia="宋体" w:cs="宋体"/>
                <w:i w:val="0"/>
                <w:color w:val="000000"/>
                <w:sz w:val="22"/>
                <w:szCs w:val="22"/>
                <w:u w:val="none"/>
              </w:rPr>
            </w:pPr>
          </w:p>
        </w:tc>
        <w:tc>
          <w:tcPr>
            <w:tcW w:w="1034"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1162"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132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116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163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5.客户需求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0" w:hRule="atLeast"/>
        </w:trPr>
        <w:tc>
          <w:tcPr>
            <w:tcW w:w="364"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963"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213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left"/>
              <w:rPr>
                <w:rFonts w:hint="eastAsia" w:ascii="宋体" w:hAnsi="宋体" w:eastAsia="宋体" w:cs="宋体"/>
                <w:i w:val="0"/>
                <w:color w:val="000000"/>
                <w:sz w:val="22"/>
                <w:szCs w:val="22"/>
                <w:u w:val="none"/>
              </w:rPr>
            </w:pPr>
          </w:p>
        </w:tc>
        <w:tc>
          <w:tcPr>
            <w:tcW w:w="1034"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1162"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132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116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163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6.技术进步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0" w:hRule="atLeast"/>
        </w:trPr>
        <w:tc>
          <w:tcPr>
            <w:tcW w:w="364"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963"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213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left"/>
              <w:rPr>
                <w:rFonts w:hint="eastAsia" w:ascii="宋体" w:hAnsi="宋体" w:eastAsia="宋体" w:cs="宋体"/>
                <w:i w:val="0"/>
                <w:color w:val="000000"/>
                <w:sz w:val="22"/>
                <w:szCs w:val="22"/>
                <w:u w:val="none"/>
              </w:rPr>
            </w:pPr>
          </w:p>
        </w:tc>
        <w:tc>
          <w:tcPr>
            <w:tcW w:w="1034"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1162"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132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1161"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163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7.法律要求</w:t>
            </w:r>
          </w:p>
        </w:tc>
      </w:tr>
    </w:tbl>
    <w:p/>
    <w:p>
      <w:pPr>
        <w:pStyle w:val="5"/>
        <w:numPr>
          <w:ilvl w:val="0"/>
          <w:numId w:val="1"/>
        </w:numPr>
        <w:jc w:val="left"/>
      </w:pPr>
      <w:r>
        <w:rPr>
          <w:rFonts w:hint="eastAsia"/>
        </w:rPr>
        <w:t>PMO、PBO、OPM的区别</w:t>
      </w:r>
    </w:p>
    <w:p>
      <w:pPr>
        <w:spacing w:line="360" w:lineRule="auto"/>
        <w:ind w:firstLine="420"/>
        <w:rPr>
          <w:rFonts w:ascii="宋体" w:hAnsi="宋体" w:eastAsia="宋体"/>
          <w:sz w:val="24"/>
          <w:szCs w:val="24"/>
        </w:rPr>
      </w:pPr>
      <w:r>
        <w:rPr>
          <w:rFonts w:hint="eastAsia" w:ascii="宋体" w:hAnsi="宋体" w:eastAsia="宋体"/>
          <w:sz w:val="24"/>
          <w:szCs w:val="24"/>
        </w:rPr>
        <w:t>项目管理办公室（</w:t>
      </w:r>
      <w:r>
        <w:rPr>
          <w:rFonts w:ascii="宋体" w:hAnsi="宋体" w:eastAsia="宋体"/>
          <w:sz w:val="24"/>
          <w:szCs w:val="24"/>
        </w:rPr>
        <w:t>Project Management Office，PMO）是对与项目相</w:t>
      </w:r>
      <w:r>
        <w:rPr>
          <w:rFonts w:hint="eastAsia" w:ascii="宋体" w:hAnsi="宋体" w:eastAsia="宋体"/>
          <w:sz w:val="24"/>
          <w:szCs w:val="24"/>
        </w:rPr>
        <w:t>关的治理过程进行标准化，并促进资源、方法论、工具和技术共享的一个</w:t>
      </w:r>
      <w:r>
        <w:rPr>
          <w:rFonts w:hint="eastAsia" w:ascii="宋体" w:hAnsi="宋体" w:eastAsia="宋体"/>
          <w:b/>
          <w:sz w:val="24"/>
          <w:szCs w:val="24"/>
        </w:rPr>
        <w:t>组织部门</w:t>
      </w:r>
      <w:r>
        <w:rPr>
          <w:rFonts w:hint="eastAsia" w:ascii="宋体" w:hAnsi="宋体" w:eastAsia="宋体"/>
          <w:sz w:val="24"/>
          <w:szCs w:val="24"/>
        </w:rPr>
        <w:t>。有以下几种类型：</w:t>
      </w:r>
    </w:p>
    <w:p>
      <w:pPr>
        <w:spacing w:line="360" w:lineRule="auto"/>
        <w:ind w:firstLine="42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 xml:space="preserve"> 支持型。项目资源库，对项目的控制程度很低，无权下要求</w:t>
      </w:r>
    </w:p>
    <w:p>
      <w:pPr>
        <w:spacing w:line="360" w:lineRule="auto"/>
        <w:ind w:firstLine="42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 xml:space="preserve"> 控制型。对项目有一定控制的权力，如提供必需使用的模板</w:t>
      </w:r>
    </w:p>
    <w:p>
      <w:pPr>
        <w:spacing w:line="360" w:lineRule="auto"/>
        <w:ind w:firstLine="42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 xml:space="preserve"> 指令型。直接管控项目。这种PMO拥有很高权力。</w:t>
      </w:r>
    </w:p>
    <w:p>
      <w:pPr>
        <w:spacing w:line="360" w:lineRule="auto"/>
        <w:ind w:firstLine="420"/>
        <w:rPr>
          <w:rFonts w:ascii="宋体" w:hAnsi="宋体" w:eastAsia="宋体"/>
          <w:sz w:val="24"/>
          <w:szCs w:val="24"/>
        </w:rPr>
      </w:pPr>
      <w:r>
        <w:rPr>
          <w:rFonts w:hint="eastAsia" w:ascii="宋体" w:hAnsi="宋体" w:eastAsia="宋体"/>
          <w:sz w:val="24"/>
          <w:szCs w:val="24"/>
        </w:rPr>
        <w:t>基于项目的组织（</w:t>
      </w:r>
      <w:r>
        <w:rPr>
          <w:rFonts w:ascii="宋体" w:hAnsi="宋体" w:eastAsia="宋体"/>
          <w:sz w:val="24"/>
          <w:szCs w:val="24"/>
        </w:rPr>
        <w:t>Project-based Organizations，PBO）是指建立临时机构来开展工作的各种</w:t>
      </w:r>
      <w:r>
        <w:rPr>
          <w:rFonts w:ascii="宋体" w:hAnsi="宋体" w:eastAsia="宋体"/>
          <w:b/>
          <w:sz w:val="24"/>
          <w:szCs w:val="24"/>
        </w:rPr>
        <w:t>组织形式</w:t>
      </w:r>
      <w:r>
        <w:rPr>
          <w:rFonts w:hint="eastAsia" w:ascii="宋体" w:hAnsi="宋体" w:eastAsia="宋体"/>
          <w:sz w:val="24"/>
          <w:szCs w:val="24"/>
        </w:rPr>
        <w:t>。</w:t>
      </w:r>
    </w:p>
    <w:p>
      <w:pPr>
        <w:spacing w:line="360" w:lineRule="auto"/>
        <w:ind w:firstLine="420"/>
        <w:rPr>
          <w:rFonts w:ascii="宋体" w:hAnsi="宋体" w:eastAsia="宋体"/>
          <w:sz w:val="24"/>
          <w:szCs w:val="24"/>
        </w:rPr>
      </w:pPr>
      <w:r>
        <w:rPr>
          <w:rFonts w:hint="eastAsia" w:ascii="宋体" w:hAnsi="宋体" w:eastAsia="宋体"/>
          <w:sz w:val="24"/>
          <w:szCs w:val="24"/>
        </w:rPr>
        <w:t>组织级项目管理（</w:t>
      </w:r>
      <w:r>
        <w:rPr>
          <w:rFonts w:ascii="宋体" w:hAnsi="宋体" w:eastAsia="宋体"/>
          <w:sz w:val="24"/>
          <w:szCs w:val="24"/>
        </w:rPr>
        <w:t>Organizational Project Management，OPM），是一种</w:t>
      </w:r>
      <w:r>
        <w:rPr>
          <w:rFonts w:ascii="宋体" w:hAnsi="宋体" w:eastAsia="宋体"/>
          <w:b/>
          <w:sz w:val="24"/>
          <w:szCs w:val="24"/>
        </w:rPr>
        <w:t>战略执行框架</w:t>
      </w:r>
      <w:r>
        <w:rPr>
          <w:rFonts w:hint="eastAsia" w:ascii="宋体" w:hAnsi="宋体" w:eastAsia="宋体"/>
          <w:sz w:val="24"/>
          <w:szCs w:val="24"/>
        </w:rPr>
        <w:t>。</w:t>
      </w:r>
    </w:p>
    <w:p>
      <w:pPr>
        <w:pStyle w:val="5"/>
        <w:numPr>
          <w:ilvl w:val="0"/>
          <w:numId w:val="1"/>
        </w:numPr>
        <w:jc w:val="left"/>
      </w:pPr>
      <w:r>
        <w:rPr>
          <w:rFonts w:hint="eastAsia"/>
        </w:rPr>
        <w:t>马斯洛需求理论等几种理论</w:t>
      </w:r>
    </w:p>
    <w:tbl>
      <w:tblPr>
        <w:tblW w:w="10034" w:type="dxa"/>
        <w:tblCellSpacing w:w="0" w:type="dxa"/>
        <w:tblInd w:w="10" w:type="dxa"/>
        <w:shd w:val="clear"/>
        <w:tblLayout w:type="fixed"/>
        <w:tblCellMar>
          <w:top w:w="0" w:type="dxa"/>
          <w:left w:w="0" w:type="dxa"/>
          <w:bottom w:w="0" w:type="dxa"/>
          <w:right w:w="0" w:type="dxa"/>
        </w:tblCellMar>
      </w:tblPr>
      <w:tblGrid>
        <w:gridCol w:w="1867"/>
        <w:gridCol w:w="1638"/>
        <w:gridCol w:w="6529"/>
      </w:tblGrid>
      <w:tr>
        <w:tblPrEx>
          <w:shd w:val="clear"/>
          <w:tblLayout w:type="fixed"/>
          <w:tblCellMar>
            <w:top w:w="0" w:type="dxa"/>
            <w:left w:w="0" w:type="dxa"/>
            <w:bottom w:w="0" w:type="dxa"/>
            <w:right w:w="0" w:type="dxa"/>
          </w:tblCellMar>
        </w:tblPrEx>
        <w:trPr>
          <w:trHeight w:val="520" w:hRule="atLeast"/>
          <w:tblCellSpacing w:w="0" w:type="dxa"/>
        </w:trPr>
        <w:tc>
          <w:tcPr>
            <w:tcW w:w="1867" w:type="dxa"/>
            <w:tcBorders>
              <w:top w:val="single" w:color="FFFFFF" w:sz="4" w:space="0"/>
              <w:left w:val="single" w:color="FFFFFF" w:sz="4" w:space="0"/>
              <w:bottom w:val="single" w:color="FFFFFF" w:sz="12" w:space="0"/>
              <w:right w:val="single" w:color="FFFFFF" w:sz="4" w:space="0"/>
            </w:tcBorders>
            <w:shd w:val="clear" w:color="auto" w:fill="72C7E7"/>
            <w:tcMar>
              <w:top w:w="72" w:type="dxa"/>
              <w:left w:w="144" w:type="dxa"/>
              <w:bottom w:w="72" w:type="dxa"/>
              <w:right w:w="144" w:type="dxa"/>
            </w:tcMar>
            <w:vAlign w:val="top"/>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pPr>
            <w:r>
              <w:rPr>
                <w:b/>
                <w:color w:val="FFFFFF"/>
                <w:sz w:val="30"/>
                <w:szCs w:val="30"/>
                <w:bdr w:val="none" w:color="auto" w:sz="0" w:space="0"/>
              </w:rPr>
              <w:t>提出人</w:t>
            </w:r>
          </w:p>
        </w:tc>
        <w:tc>
          <w:tcPr>
            <w:tcW w:w="1638" w:type="dxa"/>
            <w:tcBorders>
              <w:top w:val="single" w:color="FFFFFF" w:sz="4" w:space="0"/>
              <w:left w:val="single" w:color="FFFFFF" w:sz="4" w:space="0"/>
              <w:bottom w:val="single" w:color="FFFFFF" w:sz="12" w:space="0"/>
              <w:right w:val="single" w:color="FFFFFF" w:sz="4" w:space="0"/>
            </w:tcBorders>
            <w:shd w:val="clear" w:color="auto" w:fill="72C7E7"/>
            <w:tcMar>
              <w:top w:w="72" w:type="dxa"/>
              <w:left w:w="144" w:type="dxa"/>
              <w:bottom w:w="72" w:type="dxa"/>
              <w:right w:w="144" w:type="dxa"/>
            </w:tcMar>
            <w:vAlign w:val="top"/>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pPr>
            <w:r>
              <w:rPr>
                <w:b/>
                <w:color w:val="FFFFFF"/>
                <w:sz w:val="30"/>
                <w:szCs w:val="30"/>
                <w:bdr w:val="none" w:color="auto" w:sz="0" w:space="0"/>
              </w:rPr>
              <w:t>理论名称</w:t>
            </w:r>
          </w:p>
        </w:tc>
        <w:tc>
          <w:tcPr>
            <w:tcW w:w="6529" w:type="dxa"/>
            <w:tcBorders>
              <w:top w:val="single" w:color="FFFFFF" w:sz="4" w:space="0"/>
              <w:left w:val="single" w:color="FFFFFF" w:sz="4" w:space="0"/>
              <w:bottom w:val="single" w:color="FFFFFF" w:sz="12" w:space="0"/>
              <w:right w:val="single" w:color="FFFFFF" w:sz="4" w:space="0"/>
            </w:tcBorders>
            <w:shd w:val="clear" w:color="auto" w:fill="72C7E7"/>
            <w:tcMar>
              <w:top w:w="72" w:type="dxa"/>
              <w:left w:w="144" w:type="dxa"/>
              <w:bottom w:w="72" w:type="dxa"/>
              <w:right w:w="144" w:type="dxa"/>
            </w:tcMar>
            <w:vAlign w:val="top"/>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pPr>
            <w:r>
              <w:rPr>
                <w:b/>
                <w:color w:val="FFFFFF"/>
                <w:sz w:val="30"/>
                <w:szCs w:val="30"/>
                <w:bdr w:val="none" w:color="auto" w:sz="0" w:space="0"/>
              </w:rPr>
              <w:t>核心观点</w:t>
            </w:r>
          </w:p>
        </w:tc>
      </w:tr>
      <w:tr>
        <w:tblPrEx>
          <w:tblLayout w:type="fixed"/>
          <w:tblCellMar>
            <w:top w:w="0" w:type="dxa"/>
            <w:left w:w="0" w:type="dxa"/>
            <w:bottom w:w="0" w:type="dxa"/>
            <w:right w:w="0" w:type="dxa"/>
          </w:tblCellMar>
        </w:tblPrEx>
        <w:trPr>
          <w:trHeight w:val="720" w:hRule="atLeast"/>
          <w:tblCellSpacing w:w="0" w:type="dxa"/>
        </w:trPr>
        <w:tc>
          <w:tcPr>
            <w:tcW w:w="1867" w:type="dxa"/>
            <w:tcBorders>
              <w:top w:val="single" w:color="FFFFFF" w:sz="4" w:space="0"/>
              <w:left w:val="single" w:color="FFFFFF" w:sz="4" w:space="0"/>
              <w:bottom w:val="single" w:color="FFFFFF" w:sz="12" w:space="0"/>
              <w:right w:val="single" w:color="FFFFFF" w:sz="4" w:space="0"/>
            </w:tcBorders>
            <w:shd w:val="clear" w:color="auto" w:fill="D5EBF6"/>
            <w:tcMar>
              <w:top w:w="72" w:type="dxa"/>
              <w:left w:w="144" w:type="dxa"/>
              <w:bottom w:w="72" w:type="dxa"/>
              <w:right w:w="144" w:type="dxa"/>
            </w:tcMar>
            <w:vAlign w:val="top"/>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pPr>
            <w:r>
              <w:rPr>
                <w:b/>
                <w:color w:val="000000"/>
                <w:sz w:val="24"/>
                <w:szCs w:val="24"/>
                <w:bdr w:val="none" w:color="auto" w:sz="0" w:space="0"/>
              </w:rPr>
              <w:t>马斯洛</w:t>
            </w:r>
          </w:p>
        </w:tc>
        <w:tc>
          <w:tcPr>
            <w:tcW w:w="1638" w:type="dxa"/>
            <w:tcBorders>
              <w:top w:val="single" w:color="FFFFFF" w:sz="4" w:space="0"/>
              <w:left w:val="single" w:color="FFFFFF" w:sz="4" w:space="0"/>
              <w:bottom w:val="single" w:color="FFFFFF" w:sz="12" w:space="0"/>
              <w:right w:val="single" w:color="FFFFFF" w:sz="4" w:space="0"/>
            </w:tcBorders>
            <w:shd w:val="clear" w:color="auto" w:fill="D5EBF6"/>
            <w:tcMar>
              <w:top w:w="72" w:type="dxa"/>
              <w:left w:w="144" w:type="dxa"/>
              <w:bottom w:w="72" w:type="dxa"/>
              <w:right w:w="144" w:type="dxa"/>
            </w:tcMar>
            <w:vAlign w:val="top"/>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pPr>
            <w:r>
              <w:rPr>
                <w:b/>
                <w:color w:val="000000"/>
                <w:sz w:val="24"/>
                <w:szCs w:val="24"/>
                <w:bdr w:val="none" w:color="auto" w:sz="0" w:space="0"/>
              </w:rPr>
              <w:t>需求层次理论</w:t>
            </w:r>
          </w:p>
        </w:tc>
        <w:tc>
          <w:tcPr>
            <w:tcW w:w="6529" w:type="dxa"/>
            <w:tcBorders>
              <w:top w:val="single" w:color="FFFFFF" w:sz="4" w:space="0"/>
              <w:left w:val="single" w:color="FFFFFF" w:sz="4" w:space="0"/>
              <w:bottom w:val="single" w:color="FFFFFF" w:sz="12" w:space="0"/>
              <w:right w:val="single" w:color="FFFFFF" w:sz="4" w:space="0"/>
            </w:tcBorders>
            <w:shd w:val="clear" w:color="auto" w:fill="D5EBF6"/>
            <w:tcMar>
              <w:top w:w="72" w:type="dxa"/>
              <w:left w:w="144" w:type="dxa"/>
              <w:bottom w:w="72" w:type="dxa"/>
              <w:right w:w="144" w:type="dxa"/>
            </w:tcMar>
            <w:vAlign w:val="top"/>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pPr>
            <w:r>
              <w:rPr>
                <w:b/>
                <w:color w:val="000000"/>
                <w:sz w:val="24"/>
                <w:szCs w:val="24"/>
                <w:bdr w:val="none" w:color="auto" w:sz="0" w:space="0"/>
              </w:rPr>
              <w:t>人的需求分为从低到高五个层次，生理、安全、社会需求、尊重和自我实现，激励来自没有满足的需求</w:t>
            </w:r>
          </w:p>
        </w:tc>
      </w:tr>
      <w:tr>
        <w:tblPrEx>
          <w:shd w:val="clear"/>
          <w:tblLayout w:type="fixed"/>
          <w:tblCellMar>
            <w:top w:w="0" w:type="dxa"/>
            <w:left w:w="0" w:type="dxa"/>
            <w:bottom w:w="0" w:type="dxa"/>
            <w:right w:w="0" w:type="dxa"/>
          </w:tblCellMar>
        </w:tblPrEx>
        <w:trPr>
          <w:trHeight w:val="1140" w:hRule="atLeast"/>
          <w:tblCellSpacing w:w="0" w:type="dxa"/>
        </w:trPr>
        <w:tc>
          <w:tcPr>
            <w:tcW w:w="1867" w:type="dxa"/>
            <w:tcBorders>
              <w:top w:val="single" w:color="FFFFFF" w:sz="4" w:space="0"/>
              <w:left w:val="single" w:color="FFFFFF" w:sz="4" w:space="0"/>
              <w:bottom w:val="single" w:color="FFFFFF" w:sz="12" w:space="0"/>
              <w:right w:val="single" w:color="FFFFFF" w:sz="4" w:space="0"/>
            </w:tcBorders>
            <w:shd w:val="clear" w:color="auto" w:fill="EBF5FA"/>
            <w:tcMar>
              <w:top w:w="72" w:type="dxa"/>
              <w:left w:w="144" w:type="dxa"/>
              <w:bottom w:w="72" w:type="dxa"/>
              <w:right w:w="144" w:type="dxa"/>
            </w:tcMar>
            <w:vAlign w:val="top"/>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pPr>
            <w:r>
              <w:rPr>
                <w:b/>
                <w:color w:val="000000"/>
                <w:sz w:val="24"/>
                <w:szCs w:val="24"/>
                <w:bdr w:val="none" w:color="auto" w:sz="0" w:space="0"/>
              </w:rPr>
              <w:t>海兹伯格</w:t>
            </w:r>
          </w:p>
        </w:tc>
        <w:tc>
          <w:tcPr>
            <w:tcW w:w="1638" w:type="dxa"/>
            <w:tcBorders>
              <w:top w:val="single" w:color="FFFFFF" w:sz="4" w:space="0"/>
              <w:left w:val="single" w:color="FFFFFF" w:sz="4" w:space="0"/>
              <w:bottom w:val="single" w:color="FFFFFF" w:sz="12" w:space="0"/>
              <w:right w:val="single" w:color="FFFFFF" w:sz="4" w:space="0"/>
            </w:tcBorders>
            <w:shd w:val="clear" w:color="auto" w:fill="EBF5FA"/>
            <w:tcMar>
              <w:top w:w="72" w:type="dxa"/>
              <w:left w:w="144" w:type="dxa"/>
              <w:bottom w:w="72" w:type="dxa"/>
              <w:right w:w="144" w:type="dxa"/>
            </w:tcMar>
            <w:vAlign w:val="top"/>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pPr>
            <w:r>
              <w:rPr>
                <w:b/>
                <w:color w:val="000000"/>
                <w:sz w:val="24"/>
                <w:szCs w:val="24"/>
                <w:bdr w:val="none" w:color="auto" w:sz="0" w:space="0"/>
              </w:rPr>
              <w:t>激励理论</w:t>
            </w:r>
          </w:p>
        </w:tc>
        <w:tc>
          <w:tcPr>
            <w:tcW w:w="6529" w:type="dxa"/>
            <w:tcBorders>
              <w:top w:val="single" w:color="FFFFFF" w:sz="4" w:space="0"/>
              <w:left w:val="single" w:color="FFFFFF" w:sz="4" w:space="0"/>
              <w:bottom w:val="single" w:color="FFFFFF" w:sz="12" w:space="0"/>
              <w:right w:val="single" w:color="FFFFFF" w:sz="4" w:space="0"/>
            </w:tcBorders>
            <w:shd w:val="clear" w:color="auto" w:fill="EBF5FA"/>
            <w:tcMar>
              <w:top w:w="72" w:type="dxa"/>
              <w:left w:w="144" w:type="dxa"/>
              <w:bottom w:w="72" w:type="dxa"/>
              <w:right w:w="144" w:type="dxa"/>
            </w:tcMar>
            <w:vAlign w:val="top"/>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pPr>
            <w:r>
              <w:rPr>
                <w:b/>
                <w:color w:val="000000"/>
                <w:sz w:val="24"/>
                <w:szCs w:val="24"/>
                <w:bdr w:val="none" w:color="auto" w:sz="0" w:space="0"/>
              </w:rPr>
              <w:t>1、把劳动者的需求分为两类可激励因素，保健因素（外在）和激励因素（内在）。 2、保健因素良好不会使员工得到激励，但恶劣的的保健因素会损害员工的积极性。 3、激励因素存在会使员工得到激励。</w:t>
            </w:r>
          </w:p>
        </w:tc>
      </w:tr>
      <w:tr>
        <w:tblPrEx>
          <w:shd w:val="clear"/>
          <w:tblLayout w:type="fixed"/>
          <w:tblCellMar>
            <w:top w:w="0" w:type="dxa"/>
            <w:left w:w="0" w:type="dxa"/>
            <w:bottom w:w="0" w:type="dxa"/>
            <w:right w:w="0" w:type="dxa"/>
          </w:tblCellMar>
        </w:tblPrEx>
        <w:trPr>
          <w:trHeight w:val="720" w:hRule="atLeast"/>
          <w:tblCellSpacing w:w="0" w:type="dxa"/>
        </w:trPr>
        <w:tc>
          <w:tcPr>
            <w:tcW w:w="1867" w:type="dxa"/>
            <w:vMerge w:val="restart"/>
            <w:tcBorders>
              <w:top w:val="single" w:color="FFFFFF" w:sz="4" w:space="0"/>
              <w:left w:val="single" w:color="FFFFFF" w:sz="4" w:space="0"/>
              <w:bottom w:val="single" w:color="FFFFFF" w:sz="12" w:space="0"/>
              <w:right w:val="single" w:color="FFFFFF" w:sz="4" w:space="0"/>
            </w:tcBorders>
            <w:shd w:val="clear" w:color="auto" w:fill="D5EBF6"/>
            <w:tcMar>
              <w:top w:w="72" w:type="dxa"/>
              <w:left w:w="144" w:type="dxa"/>
              <w:bottom w:w="72" w:type="dxa"/>
              <w:right w:w="144" w:type="dxa"/>
            </w:tcMar>
            <w:vAlign w:val="top"/>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pPr>
            <w:r>
              <w:rPr>
                <w:b/>
                <w:color w:val="000000"/>
                <w:sz w:val="24"/>
                <w:szCs w:val="24"/>
                <w:bdr w:val="none" w:color="auto" w:sz="0" w:space="0"/>
              </w:rPr>
              <w:t>麦克格利格</w:t>
            </w:r>
          </w:p>
        </w:tc>
        <w:tc>
          <w:tcPr>
            <w:tcW w:w="1638" w:type="dxa"/>
            <w:tcBorders>
              <w:top w:val="single" w:color="FFFFFF" w:sz="4" w:space="0"/>
              <w:left w:val="single" w:color="FFFFFF" w:sz="4" w:space="0"/>
              <w:bottom w:val="single" w:color="FFFFFF" w:sz="12" w:space="0"/>
              <w:right w:val="single" w:color="FFFFFF" w:sz="4" w:space="0"/>
            </w:tcBorders>
            <w:shd w:val="clear" w:color="auto" w:fill="D5EBF6"/>
            <w:tcMar>
              <w:top w:w="72" w:type="dxa"/>
              <w:left w:w="144" w:type="dxa"/>
              <w:bottom w:w="72" w:type="dxa"/>
              <w:right w:w="144" w:type="dxa"/>
            </w:tcMar>
            <w:vAlign w:val="top"/>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pPr>
            <w:r>
              <w:rPr>
                <w:b/>
                <w:color w:val="000000"/>
                <w:sz w:val="24"/>
                <w:szCs w:val="24"/>
                <w:bdr w:val="none" w:color="auto" w:sz="0" w:space="0"/>
              </w:rPr>
              <w:t>X理论    </w:t>
            </w:r>
          </w:p>
        </w:tc>
        <w:tc>
          <w:tcPr>
            <w:tcW w:w="6529" w:type="dxa"/>
            <w:tcBorders>
              <w:top w:val="single" w:color="FFFFFF" w:sz="4" w:space="0"/>
              <w:left w:val="single" w:color="FFFFFF" w:sz="4" w:space="0"/>
              <w:bottom w:val="single" w:color="FFFFFF" w:sz="12" w:space="0"/>
              <w:right w:val="single" w:color="FFFFFF" w:sz="4" w:space="0"/>
            </w:tcBorders>
            <w:shd w:val="clear" w:color="auto" w:fill="D5EBF6"/>
            <w:tcMar>
              <w:top w:w="72" w:type="dxa"/>
              <w:left w:w="144" w:type="dxa"/>
              <w:bottom w:w="72" w:type="dxa"/>
              <w:right w:w="144" w:type="dxa"/>
            </w:tcMar>
            <w:vAlign w:val="top"/>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pPr>
            <w:r>
              <w:rPr>
                <w:b/>
                <w:color w:val="000000"/>
                <w:sz w:val="24"/>
                <w:szCs w:val="24"/>
                <w:bdr w:val="none" w:color="auto" w:sz="0" w:space="0"/>
              </w:rPr>
              <w:t>X理论对人的看法是悲观的、消极的 ,应该进行严格的管理、指挥、监视和控制 ，监管导向</w:t>
            </w:r>
          </w:p>
        </w:tc>
      </w:tr>
      <w:tr>
        <w:tblPrEx>
          <w:shd w:val="clear"/>
          <w:tblLayout w:type="fixed"/>
          <w:tblCellMar>
            <w:top w:w="0" w:type="dxa"/>
            <w:left w:w="0" w:type="dxa"/>
            <w:bottom w:w="0" w:type="dxa"/>
            <w:right w:w="0" w:type="dxa"/>
          </w:tblCellMar>
        </w:tblPrEx>
        <w:trPr>
          <w:trHeight w:val="720" w:hRule="atLeast"/>
          <w:tblCellSpacing w:w="0" w:type="dxa"/>
        </w:trPr>
        <w:tc>
          <w:tcPr>
            <w:tcW w:w="1867" w:type="dxa"/>
            <w:vMerge w:val="continue"/>
            <w:tcBorders>
              <w:top w:val="single" w:color="FFFFFF" w:sz="4" w:space="0"/>
              <w:left w:val="single" w:color="FFFFFF" w:sz="4" w:space="0"/>
              <w:bottom w:val="single" w:color="FFFFFF" w:sz="12" w:space="0"/>
              <w:right w:val="single" w:color="FFFFFF" w:sz="4" w:space="0"/>
            </w:tcBorders>
            <w:shd w:val="clear" w:color="auto" w:fill="D5EBF6"/>
            <w:tcMar>
              <w:top w:w="72" w:type="dxa"/>
              <w:left w:w="144" w:type="dxa"/>
              <w:bottom w:w="72" w:type="dxa"/>
              <w:right w:w="144" w:type="dxa"/>
            </w:tcMar>
            <w:vAlign w:val="top"/>
          </w:tcPr>
          <w:p>
            <w:pPr>
              <w:keepNext w:val="0"/>
              <w:keepLines w:val="0"/>
              <w:pageBreakBefore w:val="0"/>
              <w:widowControl/>
              <w:kinsoku/>
              <w:wordWrap/>
              <w:overflowPunct/>
              <w:topLinePunct w:val="0"/>
              <w:autoSpaceDE/>
              <w:autoSpaceDN/>
              <w:bidi w:val="0"/>
              <w:adjustRightInd/>
              <w:snapToGrid/>
              <w:spacing w:before="0" w:beforeLines="0" w:beforeAutospacing="0" w:after="0" w:afterLines="0" w:afterAutospacing="0" w:line="320" w:lineRule="exact"/>
              <w:ind w:left="0" w:leftChars="0" w:right="0" w:rightChars="0" w:firstLine="0" w:firstLineChars="0"/>
              <w:jc w:val="left"/>
              <w:textAlignment w:val="auto"/>
              <w:outlineLvl w:val="9"/>
              <w:rPr>
                <w:rFonts w:hint="eastAsia" w:ascii="宋体"/>
                <w:sz w:val="24"/>
                <w:szCs w:val="24"/>
              </w:rPr>
            </w:pPr>
          </w:p>
        </w:tc>
        <w:tc>
          <w:tcPr>
            <w:tcW w:w="1638" w:type="dxa"/>
            <w:tcBorders>
              <w:top w:val="single" w:color="FFFFFF" w:sz="4" w:space="0"/>
              <w:left w:val="single" w:color="FFFFFF" w:sz="4" w:space="0"/>
              <w:bottom w:val="single" w:color="FFFFFF" w:sz="12" w:space="0"/>
              <w:right w:val="single" w:color="FFFFFF" w:sz="4" w:space="0"/>
            </w:tcBorders>
            <w:shd w:val="clear" w:color="auto" w:fill="EBF5FA"/>
            <w:tcMar>
              <w:top w:w="72" w:type="dxa"/>
              <w:left w:w="144" w:type="dxa"/>
              <w:bottom w:w="72" w:type="dxa"/>
              <w:right w:w="144" w:type="dxa"/>
            </w:tcMar>
            <w:vAlign w:val="top"/>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pPr>
            <w:r>
              <w:rPr>
                <w:b/>
                <w:color w:val="000000"/>
                <w:sz w:val="24"/>
                <w:szCs w:val="24"/>
                <w:bdr w:val="none" w:color="auto" w:sz="0" w:space="0"/>
              </w:rPr>
              <w:t>Y理论</w:t>
            </w:r>
          </w:p>
        </w:tc>
        <w:tc>
          <w:tcPr>
            <w:tcW w:w="6529" w:type="dxa"/>
            <w:tcBorders>
              <w:top w:val="single" w:color="FFFFFF" w:sz="4" w:space="0"/>
              <w:left w:val="single" w:color="FFFFFF" w:sz="4" w:space="0"/>
              <w:bottom w:val="single" w:color="FFFFFF" w:sz="12" w:space="0"/>
              <w:right w:val="single" w:color="FFFFFF" w:sz="4" w:space="0"/>
            </w:tcBorders>
            <w:shd w:val="clear" w:color="auto" w:fill="EBF5FA"/>
            <w:tcMar>
              <w:top w:w="72" w:type="dxa"/>
              <w:left w:w="144" w:type="dxa"/>
              <w:bottom w:w="72" w:type="dxa"/>
              <w:right w:w="144" w:type="dxa"/>
            </w:tcMar>
            <w:vAlign w:val="top"/>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pPr>
            <w:r>
              <w:rPr>
                <w:b/>
                <w:color w:val="000000"/>
                <w:sz w:val="24"/>
                <w:szCs w:val="24"/>
                <w:bdr w:val="none" w:color="auto" w:sz="0" w:space="0"/>
              </w:rPr>
              <w:t>Y理论对人的看法是乐观的、积极的，人们愿意工作并有所成就感,能自我激励,渴望承担责任，激励导向。</w:t>
            </w:r>
          </w:p>
        </w:tc>
      </w:tr>
      <w:tr>
        <w:tblPrEx>
          <w:shd w:val="clear"/>
          <w:tblLayout w:type="fixed"/>
          <w:tblCellMar>
            <w:top w:w="0" w:type="dxa"/>
            <w:left w:w="0" w:type="dxa"/>
            <w:bottom w:w="0" w:type="dxa"/>
            <w:right w:w="0" w:type="dxa"/>
          </w:tblCellMar>
        </w:tblPrEx>
        <w:trPr>
          <w:trHeight w:val="860" w:hRule="atLeast"/>
          <w:tblCellSpacing w:w="0" w:type="dxa"/>
        </w:trPr>
        <w:tc>
          <w:tcPr>
            <w:tcW w:w="1867" w:type="dxa"/>
            <w:tcBorders>
              <w:top w:val="single" w:color="FFFFFF" w:sz="4" w:space="0"/>
              <w:left w:val="single" w:color="FFFFFF" w:sz="4" w:space="0"/>
              <w:bottom w:val="single" w:color="FFFFFF" w:sz="12" w:space="0"/>
              <w:right w:val="single" w:color="FFFFFF" w:sz="4" w:space="0"/>
            </w:tcBorders>
            <w:shd w:val="clear" w:color="auto" w:fill="D5EBF6"/>
            <w:tcMar>
              <w:top w:w="72" w:type="dxa"/>
              <w:left w:w="144" w:type="dxa"/>
              <w:bottom w:w="72" w:type="dxa"/>
              <w:right w:w="144" w:type="dxa"/>
            </w:tcMar>
            <w:vAlign w:val="top"/>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pPr>
            <w:r>
              <w:rPr>
                <w:b/>
                <w:color w:val="000000"/>
                <w:sz w:val="24"/>
                <w:szCs w:val="24"/>
                <w:bdr w:val="none" w:color="auto" w:sz="0" w:space="0"/>
              </w:rPr>
              <w:t>北美著名心理学家和行为科学家维克·-弗鲁姆Victor H.Vroom</w:t>
            </w:r>
          </w:p>
        </w:tc>
        <w:tc>
          <w:tcPr>
            <w:tcW w:w="1638" w:type="dxa"/>
            <w:tcBorders>
              <w:top w:val="single" w:color="FFFFFF" w:sz="4" w:space="0"/>
              <w:left w:val="single" w:color="FFFFFF" w:sz="4" w:space="0"/>
              <w:bottom w:val="single" w:color="FFFFFF" w:sz="12" w:space="0"/>
              <w:right w:val="single" w:color="FFFFFF" w:sz="4" w:space="0"/>
            </w:tcBorders>
            <w:shd w:val="clear" w:color="auto" w:fill="D5EBF6"/>
            <w:tcMar>
              <w:top w:w="72" w:type="dxa"/>
              <w:left w:w="144" w:type="dxa"/>
              <w:bottom w:w="72" w:type="dxa"/>
              <w:right w:w="144" w:type="dxa"/>
            </w:tcMar>
            <w:vAlign w:val="top"/>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pPr>
            <w:r>
              <w:rPr>
                <w:b/>
                <w:color w:val="000000"/>
                <w:sz w:val="24"/>
                <w:szCs w:val="24"/>
                <w:bdr w:val="none" w:color="auto" w:sz="0" w:space="0"/>
              </w:rPr>
              <w:t>期望理论</w:t>
            </w:r>
          </w:p>
        </w:tc>
        <w:tc>
          <w:tcPr>
            <w:tcW w:w="6529" w:type="dxa"/>
            <w:tcBorders>
              <w:top w:val="single" w:color="FFFFFF" w:sz="4" w:space="0"/>
              <w:left w:val="single" w:color="FFFFFF" w:sz="4" w:space="0"/>
              <w:bottom w:val="single" w:color="FFFFFF" w:sz="12" w:space="0"/>
              <w:right w:val="single" w:color="FFFFFF" w:sz="4" w:space="0"/>
            </w:tcBorders>
            <w:shd w:val="clear" w:color="auto" w:fill="D5EBF6"/>
            <w:tcMar>
              <w:top w:w="72" w:type="dxa"/>
              <w:left w:w="144" w:type="dxa"/>
              <w:bottom w:w="72" w:type="dxa"/>
              <w:right w:w="144" w:type="dxa"/>
            </w:tcMar>
            <w:vAlign w:val="top"/>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pPr>
            <w:r>
              <w:rPr>
                <w:b/>
                <w:color w:val="000000"/>
                <w:sz w:val="24"/>
                <w:szCs w:val="24"/>
                <w:bdr w:val="none" w:color="auto" w:sz="0" w:space="0"/>
              </w:rPr>
              <w:t>人们相信努力能产生成功的结果，并取得相应的报酬。</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pPr>
            <w:r>
              <w:rPr>
                <w:b/>
                <w:color w:val="000000"/>
                <w:sz w:val="24"/>
                <w:szCs w:val="24"/>
                <w:bdr w:val="none" w:color="auto" w:sz="0" w:space="0"/>
              </w:rPr>
              <w:t>人们在工作中的积极性或努力程度（激发）力量M是效价V和期望值E的乘积</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pPr>
            <w:r>
              <w:rPr>
                <w:b/>
                <w:color w:val="000000"/>
                <w:sz w:val="24"/>
                <w:szCs w:val="24"/>
                <w:bdr w:val="none" w:color="auto" w:sz="0" w:space="0"/>
              </w:rPr>
              <w:t> M=V×E </w:t>
            </w:r>
          </w:p>
        </w:tc>
      </w:tr>
      <w:tr>
        <w:tblPrEx>
          <w:shd w:val="clear"/>
          <w:tblLayout w:type="fixed"/>
          <w:tblCellMar>
            <w:top w:w="0" w:type="dxa"/>
            <w:left w:w="0" w:type="dxa"/>
            <w:bottom w:w="0" w:type="dxa"/>
            <w:right w:w="0" w:type="dxa"/>
          </w:tblCellMar>
        </w:tblPrEx>
        <w:trPr>
          <w:trHeight w:val="720" w:hRule="atLeast"/>
          <w:tblCellSpacing w:w="0" w:type="dxa"/>
        </w:trPr>
        <w:tc>
          <w:tcPr>
            <w:tcW w:w="1867" w:type="dxa"/>
            <w:tcBorders>
              <w:top w:val="single" w:color="FFFFFF" w:sz="4" w:space="0"/>
              <w:left w:val="single" w:color="FFFFFF" w:sz="4" w:space="0"/>
              <w:bottom w:val="single" w:color="FFFFFF" w:sz="12" w:space="0"/>
              <w:right w:val="single" w:color="FFFFFF" w:sz="4" w:space="0"/>
            </w:tcBorders>
            <w:shd w:val="clear" w:color="auto" w:fill="EBF5FA"/>
            <w:tcMar>
              <w:top w:w="72" w:type="dxa"/>
              <w:left w:w="144" w:type="dxa"/>
              <w:bottom w:w="72" w:type="dxa"/>
              <w:right w:w="144" w:type="dxa"/>
            </w:tcMar>
            <w:vAlign w:val="top"/>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pPr>
            <w:r>
              <w:rPr>
                <w:b/>
                <w:color w:val="000000"/>
                <w:sz w:val="24"/>
                <w:szCs w:val="24"/>
                <w:bdr w:val="none" w:color="auto" w:sz="0" w:space="0"/>
              </w:rPr>
              <w:t>日裔美国学者W.大内Willam Ouchi</w:t>
            </w:r>
          </w:p>
        </w:tc>
        <w:tc>
          <w:tcPr>
            <w:tcW w:w="1638" w:type="dxa"/>
            <w:tcBorders>
              <w:top w:val="single" w:color="FFFFFF" w:sz="4" w:space="0"/>
              <w:left w:val="single" w:color="FFFFFF" w:sz="4" w:space="0"/>
              <w:bottom w:val="single" w:color="FFFFFF" w:sz="12" w:space="0"/>
              <w:right w:val="single" w:color="FFFFFF" w:sz="4" w:space="0"/>
            </w:tcBorders>
            <w:shd w:val="clear" w:color="auto" w:fill="EBF5FA"/>
            <w:tcMar>
              <w:top w:w="72" w:type="dxa"/>
              <w:left w:w="144" w:type="dxa"/>
              <w:bottom w:w="72" w:type="dxa"/>
              <w:right w:w="144" w:type="dxa"/>
            </w:tcMar>
            <w:vAlign w:val="top"/>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pPr>
            <w:r>
              <w:rPr>
                <w:b/>
                <w:color w:val="000000"/>
                <w:sz w:val="24"/>
                <w:szCs w:val="24"/>
                <w:bdr w:val="none" w:color="auto" w:sz="0" w:space="0"/>
              </w:rPr>
              <w:t>Z理论</w:t>
            </w:r>
          </w:p>
        </w:tc>
        <w:tc>
          <w:tcPr>
            <w:tcW w:w="6529" w:type="dxa"/>
            <w:tcBorders>
              <w:top w:val="single" w:color="FFFFFF" w:sz="4" w:space="0"/>
              <w:left w:val="single" w:color="FFFFFF" w:sz="4" w:space="0"/>
              <w:bottom w:val="single" w:color="FFFFFF" w:sz="12" w:space="0"/>
              <w:right w:val="single" w:color="FFFFFF" w:sz="4" w:space="0"/>
            </w:tcBorders>
            <w:shd w:val="clear" w:color="auto" w:fill="EBF5FA"/>
            <w:tcMar>
              <w:top w:w="72" w:type="dxa"/>
              <w:left w:w="144" w:type="dxa"/>
              <w:bottom w:w="72" w:type="dxa"/>
              <w:right w:w="144" w:type="dxa"/>
            </w:tcMar>
            <w:vAlign w:val="top"/>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pPr>
            <w:r>
              <w:rPr>
                <w:b/>
                <w:color w:val="000000"/>
                <w:sz w:val="24"/>
                <w:szCs w:val="24"/>
                <w:bdr w:val="none" w:color="auto" w:sz="0" w:space="0"/>
              </w:rPr>
              <w:t>任何企业组织都应该对他们的内部的社会结构进行变革，使之既能满足新的竞争需要，又能满足各个雇员自我利益的需要</w:t>
            </w:r>
          </w:p>
        </w:tc>
      </w:tr>
      <w:tr>
        <w:tblPrEx>
          <w:shd w:val="clear"/>
          <w:tblLayout w:type="fixed"/>
          <w:tblCellMar>
            <w:top w:w="0" w:type="dxa"/>
            <w:left w:w="0" w:type="dxa"/>
            <w:bottom w:w="0" w:type="dxa"/>
            <w:right w:w="0" w:type="dxa"/>
          </w:tblCellMar>
        </w:tblPrEx>
        <w:trPr>
          <w:trHeight w:val="1140" w:hRule="atLeast"/>
          <w:tblCellSpacing w:w="0" w:type="dxa"/>
        </w:trPr>
        <w:tc>
          <w:tcPr>
            <w:tcW w:w="1867" w:type="dxa"/>
            <w:tcBorders>
              <w:top w:val="single" w:color="FFFFFF" w:sz="4" w:space="0"/>
              <w:left w:val="single" w:color="FFFFFF" w:sz="4" w:space="0"/>
              <w:bottom w:val="single" w:color="FFFFFF" w:sz="12" w:space="0"/>
              <w:right w:val="single" w:color="FFFFFF" w:sz="4" w:space="0"/>
            </w:tcBorders>
            <w:shd w:val="clear" w:color="auto" w:fill="D5EBF6"/>
            <w:tcMar>
              <w:top w:w="72" w:type="dxa"/>
              <w:left w:w="144" w:type="dxa"/>
              <w:bottom w:w="72" w:type="dxa"/>
              <w:right w:w="144" w:type="dxa"/>
            </w:tcMar>
            <w:vAlign w:val="top"/>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pPr>
            <w:r>
              <w:rPr>
                <w:b/>
                <w:color w:val="000000"/>
                <w:sz w:val="24"/>
                <w:szCs w:val="24"/>
                <w:bdr w:val="none" w:color="auto" w:sz="0" w:space="0"/>
              </w:rPr>
              <w:t>戴维·麦克利兰David·C·McClelland</w:t>
            </w:r>
          </w:p>
        </w:tc>
        <w:tc>
          <w:tcPr>
            <w:tcW w:w="1638" w:type="dxa"/>
            <w:tcBorders>
              <w:top w:val="single" w:color="FFFFFF" w:sz="4" w:space="0"/>
              <w:left w:val="single" w:color="FFFFFF" w:sz="4" w:space="0"/>
              <w:bottom w:val="single" w:color="FFFFFF" w:sz="12" w:space="0"/>
              <w:right w:val="single" w:color="FFFFFF" w:sz="4" w:space="0"/>
            </w:tcBorders>
            <w:shd w:val="clear" w:color="auto" w:fill="D5EBF6"/>
            <w:tcMar>
              <w:top w:w="72" w:type="dxa"/>
              <w:left w:w="144" w:type="dxa"/>
              <w:bottom w:w="72" w:type="dxa"/>
              <w:right w:w="144" w:type="dxa"/>
            </w:tcMar>
            <w:vAlign w:val="top"/>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pPr>
            <w:r>
              <w:rPr>
                <w:b/>
                <w:color w:val="000000"/>
                <w:sz w:val="24"/>
                <w:szCs w:val="24"/>
                <w:bdr w:val="none" w:color="auto" w:sz="0" w:space="0"/>
              </w:rPr>
              <w:t>成就动机理论 </w:t>
            </w:r>
          </w:p>
        </w:tc>
        <w:tc>
          <w:tcPr>
            <w:tcW w:w="6529" w:type="dxa"/>
            <w:tcBorders>
              <w:top w:val="single" w:color="FFFFFF" w:sz="4" w:space="0"/>
              <w:left w:val="single" w:color="FFFFFF" w:sz="4" w:space="0"/>
              <w:bottom w:val="single" w:color="FFFFFF" w:sz="12" w:space="0"/>
              <w:right w:val="single" w:color="FFFFFF" w:sz="4" w:space="0"/>
            </w:tcBorders>
            <w:shd w:val="clear" w:color="auto" w:fill="D5EBF6"/>
            <w:tcMar>
              <w:top w:w="72" w:type="dxa"/>
              <w:left w:w="144" w:type="dxa"/>
              <w:bottom w:w="72" w:type="dxa"/>
              <w:right w:w="144" w:type="dxa"/>
            </w:tcMar>
            <w:vAlign w:val="top"/>
          </w:tcPr>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pPr>
            <w:r>
              <w:rPr>
                <w:b/>
                <w:color w:val="000000"/>
                <w:sz w:val="24"/>
                <w:szCs w:val="24"/>
                <w:bdr w:val="none" w:color="auto" w:sz="0" w:space="0"/>
              </w:rPr>
              <w:t> 期望理论是以三个因素反映需要与目标之间的关系的：权利需要、社交需要、成就需要。(1)工作能提供给他们真正需要的东西；(2）他们欲求的东西是和绩效联系在一起的；(3）只要努力工作就能提高他们的绩效。 </w:t>
            </w:r>
          </w:p>
        </w:tc>
      </w:tr>
    </w:tbl>
    <w:p/>
    <w:p>
      <w:pPr>
        <w:pStyle w:val="5"/>
        <w:numPr>
          <w:ilvl w:val="0"/>
          <w:numId w:val="1"/>
        </w:numPr>
        <w:jc w:val="left"/>
      </w:pPr>
      <w:r>
        <w:rPr>
          <w:rFonts w:hint="eastAsia"/>
        </w:rPr>
        <w:t>直接成本、间接成本等成本类型</w:t>
      </w:r>
    </w:p>
    <w:p>
      <w:pPr>
        <w:spacing w:line="360" w:lineRule="auto"/>
        <w:ind w:firstLine="420"/>
        <w:rPr>
          <w:rFonts w:ascii="宋体" w:hAnsi="宋体" w:eastAsia="宋体"/>
          <w:sz w:val="24"/>
          <w:szCs w:val="24"/>
        </w:rPr>
      </w:pPr>
      <w:r>
        <w:rPr>
          <w:rFonts w:hint="eastAsia" w:ascii="宋体" w:hAnsi="宋体" w:eastAsia="宋体"/>
          <w:sz w:val="24"/>
          <w:szCs w:val="24"/>
        </w:rPr>
        <w:t>咨询、培训成本，对后续其他工作或事项也会有帮助的工作，是间接成本。</w:t>
      </w:r>
    </w:p>
    <w:p>
      <w:pPr>
        <w:pStyle w:val="5"/>
        <w:numPr>
          <w:ilvl w:val="0"/>
          <w:numId w:val="1"/>
        </w:numPr>
        <w:jc w:val="left"/>
      </w:pPr>
      <w:r>
        <w:rPr>
          <w:rFonts w:hint="eastAsia"/>
        </w:rPr>
        <w:t>建设项目团队的5个阶段，及其表现形式</w:t>
      </w:r>
    </w:p>
    <w:p>
      <w:pPr>
        <w:pStyle w:val="5"/>
        <w:numPr>
          <w:ilvl w:val="0"/>
          <w:numId w:val="1"/>
        </w:numPr>
        <w:jc w:val="left"/>
      </w:pPr>
      <w:r>
        <w:rPr>
          <w:rFonts w:hint="eastAsia"/>
        </w:rPr>
        <w:t>几种项目生命周期区分。</w:t>
      </w:r>
    </w:p>
    <w:p>
      <w:pPr>
        <w:spacing w:line="360" w:lineRule="auto"/>
        <w:ind w:firstLine="420"/>
        <w:rPr>
          <w:rFonts w:ascii="宋体" w:hAnsi="宋体" w:eastAsia="宋体"/>
          <w:sz w:val="24"/>
          <w:szCs w:val="24"/>
        </w:rPr>
      </w:pPr>
      <w:r>
        <w:rPr>
          <w:rFonts w:hint="eastAsia" w:ascii="宋体" w:hAnsi="宋体" w:eastAsia="宋体"/>
          <w:sz w:val="24"/>
          <w:szCs w:val="24"/>
        </w:rPr>
        <w:t>适应型生命周期、增量、迭代、预测性生命周期等。</w:t>
      </w:r>
    </w:p>
    <w:p>
      <w:pPr>
        <w:pStyle w:val="5"/>
        <w:numPr>
          <w:ilvl w:val="0"/>
          <w:numId w:val="1"/>
        </w:numPr>
        <w:jc w:val="left"/>
      </w:pPr>
      <w:r>
        <w:rPr>
          <w:rFonts w:hint="eastAsia"/>
        </w:rPr>
        <w:t>项目经理的领导方式：</w:t>
      </w:r>
    </w:p>
    <w:tbl>
      <w:tblPr>
        <w:tblStyle w:val="8"/>
        <w:tblW w:w="97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68"/>
        <w:gridCol w:w="48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68" w:type="dxa"/>
          </w:tcPr>
          <w:p>
            <w:pPr>
              <w:spacing w:line="360" w:lineRule="auto"/>
              <w:rPr>
                <w:rFonts w:ascii="宋体" w:hAnsi="宋体" w:eastAsia="宋体"/>
                <w:b/>
                <w:sz w:val="24"/>
                <w:szCs w:val="24"/>
              </w:rPr>
            </w:pPr>
            <w:r>
              <w:rPr>
                <w:rFonts w:hint="eastAsia" w:ascii="宋体" w:hAnsi="宋体" w:eastAsia="宋体"/>
                <w:b/>
                <w:sz w:val="24"/>
                <w:szCs w:val="24"/>
              </w:rPr>
              <w:t>规划</w:t>
            </w:r>
          </w:p>
        </w:tc>
        <w:tc>
          <w:tcPr>
            <w:tcW w:w="4868" w:type="dxa"/>
          </w:tcPr>
          <w:p>
            <w:pPr>
              <w:spacing w:line="360" w:lineRule="auto"/>
              <w:rPr>
                <w:rFonts w:ascii="宋体" w:hAnsi="宋体" w:eastAsia="宋体"/>
                <w:sz w:val="24"/>
                <w:szCs w:val="24"/>
              </w:rPr>
            </w:pPr>
            <w:r>
              <w:rPr>
                <w:rFonts w:hint="eastAsia" w:ascii="宋体" w:hAnsi="宋体" w:eastAsia="宋体"/>
                <w:sz w:val="24"/>
                <w:szCs w:val="24"/>
              </w:rPr>
              <w:t>指挥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68" w:type="dxa"/>
          </w:tcPr>
          <w:p>
            <w:pPr>
              <w:spacing w:line="360" w:lineRule="auto"/>
              <w:rPr>
                <w:rFonts w:ascii="宋体" w:hAnsi="宋体" w:eastAsia="宋体"/>
                <w:b/>
                <w:sz w:val="24"/>
                <w:szCs w:val="24"/>
              </w:rPr>
            </w:pPr>
            <w:r>
              <w:rPr>
                <w:rFonts w:hint="eastAsia" w:ascii="宋体" w:hAnsi="宋体" w:eastAsia="宋体"/>
                <w:b/>
                <w:sz w:val="24"/>
                <w:szCs w:val="24"/>
              </w:rPr>
              <w:t>执行</w:t>
            </w:r>
          </w:p>
        </w:tc>
        <w:tc>
          <w:tcPr>
            <w:tcW w:w="4868" w:type="dxa"/>
          </w:tcPr>
          <w:p>
            <w:pPr>
              <w:spacing w:line="360" w:lineRule="auto"/>
              <w:rPr>
                <w:rFonts w:ascii="宋体" w:hAnsi="宋体" w:eastAsia="宋体"/>
                <w:sz w:val="24"/>
                <w:szCs w:val="24"/>
              </w:rPr>
            </w:pPr>
            <w:r>
              <w:rPr>
                <w:rFonts w:hint="eastAsia" w:ascii="宋体" w:hAnsi="宋体" w:eastAsia="宋体"/>
                <w:sz w:val="24"/>
                <w:szCs w:val="24"/>
              </w:rPr>
              <w:t>教练、促成、支持。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68" w:type="dxa"/>
          </w:tcPr>
          <w:p>
            <w:pPr>
              <w:spacing w:line="360" w:lineRule="auto"/>
              <w:rPr>
                <w:rFonts w:ascii="宋体" w:hAnsi="宋体" w:eastAsia="宋体"/>
                <w:b/>
                <w:sz w:val="24"/>
                <w:szCs w:val="24"/>
              </w:rPr>
            </w:pPr>
            <w:r>
              <w:rPr>
                <w:rFonts w:hint="eastAsia" w:ascii="宋体" w:hAnsi="宋体" w:eastAsia="宋体"/>
                <w:b/>
                <w:sz w:val="24"/>
                <w:szCs w:val="24"/>
              </w:rPr>
              <w:t>成熟团队</w:t>
            </w:r>
          </w:p>
        </w:tc>
        <w:tc>
          <w:tcPr>
            <w:tcW w:w="4868" w:type="dxa"/>
          </w:tcPr>
          <w:p>
            <w:pPr>
              <w:spacing w:line="360" w:lineRule="auto"/>
              <w:rPr>
                <w:rFonts w:ascii="宋体" w:hAnsi="宋体" w:eastAsia="宋体"/>
                <w:sz w:val="24"/>
                <w:szCs w:val="24"/>
              </w:rPr>
            </w:pPr>
            <w:r>
              <w:rPr>
                <w:rFonts w:hint="eastAsia" w:ascii="宋体" w:hAnsi="宋体" w:eastAsia="宋体"/>
                <w:sz w:val="24"/>
                <w:szCs w:val="24"/>
              </w:rPr>
              <w:t>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68" w:type="dxa"/>
          </w:tcPr>
          <w:p>
            <w:pPr>
              <w:spacing w:line="360" w:lineRule="auto"/>
              <w:rPr>
                <w:rFonts w:ascii="宋体" w:hAnsi="宋体" w:eastAsia="宋体"/>
                <w:b/>
                <w:sz w:val="24"/>
                <w:szCs w:val="24"/>
              </w:rPr>
            </w:pPr>
            <w:r>
              <w:rPr>
                <w:rFonts w:hint="eastAsia" w:ascii="宋体" w:hAnsi="宋体" w:eastAsia="宋体"/>
                <w:b/>
                <w:sz w:val="24"/>
                <w:szCs w:val="24"/>
              </w:rPr>
              <w:t>专业团队</w:t>
            </w:r>
          </w:p>
        </w:tc>
        <w:tc>
          <w:tcPr>
            <w:tcW w:w="4868" w:type="dxa"/>
          </w:tcPr>
          <w:p>
            <w:pPr>
              <w:spacing w:line="360" w:lineRule="auto"/>
              <w:rPr>
                <w:rFonts w:ascii="宋体" w:hAnsi="宋体" w:eastAsia="宋体"/>
                <w:sz w:val="24"/>
                <w:szCs w:val="24"/>
              </w:rPr>
            </w:pPr>
            <w:r>
              <w:rPr>
                <w:rFonts w:hint="eastAsia" w:ascii="宋体" w:hAnsi="宋体" w:eastAsia="宋体"/>
                <w:sz w:val="24"/>
                <w:szCs w:val="24"/>
              </w:rPr>
              <w:t>支持</w:t>
            </w:r>
          </w:p>
        </w:tc>
      </w:tr>
    </w:tbl>
    <w:p>
      <w:pPr>
        <w:pStyle w:val="5"/>
        <w:numPr>
          <w:ilvl w:val="0"/>
          <w:numId w:val="1"/>
        </w:numPr>
        <w:jc w:val="left"/>
      </w:pPr>
      <w:r>
        <w:rPr>
          <w:rFonts w:hint="eastAsia"/>
        </w:rPr>
        <w:t>项目章程的内容</w:t>
      </w:r>
    </w:p>
    <w:p>
      <w:bookmarkStart w:id="0" w:name="_GoBack"/>
      <w:bookmarkEnd w:id="0"/>
    </w:p>
    <w:p>
      <w:pPr>
        <w:pStyle w:val="5"/>
        <w:numPr>
          <w:ilvl w:val="0"/>
          <w:numId w:val="1"/>
        </w:numPr>
        <w:jc w:val="left"/>
      </w:pPr>
      <w:r>
        <w:rPr>
          <w:rFonts w:hint="eastAsia"/>
        </w:rPr>
        <w:t>产品范围与项目范围。</w:t>
      </w:r>
    </w:p>
    <w:p>
      <w:pPr>
        <w:spacing w:line="360" w:lineRule="auto"/>
        <w:ind w:firstLine="420"/>
        <w:rPr>
          <w:rFonts w:ascii="宋体" w:hAnsi="宋体" w:eastAsia="宋体"/>
          <w:sz w:val="24"/>
          <w:szCs w:val="24"/>
        </w:rPr>
      </w:pPr>
      <w:r>
        <w:rPr>
          <w:rFonts w:hint="eastAsia" w:ascii="宋体" w:hAnsi="宋体" w:eastAsia="宋体"/>
          <w:sz w:val="24"/>
          <w:szCs w:val="24"/>
        </w:rPr>
        <w:t>产品范围——某项产品、服务或成果所具有的特性和功能。</w:t>
      </w:r>
      <w:r>
        <w:rPr>
          <w:rFonts w:ascii="宋体" w:hAnsi="宋体" w:eastAsia="宋体"/>
          <w:sz w:val="24"/>
          <w:szCs w:val="24"/>
        </w:rPr>
        <w:t xml:space="preserve"> </w:t>
      </w:r>
    </w:p>
    <w:p>
      <w:pPr>
        <w:spacing w:line="360" w:lineRule="auto"/>
        <w:ind w:firstLine="420"/>
        <w:rPr>
          <w:rFonts w:ascii="宋体" w:hAnsi="宋体" w:eastAsia="宋体"/>
          <w:sz w:val="24"/>
          <w:szCs w:val="24"/>
        </w:rPr>
      </w:pPr>
      <w:r>
        <w:rPr>
          <w:rFonts w:ascii="宋体" w:hAnsi="宋体" w:eastAsia="宋体"/>
          <w:sz w:val="24"/>
          <w:szCs w:val="24"/>
        </w:rPr>
        <w:t>项目范围——为交付具有规定特性与功能的产品、服务或成果而必须完成的工作。项</w:t>
      </w:r>
      <w:r>
        <w:rPr>
          <w:rFonts w:hint="eastAsia" w:ascii="宋体" w:hAnsi="宋体" w:eastAsia="宋体"/>
          <w:sz w:val="24"/>
          <w:szCs w:val="24"/>
        </w:rPr>
        <w:t>目范围有时也包括产品范围。</w:t>
      </w:r>
    </w:p>
    <w:p>
      <w:pPr>
        <w:pStyle w:val="5"/>
        <w:numPr>
          <w:ilvl w:val="0"/>
          <w:numId w:val="1"/>
        </w:numPr>
        <w:jc w:val="left"/>
      </w:pPr>
      <w:r>
        <w:rPr>
          <w:rFonts w:hint="eastAsia"/>
        </w:rPr>
        <w:t>项目管理八大会议</w:t>
      </w:r>
    </w:p>
    <w:tbl>
      <w:tblPr>
        <w:tblStyle w:val="8"/>
        <w:tblW w:w="97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8"/>
        <w:gridCol w:w="1371"/>
        <w:gridCol w:w="1906"/>
        <w:gridCol w:w="1134"/>
        <w:gridCol w:w="3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8" w:type="dxa"/>
            <w:vAlign w:val="center"/>
          </w:tcPr>
          <w:p>
            <w:pPr>
              <w:jc w:val="center"/>
              <w:rPr>
                <w:rFonts w:ascii="宋体" w:hAnsi="宋体" w:eastAsia="宋体"/>
                <w:b/>
                <w:szCs w:val="21"/>
              </w:rPr>
            </w:pPr>
            <w:r>
              <w:rPr>
                <w:rFonts w:hint="eastAsia" w:ascii="宋体" w:hAnsi="宋体" w:eastAsia="宋体"/>
                <w:b/>
                <w:szCs w:val="21"/>
              </w:rPr>
              <w:t>会议名称</w:t>
            </w:r>
          </w:p>
        </w:tc>
        <w:tc>
          <w:tcPr>
            <w:tcW w:w="1371" w:type="dxa"/>
            <w:vAlign w:val="center"/>
          </w:tcPr>
          <w:p>
            <w:pPr>
              <w:jc w:val="center"/>
              <w:rPr>
                <w:rFonts w:ascii="宋体" w:hAnsi="宋体" w:eastAsia="宋体"/>
                <w:b/>
                <w:szCs w:val="21"/>
              </w:rPr>
            </w:pPr>
            <w:r>
              <w:rPr>
                <w:rFonts w:ascii="宋体" w:hAnsi="宋体" w:eastAsia="宋体"/>
                <w:b/>
                <w:szCs w:val="21"/>
              </w:rPr>
              <w:t>英文名称</w:t>
            </w:r>
          </w:p>
        </w:tc>
        <w:tc>
          <w:tcPr>
            <w:tcW w:w="1906" w:type="dxa"/>
            <w:vAlign w:val="center"/>
          </w:tcPr>
          <w:p>
            <w:pPr>
              <w:jc w:val="center"/>
              <w:rPr>
                <w:rFonts w:ascii="宋体" w:hAnsi="宋体" w:eastAsia="宋体"/>
                <w:b/>
                <w:szCs w:val="21"/>
              </w:rPr>
            </w:pPr>
            <w:r>
              <w:rPr>
                <w:rFonts w:hint="eastAsia" w:ascii="宋体" w:hAnsi="宋体" w:eastAsia="宋体"/>
                <w:b/>
                <w:szCs w:val="21"/>
              </w:rPr>
              <w:t>主要内容</w:t>
            </w:r>
          </w:p>
        </w:tc>
        <w:tc>
          <w:tcPr>
            <w:tcW w:w="1134" w:type="dxa"/>
            <w:vAlign w:val="center"/>
          </w:tcPr>
          <w:p>
            <w:pPr>
              <w:jc w:val="center"/>
              <w:rPr>
                <w:rFonts w:ascii="宋体" w:hAnsi="宋体" w:eastAsia="宋体"/>
                <w:b/>
                <w:szCs w:val="21"/>
              </w:rPr>
            </w:pPr>
            <w:r>
              <w:rPr>
                <w:rFonts w:hint="eastAsia" w:ascii="宋体" w:hAnsi="宋体" w:eastAsia="宋体"/>
                <w:b/>
                <w:szCs w:val="21"/>
              </w:rPr>
              <w:t>召开时间</w:t>
            </w:r>
          </w:p>
        </w:tc>
        <w:tc>
          <w:tcPr>
            <w:tcW w:w="3787" w:type="dxa"/>
            <w:vAlign w:val="center"/>
          </w:tcPr>
          <w:p>
            <w:pPr>
              <w:jc w:val="left"/>
              <w:rPr>
                <w:rFonts w:ascii="宋体" w:hAnsi="宋体" w:eastAsia="宋体"/>
                <w:b/>
                <w:szCs w:val="21"/>
              </w:rPr>
            </w:pPr>
            <w:r>
              <w:rPr>
                <w:rFonts w:hint="eastAsia" w:ascii="宋体" w:hAnsi="宋体" w:eastAsia="宋体"/>
                <w:b/>
                <w:szCs w:val="21"/>
              </w:rPr>
              <w:t>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8" w:type="dxa"/>
            <w:vAlign w:val="center"/>
          </w:tcPr>
          <w:p>
            <w:pPr>
              <w:jc w:val="center"/>
              <w:rPr>
                <w:rFonts w:ascii="宋体" w:hAnsi="宋体" w:eastAsia="宋体"/>
                <w:szCs w:val="21"/>
              </w:rPr>
            </w:pPr>
            <w:r>
              <w:rPr>
                <w:rFonts w:hint="eastAsia" w:ascii="宋体" w:hAnsi="宋体" w:eastAsia="宋体"/>
                <w:szCs w:val="21"/>
              </w:rPr>
              <w:t>项目启动会议</w:t>
            </w:r>
          </w:p>
        </w:tc>
        <w:tc>
          <w:tcPr>
            <w:tcW w:w="1371" w:type="dxa"/>
            <w:vAlign w:val="center"/>
          </w:tcPr>
          <w:p>
            <w:pPr>
              <w:jc w:val="center"/>
              <w:rPr>
                <w:rFonts w:ascii="宋体" w:hAnsi="宋体" w:eastAsia="宋体"/>
                <w:szCs w:val="21"/>
              </w:rPr>
            </w:pPr>
            <w:r>
              <w:rPr>
                <w:rFonts w:hint="eastAsia" w:ascii="宋体" w:hAnsi="宋体" w:eastAsia="宋体"/>
                <w:szCs w:val="21"/>
              </w:rPr>
              <w:t>Initiating</w:t>
            </w:r>
            <w:r>
              <w:rPr>
                <w:rFonts w:ascii="宋体" w:hAnsi="宋体" w:eastAsia="宋体"/>
                <w:szCs w:val="21"/>
              </w:rPr>
              <w:t xml:space="preserve"> </w:t>
            </w:r>
            <w:r>
              <w:rPr>
                <w:rFonts w:hint="eastAsia" w:ascii="宋体" w:hAnsi="宋体" w:eastAsia="宋体"/>
                <w:szCs w:val="21"/>
              </w:rPr>
              <w:t>Meeting</w:t>
            </w:r>
          </w:p>
        </w:tc>
        <w:tc>
          <w:tcPr>
            <w:tcW w:w="1906" w:type="dxa"/>
            <w:vAlign w:val="center"/>
          </w:tcPr>
          <w:p>
            <w:pPr>
              <w:jc w:val="center"/>
              <w:rPr>
                <w:rFonts w:ascii="宋体" w:hAnsi="宋体" w:eastAsia="宋体"/>
                <w:szCs w:val="21"/>
              </w:rPr>
            </w:pPr>
            <w:r>
              <w:rPr>
                <w:rFonts w:hint="eastAsia" w:ascii="宋体" w:hAnsi="宋体" w:eastAsia="宋体"/>
                <w:szCs w:val="21"/>
              </w:rPr>
              <w:t>发布项目章程</w:t>
            </w:r>
          </w:p>
          <w:p>
            <w:pPr>
              <w:jc w:val="center"/>
              <w:rPr>
                <w:rFonts w:ascii="宋体" w:hAnsi="宋体" w:eastAsia="宋体"/>
                <w:szCs w:val="21"/>
              </w:rPr>
            </w:pPr>
            <w:r>
              <w:rPr>
                <w:rFonts w:hint="eastAsia" w:ascii="宋体" w:hAnsi="宋体" w:eastAsia="宋体"/>
                <w:szCs w:val="21"/>
              </w:rPr>
              <w:t>任命项目经理</w:t>
            </w:r>
          </w:p>
          <w:p>
            <w:pPr>
              <w:jc w:val="center"/>
              <w:rPr>
                <w:rFonts w:ascii="宋体" w:hAnsi="宋体" w:eastAsia="宋体"/>
                <w:szCs w:val="21"/>
              </w:rPr>
            </w:pPr>
            <w:r>
              <w:rPr>
                <w:rFonts w:hint="eastAsia" w:ascii="宋体" w:hAnsi="宋体" w:eastAsia="宋体"/>
                <w:szCs w:val="21"/>
              </w:rPr>
              <w:t>赋予项目经理动用组织资源的权力</w:t>
            </w:r>
          </w:p>
        </w:tc>
        <w:tc>
          <w:tcPr>
            <w:tcW w:w="1134" w:type="dxa"/>
            <w:vAlign w:val="center"/>
          </w:tcPr>
          <w:p>
            <w:pPr>
              <w:jc w:val="center"/>
              <w:rPr>
                <w:rFonts w:ascii="宋体" w:hAnsi="宋体" w:eastAsia="宋体"/>
                <w:szCs w:val="21"/>
              </w:rPr>
            </w:pPr>
            <w:r>
              <w:rPr>
                <w:rFonts w:hint="eastAsia" w:ascii="宋体" w:hAnsi="宋体" w:eastAsia="宋体"/>
                <w:szCs w:val="21"/>
              </w:rPr>
              <w:t>启动阶段结束</w:t>
            </w:r>
          </w:p>
        </w:tc>
        <w:tc>
          <w:tcPr>
            <w:tcW w:w="3787" w:type="dxa"/>
            <w:vAlign w:val="center"/>
          </w:tcPr>
          <w:p>
            <w:pPr>
              <w:pStyle w:val="11"/>
              <w:numPr>
                <w:ilvl w:val="0"/>
                <w:numId w:val="2"/>
              </w:numPr>
              <w:snapToGrid w:val="0"/>
              <w:spacing w:line="160" w:lineRule="atLeast"/>
              <w:ind w:firstLineChars="0"/>
              <w:jc w:val="left"/>
              <w:rPr>
                <w:rFonts w:ascii="宋体" w:hAnsi="宋体" w:eastAsia="宋体"/>
                <w:szCs w:val="21"/>
              </w:rPr>
            </w:pPr>
            <w:r>
              <w:rPr>
                <w:rFonts w:hint="eastAsia" w:ascii="宋体" w:hAnsi="宋体" w:eastAsia="宋体"/>
                <w:szCs w:val="21"/>
              </w:rPr>
              <w:t>会议召开前</w:t>
            </w:r>
            <w:r>
              <w:rPr>
                <w:rFonts w:hint="eastAsia" w:ascii="宋体" w:hAnsi="宋体" w:eastAsia="宋体" w:cs="宋体"/>
                <w:szCs w:val="21"/>
              </w:rPr>
              <w:t>已经有</w:t>
            </w:r>
            <w:r>
              <w:rPr>
                <w:rFonts w:hint="eastAsia" w:ascii="Malgun Gothic" w:hAnsi="Malgun Gothic" w:eastAsia="Malgun Gothic" w:cs="Malgun Gothic"/>
                <w:szCs w:val="21"/>
              </w:rPr>
              <w:t>了</w:t>
            </w:r>
            <w:r>
              <w:rPr>
                <w:rFonts w:hint="eastAsia" w:ascii="宋体" w:hAnsi="宋体" w:eastAsia="宋体" w:cs="宋体"/>
                <w:szCs w:val="21"/>
              </w:rPr>
              <w:t>干系人登记册与干系人管</w:t>
            </w:r>
            <w:r>
              <w:rPr>
                <w:rFonts w:hint="eastAsia" w:ascii="Malgun Gothic" w:hAnsi="Malgun Gothic" w:eastAsia="Malgun Gothic" w:cs="Malgun Gothic"/>
                <w:szCs w:val="21"/>
              </w:rPr>
              <w:t>理</w:t>
            </w:r>
            <w:r>
              <w:rPr>
                <w:rFonts w:hint="eastAsia" w:ascii="宋体" w:hAnsi="宋体" w:eastAsia="宋体" w:cs="宋体"/>
                <w:szCs w:val="21"/>
              </w:rPr>
              <w:t>策</w:t>
            </w:r>
            <w:r>
              <w:rPr>
                <w:rFonts w:hint="eastAsia" w:ascii="Malgun Gothic" w:hAnsi="Malgun Gothic" w:eastAsia="Malgun Gothic" w:cs="Malgun Gothic"/>
                <w:szCs w:val="21"/>
              </w:rPr>
              <w:t>略</w:t>
            </w:r>
            <w:r>
              <w:rPr>
                <w:rFonts w:hint="eastAsia" w:ascii="宋体" w:hAnsi="宋体" w:eastAsia="宋体"/>
                <w:szCs w:val="21"/>
              </w:rPr>
              <w:t>。</w:t>
            </w:r>
          </w:p>
          <w:p>
            <w:pPr>
              <w:pStyle w:val="11"/>
              <w:numPr>
                <w:ilvl w:val="0"/>
                <w:numId w:val="2"/>
              </w:numPr>
              <w:snapToGrid w:val="0"/>
              <w:spacing w:line="160" w:lineRule="atLeast"/>
              <w:ind w:firstLineChars="0"/>
              <w:jc w:val="left"/>
              <w:rPr>
                <w:rFonts w:ascii="宋体" w:hAnsi="宋体" w:eastAsia="宋体"/>
                <w:szCs w:val="21"/>
              </w:rPr>
            </w:pPr>
            <w:r>
              <w:rPr>
                <w:rFonts w:hint="eastAsia" w:ascii="宋体" w:hAnsi="宋体" w:eastAsia="宋体"/>
                <w:szCs w:val="21"/>
              </w:rPr>
              <w:t>让客户方从上到下达成一种共识。</w:t>
            </w:r>
          </w:p>
          <w:p>
            <w:pPr>
              <w:pStyle w:val="11"/>
              <w:numPr>
                <w:ilvl w:val="0"/>
                <w:numId w:val="2"/>
              </w:numPr>
              <w:spacing w:line="160" w:lineRule="atLeast"/>
              <w:ind w:firstLineChars="0"/>
              <w:jc w:val="left"/>
              <w:rPr>
                <w:rFonts w:ascii="宋体" w:hAnsi="宋体" w:eastAsia="宋体"/>
                <w:szCs w:val="21"/>
              </w:rPr>
            </w:pPr>
            <w:r>
              <w:rPr>
                <w:rFonts w:hint="eastAsia" w:ascii="宋体" w:hAnsi="宋体" w:eastAsia="宋体"/>
                <w:szCs w:val="21"/>
              </w:rPr>
              <w:t>项目管理计划还需渐进明细。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8" w:type="dxa"/>
            <w:vAlign w:val="center"/>
          </w:tcPr>
          <w:p>
            <w:pPr>
              <w:jc w:val="center"/>
              <w:rPr>
                <w:rFonts w:ascii="宋体" w:hAnsi="宋体" w:eastAsia="宋体"/>
                <w:szCs w:val="21"/>
              </w:rPr>
            </w:pPr>
            <w:r>
              <w:rPr>
                <w:rFonts w:hint="eastAsia" w:ascii="宋体" w:hAnsi="宋体" w:eastAsia="宋体"/>
                <w:szCs w:val="21"/>
              </w:rPr>
              <w:t>项目开踢会</w:t>
            </w:r>
          </w:p>
          <w:p>
            <w:pPr>
              <w:jc w:val="center"/>
              <w:rPr>
                <w:rFonts w:ascii="宋体" w:hAnsi="宋体" w:eastAsia="宋体"/>
                <w:szCs w:val="21"/>
              </w:rPr>
            </w:pPr>
            <w:r>
              <w:rPr>
                <w:rFonts w:hint="eastAsia" w:ascii="宋体" w:hAnsi="宋体" w:eastAsia="宋体"/>
                <w:szCs w:val="21"/>
              </w:rPr>
              <w:t>开工会</w:t>
            </w:r>
          </w:p>
        </w:tc>
        <w:tc>
          <w:tcPr>
            <w:tcW w:w="1371" w:type="dxa"/>
            <w:vAlign w:val="center"/>
          </w:tcPr>
          <w:p>
            <w:pPr>
              <w:jc w:val="center"/>
              <w:rPr>
                <w:rFonts w:ascii="宋体" w:hAnsi="宋体" w:eastAsia="宋体"/>
                <w:szCs w:val="21"/>
              </w:rPr>
            </w:pPr>
            <w:r>
              <w:rPr>
                <w:rFonts w:ascii="宋体" w:hAnsi="宋体" w:eastAsia="宋体"/>
                <w:szCs w:val="21"/>
              </w:rPr>
              <w:t>K</w:t>
            </w:r>
            <w:r>
              <w:rPr>
                <w:rFonts w:hint="eastAsia" w:ascii="宋体" w:hAnsi="宋体" w:eastAsia="宋体"/>
                <w:szCs w:val="21"/>
              </w:rPr>
              <w:t>ick-off</w:t>
            </w:r>
            <w:r>
              <w:rPr>
                <w:rFonts w:ascii="宋体" w:hAnsi="宋体" w:eastAsia="宋体"/>
                <w:szCs w:val="21"/>
              </w:rPr>
              <w:t xml:space="preserve"> </w:t>
            </w:r>
            <w:r>
              <w:rPr>
                <w:rFonts w:hint="eastAsia" w:ascii="宋体" w:hAnsi="宋体" w:eastAsia="宋体"/>
                <w:szCs w:val="21"/>
              </w:rPr>
              <w:t>meeting</w:t>
            </w:r>
          </w:p>
        </w:tc>
        <w:tc>
          <w:tcPr>
            <w:tcW w:w="1906" w:type="dxa"/>
            <w:vAlign w:val="center"/>
          </w:tcPr>
          <w:p>
            <w:pPr>
              <w:jc w:val="center"/>
              <w:rPr>
                <w:rFonts w:ascii="宋体" w:hAnsi="宋体" w:eastAsia="宋体"/>
                <w:szCs w:val="21"/>
              </w:rPr>
            </w:pPr>
            <w:r>
              <w:rPr>
                <w:rFonts w:hint="eastAsia" w:ascii="宋体" w:hAnsi="宋体" w:eastAsia="宋体"/>
                <w:szCs w:val="21"/>
              </w:rPr>
              <w:t>团队成员彼此认识</w:t>
            </w:r>
          </w:p>
          <w:p>
            <w:pPr>
              <w:jc w:val="center"/>
              <w:rPr>
                <w:rFonts w:ascii="宋体" w:hAnsi="宋体" w:eastAsia="宋体"/>
                <w:szCs w:val="21"/>
              </w:rPr>
            </w:pPr>
            <w:r>
              <w:rPr>
                <w:rFonts w:hint="eastAsia" w:ascii="宋体" w:hAnsi="宋体" w:eastAsia="宋体"/>
                <w:szCs w:val="21"/>
              </w:rPr>
              <w:t>自上而下要求</w:t>
            </w:r>
          </w:p>
          <w:p>
            <w:pPr>
              <w:jc w:val="center"/>
              <w:rPr>
                <w:rFonts w:ascii="宋体" w:hAnsi="宋体" w:eastAsia="宋体"/>
                <w:szCs w:val="21"/>
              </w:rPr>
            </w:pPr>
            <w:r>
              <w:rPr>
                <w:rFonts w:hint="eastAsia" w:ascii="宋体" w:hAnsi="宋体" w:eastAsia="宋体"/>
                <w:szCs w:val="21"/>
              </w:rPr>
              <w:t>自下而上承诺</w:t>
            </w:r>
          </w:p>
          <w:p>
            <w:pPr>
              <w:jc w:val="center"/>
              <w:rPr>
                <w:rFonts w:ascii="宋体" w:hAnsi="宋体" w:eastAsia="宋体"/>
                <w:szCs w:val="21"/>
              </w:rPr>
            </w:pPr>
            <w:r>
              <w:rPr>
                <w:rFonts w:hint="eastAsia" w:ascii="宋体" w:hAnsi="宋体" w:eastAsia="宋体"/>
                <w:szCs w:val="21"/>
              </w:rPr>
              <w:t>建立沟通关系</w:t>
            </w:r>
          </w:p>
          <w:p>
            <w:pPr>
              <w:jc w:val="center"/>
              <w:rPr>
                <w:rFonts w:ascii="宋体" w:hAnsi="宋体" w:eastAsia="宋体"/>
                <w:szCs w:val="21"/>
              </w:rPr>
            </w:pPr>
            <w:r>
              <w:rPr>
                <w:rFonts w:hint="eastAsia" w:ascii="宋体" w:hAnsi="宋体" w:eastAsia="宋体"/>
                <w:szCs w:val="21"/>
              </w:rPr>
              <w:t>建立责任关系</w:t>
            </w:r>
          </w:p>
        </w:tc>
        <w:tc>
          <w:tcPr>
            <w:tcW w:w="1134" w:type="dxa"/>
            <w:vAlign w:val="center"/>
          </w:tcPr>
          <w:p>
            <w:pPr>
              <w:jc w:val="center"/>
              <w:rPr>
                <w:rFonts w:ascii="宋体" w:hAnsi="宋体" w:eastAsia="宋体"/>
                <w:szCs w:val="21"/>
              </w:rPr>
            </w:pPr>
            <w:r>
              <w:rPr>
                <w:rFonts w:hint="eastAsia" w:ascii="宋体" w:hAnsi="宋体" w:eastAsia="宋体"/>
                <w:szCs w:val="21"/>
              </w:rPr>
              <w:t>规划阶段结束</w:t>
            </w:r>
          </w:p>
        </w:tc>
        <w:tc>
          <w:tcPr>
            <w:tcW w:w="3787" w:type="dxa"/>
            <w:vAlign w:val="center"/>
          </w:tcPr>
          <w:p>
            <w:pPr>
              <w:snapToGrid w:val="0"/>
              <w:spacing w:line="160" w:lineRule="atLeast"/>
              <w:jc w:val="left"/>
              <w:rPr>
                <w:rFonts w:ascii="宋体" w:hAnsi="宋体" w:eastAsia="宋体"/>
                <w:szCs w:val="21"/>
              </w:rPr>
            </w:pPr>
            <w:r>
              <w:rPr>
                <w:rFonts w:hint="eastAsia" w:ascii="宋体" w:hAnsi="宋体" w:eastAsia="宋体"/>
                <w:szCs w:val="21"/>
              </w:rPr>
              <w:t>对项目的范围、进</w:t>
            </w:r>
            <w:r>
              <w:rPr>
                <w:rFonts w:hint="eastAsia" w:ascii="Malgun Gothic" w:hAnsi="Malgun Gothic" w:eastAsia="Malgun Gothic" w:cs="Malgun Gothic"/>
                <w:szCs w:val="21"/>
              </w:rPr>
              <w:t>度</w:t>
            </w:r>
            <w:r>
              <w:rPr>
                <w:rFonts w:hint="eastAsia" w:ascii="宋体" w:hAnsi="宋体" w:eastAsia="宋体" w:cs="宋体"/>
                <w:szCs w:val="21"/>
              </w:rPr>
              <w:t>、成本、风险应对等事项进</w:t>
            </w:r>
            <w:r>
              <w:rPr>
                <w:rFonts w:hint="eastAsia" w:ascii="Malgun Gothic" w:hAnsi="Malgun Gothic" w:eastAsia="Malgun Gothic" w:cs="Malgun Gothic"/>
                <w:szCs w:val="21"/>
              </w:rPr>
              <w:t>行</w:t>
            </w:r>
            <w:r>
              <w:rPr>
                <w:rFonts w:hint="eastAsia" w:ascii="宋体" w:hAnsi="宋体" w:eastAsia="宋体" w:cs="宋体"/>
                <w:szCs w:val="21"/>
              </w:rPr>
              <w:t>确认，并在干系人之间达成共识。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8" w:type="dxa"/>
            <w:vAlign w:val="center"/>
          </w:tcPr>
          <w:p>
            <w:pPr>
              <w:jc w:val="center"/>
              <w:rPr>
                <w:rFonts w:ascii="宋体" w:hAnsi="宋体" w:eastAsia="宋体"/>
                <w:szCs w:val="21"/>
              </w:rPr>
            </w:pPr>
            <w:r>
              <w:rPr>
                <w:rFonts w:hint="eastAsia" w:ascii="宋体" w:hAnsi="宋体" w:eastAsia="宋体"/>
                <w:szCs w:val="21"/>
              </w:rPr>
              <w:t>焦点小组会议</w:t>
            </w:r>
          </w:p>
        </w:tc>
        <w:tc>
          <w:tcPr>
            <w:tcW w:w="1371" w:type="dxa"/>
            <w:vAlign w:val="center"/>
          </w:tcPr>
          <w:p>
            <w:pPr>
              <w:jc w:val="center"/>
              <w:rPr>
                <w:rFonts w:ascii="宋体" w:hAnsi="宋体" w:eastAsia="宋体"/>
                <w:szCs w:val="21"/>
              </w:rPr>
            </w:pPr>
            <w:r>
              <w:rPr>
                <w:rFonts w:ascii="宋体" w:hAnsi="宋体" w:eastAsia="宋体"/>
                <w:szCs w:val="21"/>
              </w:rPr>
              <w:t>F</w:t>
            </w:r>
            <w:r>
              <w:rPr>
                <w:rFonts w:hint="eastAsia" w:ascii="宋体" w:hAnsi="宋体" w:eastAsia="宋体"/>
                <w:szCs w:val="21"/>
              </w:rPr>
              <w:t>ocus</w:t>
            </w:r>
            <w:r>
              <w:rPr>
                <w:rFonts w:ascii="宋体" w:hAnsi="宋体" w:eastAsia="宋体"/>
                <w:szCs w:val="21"/>
              </w:rPr>
              <w:t xml:space="preserve"> </w:t>
            </w:r>
            <w:r>
              <w:rPr>
                <w:rFonts w:hint="eastAsia" w:ascii="宋体" w:hAnsi="宋体" w:eastAsia="宋体"/>
                <w:szCs w:val="21"/>
              </w:rPr>
              <w:t>groups</w:t>
            </w:r>
          </w:p>
        </w:tc>
        <w:tc>
          <w:tcPr>
            <w:tcW w:w="1906" w:type="dxa"/>
            <w:vAlign w:val="center"/>
          </w:tcPr>
          <w:p>
            <w:pPr>
              <w:jc w:val="center"/>
              <w:rPr>
                <w:rFonts w:ascii="宋体" w:hAnsi="宋体" w:eastAsia="宋体"/>
                <w:szCs w:val="21"/>
              </w:rPr>
            </w:pPr>
            <w:r>
              <w:rPr>
                <w:rFonts w:hint="eastAsia" w:ascii="宋体" w:hAnsi="宋体" w:eastAsia="宋体"/>
                <w:szCs w:val="21"/>
              </w:rPr>
              <w:t>干系人和主题专家一起会议</w:t>
            </w:r>
          </w:p>
          <w:p>
            <w:pPr>
              <w:jc w:val="center"/>
              <w:rPr>
                <w:rFonts w:ascii="宋体" w:hAnsi="宋体" w:eastAsia="宋体"/>
                <w:b/>
                <w:szCs w:val="21"/>
              </w:rPr>
            </w:pPr>
            <w:r>
              <w:rPr>
                <w:rFonts w:hint="eastAsia" w:ascii="宋体" w:hAnsi="宋体" w:eastAsia="宋体"/>
                <w:b/>
                <w:szCs w:val="21"/>
              </w:rPr>
              <w:t>收集需求</w:t>
            </w:r>
          </w:p>
        </w:tc>
        <w:tc>
          <w:tcPr>
            <w:tcW w:w="1134" w:type="dxa"/>
            <w:vAlign w:val="center"/>
          </w:tcPr>
          <w:p>
            <w:pPr>
              <w:jc w:val="center"/>
              <w:rPr>
                <w:rFonts w:ascii="宋体" w:hAnsi="宋体" w:eastAsia="宋体"/>
                <w:szCs w:val="21"/>
              </w:rPr>
            </w:pPr>
            <w:r>
              <w:rPr>
                <w:rFonts w:hint="eastAsia" w:ascii="宋体" w:hAnsi="宋体" w:eastAsia="宋体"/>
                <w:szCs w:val="21"/>
              </w:rPr>
              <w:t>收集需求</w:t>
            </w:r>
          </w:p>
        </w:tc>
        <w:tc>
          <w:tcPr>
            <w:tcW w:w="3787" w:type="dxa"/>
            <w:vAlign w:val="center"/>
          </w:tcPr>
          <w:p>
            <w:pPr>
              <w:snapToGrid w:val="0"/>
              <w:spacing w:line="160" w:lineRule="atLeast"/>
              <w:jc w:val="left"/>
              <w:rPr>
                <w:rFonts w:ascii="宋体" w:hAnsi="宋体" w:eastAsia="宋体"/>
                <w:szCs w:val="21"/>
              </w:rPr>
            </w:pPr>
            <w:r>
              <w:rPr>
                <w:rFonts w:hint="eastAsia" w:ascii="宋体" w:hAnsi="宋体" w:eastAsia="宋体"/>
                <w:szCs w:val="21"/>
              </w:rPr>
              <w:t>焦点小组是收集需求。</w:t>
            </w:r>
          </w:p>
          <w:p>
            <w:pPr>
              <w:snapToGrid w:val="0"/>
              <w:spacing w:line="160" w:lineRule="atLeast"/>
              <w:jc w:val="left"/>
              <w:rPr>
                <w:rFonts w:ascii="宋体" w:hAnsi="宋体" w:eastAsia="宋体"/>
                <w:szCs w:val="21"/>
              </w:rPr>
            </w:pPr>
            <w:r>
              <w:rPr>
                <w:rFonts w:ascii="宋体" w:hAnsi="宋体" w:eastAsia="宋体"/>
                <w:b/>
                <w:szCs w:val="21"/>
              </w:rPr>
              <w:t>名义小组技术</w:t>
            </w:r>
            <w:r>
              <w:rPr>
                <w:rFonts w:hint="eastAsia" w:ascii="宋体" w:hAnsi="宋体" w:eastAsia="宋体"/>
                <w:szCs w:val="21"/>
              </w:rPr>
              <w:t>，是一种群体决策/创新技术，</w:t>
            </w:r>
            <w:r>
              <w:rPr>
                <w:rFonts w:ascii="宋体" w:hAnsi="宋体" w:eastAsia="宋体"/>
                <w:szCs w:val="21"/>
              </w:rPr>
              <w:t>用于促进头脑风暴的一种技术，通过投票排列最有用的创意，以便进</w:t>
            </w:r>
            <w:r>
              <w:rPr>
                <w:rFonts w:hint="eastAsia" w:ascii="宋体" w:hAnsi="宋体" w:eastAsia="宋体"/>
                <w:szCs w:val="21"/>
              </w:rPr>
              <w:t>一步开展头脑风暴或优先排序。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8" w:type="dxa"/>
            <w:vAlign w:val="center"/>
          </w:tcPr>
          <w:p>
            <w:pPr>
              <w:jc w:val="center"/>
              <w:rPr>
                <w:rFonts w:ascii="宋体" w:hAnsi="宋体" w:eastAsia="宋体"/>
                <w:szCs w:val="21"/>
              </w:rPr>
            </w:pPr>
            <w:r>
              <w:rPr>
                <w:rFonts w:hint="eastAsia" w:ascii="宋体" w:hAnsi="宋体" w:eastAsia="宋体"/>
                <w:szCs w:val="21"/>
              </w:rPr>
              <w:t>引导式研究会</w:t>
            </w:r>
          </w:p>
        </w:tc>
        <w:tc>
          <w:tcPr>
            <w:tcW w:w="1371" w:type="dxa"/>
            <w:vAlign w:val="center"/>
          </w:tcPr>
          <w:p>
            <w:pPr>
              <w:jc w:val="center"/>
              <w:rPr>
                <w:rFonts w:ascii="宋体" w:hAnsi="宋体" w:eastAsia="宋体"/>
                <w:szCs w:val="21"/>
              </w:rPr>
            </w:pPr>
            <w:r>
              <w:rPr>
                <w:rFonts w:ascii="宋体" w:hAnsi="宋体" w:eastAsia="宋体"/>
                <w:szCs w:val="21"/>
              </w:rPr>
              <w:t>F</w:t>
            </w:r>
            <w:r>
              <w:rPr>
                <w:rFonts w:hint="eastAsia" w:ascii="宋体" w:hAnsi="宋体" w:eastAsia="宋体"/>
                <w:szCs w:val="21"/>
              </w:rPr>
              <w:t>acilitated</w:t>
            </w:r>
            <w:r>
              <w:rPr>
                <w:rFonts w:ascii="宋体" w:hAnsi="宋体" w:eastAsia="宋体"/>
                <w:szCs w:val="21"/>
              </w:rPr>
              <w:t xml:space="preserve"> </w:t>
            </w:r>
            <w:r>
              <w:rPr>
                <w:rFonts w:hint="eastAsia" w:ascii="宋体" w:hAnsi="宋体" w:eastAsia="宋体"/>
                <w:szCs w:val="21"/>
              </w:rPr>
              <w:t>workshops</w:t>
            </w:r>
          </w:p>
        </w:tc>
        <w:tc>
          <w:tcPr>
            <w:tcW w:w="1906" w:type="dxa"/>
            <w:vAlign w:val="center"/>
          </w:tcPr>
          <w:p>
            <w:pPr>
              <w:jc w:val="center"/>
              <w:rPr>
                <w:rFonts w:ascii="宋体" w:hAnsi="宋体" w:eastAsia="宋体"/>
                <w:szCs w:val="21"/>
              </w:rPr>
            </w:pPr>
            <w:r>
              <w:rPr>
                <w:rFonts w:hint="eastAsia" w:ascii="宋体" w:hAnsi="宋体" w:eastAsia="宋体"/>
                <w:szCs w:val="21"/>
              </w:rPr>
              <w:t>跨职能干系人与团队的会议</w:t>
            </w:r>
          </w:p>
          <w:p>
            <w:pPr>
              <w:jc w:val="center"/>
              <w:rPr>
                <w:rFonts w:ascii="宋体" w:hAnsi="宋体" w:eastAsia="宋体"/>
                <w:b/>
                <w:szCs w:val="21"/>
              </w:rPr>
            </w:pPr>
            <w:r>
              <w:rPr>
                <w:rFonts w:hint="eastAsia" w:ascii="宋体" w:hAnsi="宋体" w:eastAsia="宋体"/>
                <w:b/>
                <w:szCs w:val="21"/>
              </w:rPr>
              <w:t>收集需求</w:t>
            </w:r>
          </w:p>
        </w:tc>
        <w:tc>
          <w:tcPr>
            <w:tcW w:w="1134" w:type="dxa"/>
            <w:vAlign w:val="center"/>
          </w:tcPr>
          <w:p>
            <w:pPr>
              <w:jc w:val="center"/>
              <w:rPr>
                <w:rFonts w:ascii="宋体" w:hAnsi="宋体" w:eastAsia="宋体"/>
                <w:szCs w:val="21"/>
              </w:rPr>
            </w:pPr>
            <w:r>
              <w:rPr>
                <w:rFonts w:hint="eastAsia" w:ascii="宋体" w:hAnsi="宋体" w:eastAsia="宋体"/>
                <w:szCs w:val="21"/>
              </w:rPr>
              <w:t>收集需求</w:t>
            </w:r>
          </w:p>
        </w:tc>
        <w:tc>
          <w:tcPr>
            <w:tcW w:w="3787" w:type="dxa"/>
            <w:vAlign w:val="center"/>
          </w:tcPr>
          <w:p>
            <w:pPr>
              <w:snapToGrid w:val="0"/>
              <w:spacing w:line="160" w:lineRule="atLeast"/>
              <w:jc w:val="left"/>
              <w:rPr>
                <w:rFonts w:ascii="宋体" w:hAnsi="宋体" w:eastAsia="宋体"/>
                <w:szCs w:val="21"/>
              </w:rPr>
            </w:pPr>
            <w:r>
              <w:rPr>
                <w:rFonts w:hint="eastAsia" w:ascii="宋体" w:hAnsi="宋体" w:eastAsia="宋体"/>
                <w:szCs w:val="21"/>
              </w:rPr>
              <w:t>在软件业用“联合应用开发（</w:t>
            </w:r>
            <w:r>
              <w:rPr>
                <w:rFonts w:ascii="宋体" w:hAnsi="宋体" w:eastAsia="宋体"/>
                <w:szCs w:val="21"/>
              </w:rPr>
              <w:t>JAD）＂</w:t>
            </w:r>
            <w:r>
              <w:rPr>
                <w:rFonts w:hint="eastAsia" w:ascii="宋体" w:hAnsi="宋体" w:eastAsia="宋体"/>
                <w:szCs w:val="21"/>
              </w:rPr>
              <w:t>；在制造</w:t>
            </w:r>
            <w:r>
              <w:rPr>
                <w:rFonts w:hint="eastAsia" w:ascii="Malgun Gothic" w:hAnsi="Malgun Gothic" w:eastAsia="Malgun Gothic" w:cs="Malgun Gothic"/>
                <w:szCs w:val="21"/>
              </w:rPr>
              <w:t>行</w:t>
            </w:r>
            <w:r>
              <w:rPr>
                <w:rFonts w:hint="eastAsia" w:ascii="宋体" w:hAnsi="宋体" w:eastAsia="宋体" w:cs="宋体"/>
                <w:szCs w:val="21"/>
              </w:rPr>
              <w:t>业，则使用“质</w:t>
            </w:r>
            <w:r>
              <w:rPr>
                <w:rFonts w:hint="eastAsia" w:ascii="Malgun Gothic" w:hAnsi="Malgun Gothic" w:eastAsia="Malgun Gothic" w:cs="Malgun Gothic"/>
                <w:szCs w:val="21"/>
              </w:rPr>
              <w:t>量</w:t>
            </w:r>
            <w:r>
              <w:rPr>
                <w:rFonts w:hint="eastAsia" w:ascii="宋体" w:hAnsi="宋体" w:eastAsia="宋体" w:cs="宋体"/>
                <w:szCs w:val="21"/>
              </w:rPr>
              <w:t>功能展开（</w:t>
            </w:r>
            <w:r>
              <w:rPr>
                <w:rFonts w:ascii="宋体" w:hAnsi="宋体" w:eastAsia="宋体"/>
                <w:szCs w:val="21"/>
              </w:rPr>
              <w:t>QFD）＂</w:t>
            </w:r>
            <w:r>
              <w:rPr>
                <w:rFonts w:hint="eastAsia" w:ascii="宋体" w:hAnsi="宋体" w:eastAsia="宋体"/>
                <w:szCs w:val="21"/>
              </w:rPr>
              <w:t>。从收集客户需求（又称“顾客声音＂）开始，然后客观地对这些需求进</w:t>
            </w:r>
            <w:r>
              <w:rPr>
                <w:rFonts w:hint="eastAsia" w:ascii="Malgun Gothic" w:hAnsi="Malgun Gothic" w:eastAsia="Malgun Gothic" w:cs="Malgun Gothic"/>
                <w:szCs w:val="21"/>
              </w:rPr>
              <w:t>行</w:t>
            </w:r>
            <w:r>
              <w:rPr>
                <w:rFonts w:hint="eastAsia" w:ascii="宋体" w:hAnsi="宋体" w:eastAsia="宋体" w:cs="宋体"/>
                <w:szCs w:val="21"/>
              </w:rPr>
              <w:t>分类和排序，并为实现这些需求而设置目标。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8" w:type="dxa"/>
            <w:vAlign w:val="center"/>
          </w:tcPr>
          <w:p>
            <w:pPr>
              <w:jc w:val="center"/>
              <w:rPr>
                <w:rFonts w:ascii="宋体" w:hAnsi="宋体" w:eastAsia="宋体"/>
                <w:szCs w:val="21"/>
              </w:rPr>
            </w:pPr>
            <w:r>
              <w:rPr>
                <w:rFonts w:hint="eastAsia" w:ascii="宋体" w:hAnsi="宋体" w:eastAsia="宋体"/>
                <w:szCs w:val="21"/>
              </w:rPr>
              <w:t>规划会议与分析</w:t>
            </w:r>
          </w:p>
        </w:tc>
        <w:tc>
          <w:tcPr>
            <w:tcW w:w="1371" w:type="dxa"/>
            <w:vAlign w:val="center"/>
          </w:tcPr>
          <w:p>
            <w:pPr>
              <w:jc w:val="center"/>
              <w:rPr>
                <w:rFonts w:ascii="宋体" w:hAnsi="宋体" w:eastAsia="宋体"/>
                <w:szCs w:val="21"/>
              </w:rPr>
            </w:pPr>
            <w:r>
              <w:rPr>
                <w:rFonts w:ascii="宋体" w:hAnsi="宋体" w:eastAsia="宋体"/>
                <w:szCs w:val="21"/>
              </w:rPr>
              <w:t>P</w:t>
            </w:r>
            <w:r>
              <w:rPr>
                <w:rFonts w:hint="eastAsia" w:ascii="宋体" w:hAnsi="宋体" w:eastAsia="宋体"/>
                <w:szCs w:val="21"/>
              </w:rPr>
              <w:t>lanning</w:t>
            </w:r>
            <w:r>
              <w:rPr>
                <w:rFonts w:ascii="宋体" w:hAnsi="宋体" w:eastAsia="宋体"/>
                <w:szCs w:val="21"/>
              </w:rPr>
              <w:t xml:space="preserve"> </w:t>
            </w:r>
            <w:r>
              <w:rPr>
                <w:rFonts w:hint="eastAsia" w:ascii="宋体" w:hAnsi="宋体" w:eastAsia="宋体"/>
                <w:szCs w:val="21"/>
              </w:rPr>
              <w:t>meetings</w:t>
            </w:r>
            <w:r>
              <w:rPr>
                <w:rFonts w:ascii="宋体" w:hAnsi="宋体" w:eastAsia="宋体"/>
                <w:szCs w:val="21"/>
              </w:rPr>
              <w:t xml:space="preserve"> </w:t>
            </w:r>
            <w:r>
              <w:rPr>
                <w:rFonts w:hint="eastAsia" w:ascii="宋体" w:hAnsi="宋体" w:eastAsia="宋体"/>
                <w:szCs w:val="21"/>
              </w:rPr>
              <w:t>and</w:t>
            </w:r>
            <w:r>
              <w:rPr>
                <w:rFonts w:ascii="宋体" w:hAnsi="宋体" w:eastAsia="宋体"/>
                <w:szCs w:val="21"/>
              </w:rPr>
              <w:t xml:space="preserve"> </w:t>
            </w:r>
            <w:r>
              <w:rPr>
                <w:rFonts w:hint="eastAsia" w:ascii="宋体" w:hAnsi="宋体" w:eastAsia="宋体"/>
                <w:szCs w:val="21"/>
              </w:rPr>
              <w:t>analysis</w:t>
            </w:r>
          </w:p>
        </w:tc>
        <w:tc>
          <w:tcPr>
            <w:tcW w:w="1906" w:type="dxa"/>
            <w:vAlign w:val="center"/>
          </w:tcPr>
          <w:p>
            <w:pPr>
              <w:jc w:val="center"/>
              <w:rPr>
                <w:rFonts w:ascii="宋体" w:hAnsi="宋体" w:eastAsia="宋体"/>
                <w:szCs w:val="21"/>
              </w:rPr>
            </w:pPr>
            <w:r>
              <w:rPr>
                <w:rFonts w:hint="eastAsia" w:ascii="宋体" w:hAnsi="宋体" w:eastAsia="宋体"/>
                <w:szCs w:val="21"/>
              </w:rPr>
              <w:t>制定风险管理计划</w:t>
            </w:r>
          </w:p>
          <w:p>
            <w:pPr>
              <w:jc w:val="center"/>
              <w:rPr>
                <w:rFonts w:ascii="宋体" w:hAnsi="宋体" w:eastAsia="宋体"/>
                <w:szCs w:val="21"/>
              </w:rPr>
            </w:pPr>
            <w:r>
              <w:rPr>
                <w:rFonts w:hint="eastAsia" w:ascii="宋体" w:hAnsi="宋体" w:eastAsia="宋体"/>
                <w:szCs w:val="21"/>
              </w:rPr>
              <w:t>项目团队举行</w:t>
            </w:r>
          </w:p>
        </w:tc>
        <w:tc>
          <w:tcPr>
            <w:tcW w:w="1134" w:type="dxa"/>
            <w:vAlign w:val="center"/>
          </w:tcPr>
          <w:p>
            <w:pPr>
              <w:jc w:val="center"/>
              <w:rPr>
                <w:rFonts w:ascii="宋体" w:hAnsi="宋体" w:eastAsia="宋体"/>
                <w:szCs w:val="21"/>
              </w:rPr>
            </w:pPr>
            <w:r>
              <w:rPr>
                <w:rFonts w:hint="eastAsia" w:ascii="宋体" w:hAnsi="宋体" w:eastAsia="宋体"/>
                <w:szCs w:val="21"/>
              </w:rPr>
              <w:t>规划风险应对</w:t>
            </w:r>
          </w:p>
        </w:tc>
        <w:tc>
          <w:tcPr>
            <w:tcW w:w="3787" w:type="dxa"/>
            <w:vAlign w:val="center"/>
          </w:tcPr>
          <w:p>
            <w:pPr>
              <w:snapToGrid w:val="0"/>
              <w:spacing w:line="160" w:lineRule="atLeast"/>
              <w:jc w:val="left"/>
              <w:rPr>
                <w:rFonts w:ascii="宋体" w:hAnsi="宋体" w:eastAsia="宋体"/>
                <w:szCs w:val="21"/>
              </w:rPr>
            </w:pPr>
            <w:r>
              <w:rPr>
                <w:rFonts w:hint="eastAsia" w:ascii="宋体" w:hAnsi="宋体" w:eastAsia="宋体"/>
                <w:szCs w:val="21"/>
              </w:rPr>
              <w:t>会议确定实施风险管</w:t>
            </w:r>
            <w:r>
              <w:rPr>
                <w:rFonts w:hint="eastAsia" w:ascii="Malgun Gothic" w:hAnsi="Malgun Gothic" w:eastAsia="Malgun Gothic" w:cs="Malgun Gothic"/>
                <w:szCs w:val="21"/>
              </w:rPr>
              <w:t>理</w:t>
            </w:r>
            <w:r>
              <w:rPr>
                <w:rFonts w:hint="eastAsia" w:ascii="宋体" w:hAnsi="宋体" w:eastAsia="宋体" w:cs="宋体"/>
                <w:szCs w:val="21"/>
              </w:rPr>
              <w:t>活动的总体计划；确定用于风险管</w:t>
            </w:r>
            <w:r>
              <w:rPr>
                <w:rFonts w:hint="eastAsia" w:ascii="Malgun Gothic" w:hAnsi="Malgun Gothic" w:eastAsia="Malgun Gothic" w:cs="Malgun Gothic"/>
                <w:szCs w:val="21"/>
              </w:rPr>
              <w:t>理</w:t>
            </w:r>
            <w:r>
              <w:rPr>
                <w:rFonts w:hint="eastAsia" w:ascii="宋体" w:hAnsi="宋体" w:eastAsia="宋体" w:cs="宋体"/>
                <w:szCs w:val="21"/>
              </w:rPr>
              <w:t>的成本种类和进</w:t>
            </w:r>
            <w:r>
              <w:rPr>
                <w:rFonts w:hint="eastAsia" w:ascii="Malgun Gothic" w:hAnsi="Malgun Gothic" w:eastAsia="Malgun Gothic" w:cs="Malgun Gothic"/>
                <w:szCs w:val="21"/>
              </w:rPr>
              <w:t>度</w:t>
            </w:r>
            <w:r>
              <w:rPr>
                <w:rFonts w:hint="eastAsia" w:ascii="宋体" w:hAnsi="宋体" w:eastAsia="宋体" w:cs="宋体"/>
                <w:szCs w:val="21"/>
              </w:rPr>
              <w:t>活动，并将其分别纳入项目的预算和进</w:t>
            </w:r>
            <w:r>
              <w:rPr>
                <w:rFonts w:hint="eastAsia" w:ascii="Malgun Gothic" w:hAnsi="Malgun Gothic" w:eastAsia="Malgun Gothic" w:cs="Malgun Gothic"/>
                <w:szCs w:val="21"/>
              </w:rPr>
              <w:t>度</w:t>
            </w:r>
            <w:r>
              <w:rPr>
                <w:rFonts w:hint="eastAsia" w:ascii="宋体" w:hAnsi="宋体" w:eastAsia="宋体" w:cs="宋体"/>
                <w:szCs w:val="21"/>
              </w:rPr>
              <w:t>计划中；建</w:t>
            </w:r>
            <w:r>
              <w:rPr>
                <w:rFonts w:hint="eastAsia" w:ascii="Malgun Gothic" w:hAnsi="Malgun Gothic" w:eastAsia="Malgun Gothic" w:cs="Malgun Gothic"/>
                <w:szCs w:val="21"/>
              </w:rPr>
              <w:t>立</w:t>
            </w:r>
            <w:r>
              <w:rPr>
                <w:rFonts w:hint="eastAsia" w:ascii="宋体" w:hAnsi="宋体" w:eastAsia="宋体" w:cs="宋体"/>
                <w:szCs w:val="21"/>
              </w:rPr>
              <w:t>或评审风险应急储备的使用方法；分配风险管</w:t>
            </w:r>
            <w:r>
              <w:rPr>
                <w:rFonts w:hint="eastAsia" w:ascii="Malgun Gothic" w:hAnsi="Malgun Gothic" w:eastAsia="Malgun Gothic" w:cs="Malgun Gothic"/>
                <w:szCs w:val="21"/>
              </w:rPr>
              <w:t>理</w:t>
            </w:r>
            <w:r>
              <w:rPr>
                <w:rFonts w:hint="eastAsia" w:ascii="宋体" w:hAnsi="宋体" w:eastAsia="宋体" w:cs="宋体"/>
                <w:szCs w:val="21"/>
              </w:rPr>
              <w:t>职责；并根据具体项目的需要，来“剪裁＂组织中有关风险类别和术语定义等的通用模板。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8" w:type="dxa"/>
            <w:vAlign w:val="center"/>
          </w:tcPr>
          <w:p>
            <w:pPr>
              <w:jc w:val="center"/>
              <w:rPr>
                <w:rFonts w:ascii="宋体" w:hAnsi="宋体" w:eastAsia="宋体"/>
                <w:szCs w:val="21"/>
              </w:rPr>
            </w:pPr>
            <w:r>
              <w:rPr>
                <w:rFonts w:hint="eastAsia" w:ascii="宋体" w:hAnsi="宋体" w:eastAsia="宋体"/>
                <w:szCs w:val="21"/>
              </w:rPr>
              <w:t>状态（审查）会议</w:t>
            </w:r>
          </w:p>
          <w:p>
            <w:pPr>
              <w:jc w:val="center"/>
              <w:rPr>
                <w:rFonts w:ascii="宋体" w:hAnsi="宋体" w:eastAsia="宋体"/>
                <w:szCs w:val="21"/>
              </w:rPr>
            </w:pPr>
            <w:r>
              <w:rPr>
                <w:rFonts w:hint="eastAsia" w:ascii="宋体" w:hAnsi="宋体" w:eastAsia="宋体"/>
                <w:szCs w:val="21"/>
              </w:rPr>
              <w:t>状态评审会议</w:t>
            </w:r>
          </w:p>
          <w:p>
            <w:pPr>
              <w:jc w:val="center"/>
              <w:rPr>
                <w:rFonts w:ascii="宋体" w:hAnsi="宋体" w:eastAsia="宋体"/>
                <w:szCs w:val="21"/>
              </w:rPr>
            </w:pPr>
            <w:r>
              <w:rPr>
                <w:rFonts w:hint="eastAsia" w:ascii="宋体" w:hAnsi="宋体" w:eastAsia="宋体"/>
                <w:szCs w:val="21"/>
              </w:rPr>
              <w:t>项目状态会议</w:t>
            </w:r>
          </w:p>
        </w:tc>
        <w:tc>
          <w:tcPr>
            <w:tcW w:w="1371" w:type="dxa"/>
            <w:vAlign w:val="center"/>
          </w:tcPr>
          <w:p>
            <w:pPr>
              <w:jc w:val="center"/>
              <w:rPr>
                <w:rFonts w:ascii="宋体" w:hAnsi="宋体" w:eastAsia="宋体"/>
                <w:szCs w:val="21"/>
              </w:rPr>
            </w:pPr>
            <w:r>
              <w:rPr>
                <w:rFonts w:ascii="宋体" w:hAnsi="宋体" w:eastAsia="宋体"/>
                <w:szCs w:val="21"/>
              </w:rPr>
              <w:t>S</w:t>
            </w:r>
            <w:r>
              <w:rPr>
                <w:rFonts w:hint="eastAsia" w:ascii="宋体" w:hAnsi="宋体" w:eastAsia="宋体"/>
                <w:szCs w:val="21"/>
              </w:rPr>
              <w:t>tatus（review）meetings</w:t>
            </w:r>
          </w:p>
        </w:tc>
        <w:tc>
          <w:tcPr>
            <w:tcW w:w="1906" w:type="dxa"/>
            <w:vAlign w:val="center"/>
          </w:tcPr>
          <w:p>
            <w:pPr>
              <w:jc w:val="left"/>
              <w:rPr>
                <w:rFonts w:ascii="宋体" w:hAnsi="宋体" w:eastAsia="宋体"/>
                <w:szCs w:val="21"/>
              </w:rPr>
            </w:pPr>
            <w:r>
              <w:rPr>
                <w:rFonts w:hint="eastAsia" w:ascii="宋体" w:hAnsi="宋体" w:eastAsia="宋体"/>
                <w:szCs w:val="21"/>
              </w:rPr>
              <w:t>交流和分析有关干系人参与的信息</w:t>
            </w:r>
          </w:p>
          <w:p>
            <w:pPr>
              <w:jc w:val="center"/>
              <w:rPr>
                <w:rFonts w:ascii="宋体" w:hAnsi="宋体" w:eastAsia="宋体"/>
                <w:szCs w:val="21"/>
              </w:rPr>
            </w:pPr>
            <w:r>
              <w:rPr>
                <w:rFonts w:hint="eastAsia" w:ascii="宋体" w:hAnsi="宋体" w:eastAsia="宋体"/>
                <w:szCs w:val="21"/>
              </w:rPr>
              <w:t>项目进展沟通</w:t>
            </w:r>
          </w:p>
          <w:p>
            <w:pPr>
              <w:jc w:val="center"/>
              <w:rPr>
                <w:rFonts w:ascii="宋体" w:hAnsi="宋体" w:eastAsia="宋体"/>
                <w:szCs w:val="21"/>
              </w:rPr>
            </w:pPr>
            <w:r>
              <w:rPr>
                <w:rFonts w:hint="eastAsia" w:ascii="宋体" w:hAnsi="宋体" w:eastAsia="宋体"/>
                <w:szCs w:val="21"/>
              </w:rPr>
              <w:t>风险管理</w:t>
            </w:r>
          </w:p>
        </w:tc>
        <w:tc>
          <w:tcPr>
            <w:tcW w:w="1134" w:type="dxa"/>
            <w:vAlign w:val="center"/>
          </w:tcPr>
          <w:p>
            <w:pPr>
              <w:jc w:val="center"/>
              <w:rPr>
                <w:rFonts w:ascii="宋体" w:hAnsi="宋体" w:eastAsia="宋体"/>
                <w:szCs w:val="21"/>
              </w:rPr>
            </w:pPr>
            <w:r>
              <w:rPr>
                <w:rFonts w:hint="eastAsia" w:ascii="宋体" w:hAnsi="宋体" w:eastAsia="宋体"/>
                <w:szCs w:val="21"/>
              </w:rPr>
              <w:t>沟通计划</w:t>
            </w:r>
            <w:r>
              <w:rPr>
                <w:rFonts w:ascii="宋体" w:hAnsi="宋体" w:eastAsia="宋体"/>
                <w:szCs w:val="21"/>
              </w:rPr>
              <w:t>/报告绩效</w:t>
            </w:r>
          </w:p>
          <w:p>
            <w:pPr>
              <w:jc w:val="center"/>
              <w:rPr>
                <w:rFonts w:ascii="宋体" w:hAnsi="宋体" w:eastAsia="宋体"/>
                <w:szCs w:val="21"/>
              </w:rPr>
            </w:pPr>
            <w:r>
              <w:rPr>
                <w:rFonts w:ascii="宋体" w:hAnsi="宋体" w:eastAsia="宋体"/>
                <w:szCs w:val="21"/>
              </w:rPr>
              <w:t>监控风险</w:t>
            </w:r>
          </w:p>
        </w:tc>
        <w:tc>
          <w:tcPr>
            <w:tcW w:w="3787" w:type="dxa"/>
            <w:vAlign w:val="center"/>
          </w:tcPr>
          <w:p>
            <w:pPr>
              <w:snapToGrid w:val="0"/>
              <w:spacing w:line="160" w:lineRule="atLeast"/>
              <w:jc w:val="left"/>
              <w:rPr>
                <w:rFonts w:ascii="宋体" w:hAnsi="宋体" w:eastAsia="宋体"/>
                <w:szCs w:val="21"/>
              </w:rPr>
            </w:pPr>
            <w:r>
              <w:rPr>
                <w:rFonts w:hint="eastAsia" w:ascii="宋体" w:hAnsi="宋体" w:eastAsia="宋体"/>
                <w:szCs w:val="21"/>
              </w:rPr>
              <w:t>越经常开展风险管</w:t>
            </w:r>
            <w:r>
              <w:rPr>
                <w:rFonts w:hint="eastAsia" w:ascii="Malgun Gothic" w:hAnsi="Malgun Gothic" w:eastAsia="Malgun Gothic" w:cs="Malgun Gothic"/>
                <w:szCs w:val="21"/>
              </w:rPr>
              <w:t>理</w:t>
            </w:r>
            <w:r>
              <w:rPr>
                <w:rFonts w:hint="eastAsia" w:ascii="宋体" w:hAnsi="宋体" w:eastAsia="宋体" w:cs="宋体"/>
                <w:szCs w:val="21"/>
              </w:rPr>
              <w:t>，风险管</w:t>
            </w:r>
            <w:r>
              <w:rPr>
                <w:rFonts w:hint="eastAsia" w:ascii="Malgun Gothic" w:hAnsi="Malgun Gothic" w:eastAsia="Malgun Gothic" w:cs="Malgun Gothic"/>
                <w:szCs w:val="21"/>
              </w:rPr>
              <w:t>理</w:t>
            </w:r>
            <w:r>
              <w:rPr>
                <w:rFonts w:hint="eastAsia" w:ascii="宋体" w:hAnsi="宋体" w:eastAsia="宋体" w:cs="宋体"/>
                <w:szCs w:val="21"/>
              </w:rPr>
              <w:t>就会变得越容</w:t>
            </w:r>
            <w:r>
              <w:rPr>
                <w:rFonts w:hint="eastAsia" w:ascii="Malgun Gothic" w:hAnsi="Malgun Gothic" w:eastAsia="Malgun Gothic" w:cs="Malgun Gothic"/>
                <w:szCs w:val="21"/>
              </w:rPr>
              <w:t>易</w:t>
            </w:r>
            <w:r>
              <w:rPr>
                <w:rFonts w:hint="eastAsia" w:ascii="宋体" w:hAnsi="宋体" w:eastAsia="宋体" w:cs="宋体"/>
                <w:szCs w:val="21"/>
              </w:rPr>
              <w:t>。经常讨论风险，可以促使人们识别风险和机会。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8" w:type="dxa"/>
            <w:vAlign w:val="center"/>
          </w:tcPr>
          <w:p>
            <w:pPr>
              <w:jc w:val="center"/>
              <w:rPr>
                <w:rFonts w:ascii="宋体" w:hAnsi="宋体" w:eastAsia="宋体"/>
                <w:szCs w:val="21"/>
              </w:rPr>
            </w:pPr>
            <w:r>
              <w:rPr>
                <w:rFonts w:hint="eastAsia" w:ascii="宋体" w:hAnsi="宋体" w:eastAsia="宋体"/>
                <w:szCs w:val="21"/>
              </w:rPr>
              <w:t>投标人会议</w:t>
            </w:r>
          </w:p>
        </w:tc>
        <w:tc>
          <w:tcPr>
            <w:tcW w:w="1371" w:type="dxa"/>
            <w:vAlign w:val="center"/>
          </w:tcPr>
          <w:p>
            <w:pPr>
              <w:jc w:val="center"/>
              <w:rPr>
                <w:rFonts w:ascii="宋体" w:hAnsi="宋体" w:eastAsia="宋体"/>
                <w:szCs w:val="21"/>
              </w:rPr>
            </w:pPr>
            <w:r>
              <w:rPr>
                <w:rFonts w:ascii="宋体" w:hAnsi="宋体" w:eastAsia="宋体"/>
                <w:szCs w:val="21"/>
              </w:rPr>
              <w:t>B</w:t>
            </w:r>
            <w:r>
              <w:rPr>
                <w:rFonts w:hint="eastAsia" w:ascii="宋体" w:hAnsi="宋体" w:eastAsia="宋体"/>
                <w:szCs w:val="21"/>
              </w:rPr>
              <w:t>idder</w:t>
            </w:r>
            <w:r>
              <w:rPr>
                <w:rFonts w:ascii="宋体" w:hAnsi="宋体" w:eastAsia="宋体"/>
                <w:szCs w:val="21"/>
              </w:rPr>
              <w:t xml:space="preserve"> </w:t>
            </w:r>
            <w:r>
              <w:rPr>
                <w:rFonts w:hint="eastAsia" w:ascii="宋体" w:hAnsi="宋体" w:eastAsia="宋体"/>
                <w:szCs w:val="21"/>
              </w:rPr>
              <w:t>conferences</w:t>
            </w:r>
          </w:p>
        </w:tc>
        <w:tc>
          <w:tcPr>
            <w:tcW w:w="1906" w:type="dxa"/>
            <w:vAlign w:val="center"/>
          </w:tcPr>
          <w:p>
            <w:pPr>
              <w:jc w:val="center"/>
              <w:rPr>
                <w:rFonts w:ascii="宋体" w:hAnsi="宋体" w:eastAsia="宋体"/>
                <w:szCs w:val="21"/>
              </w:rPr>
            </w:pPr>
            <w:r>
              <w:rPr>
                <w:rFonts w:hint="eastAsia" w:ascii="宋体" w:hAnsi="宋体" w:eastAsia="宋体"/>
                <w:szCs w:val="21"/>
              </w:rPr>
              <w:t>保证所有潜在卖方对技术要求及合同要求有清楚且一致的理解，公平公正</w:t>
            </w:r>
          </w:p>
        </w:tc>
        <w:tc>
          <w:tcPr>
            <w:tcW w:w="1134" w:type="dxa"/>
            <w:vAlign w:val="center"/>
          </w:tcPr>
          <w:p>
            <w:pPr>
              <w:jc w:val="center"/>
              <w:rPr>
                <w:rFonts w:ascii="宋体" w:hAnsi="宋体" w:eastAsia="宋体"/>
                <w:szCs w:val="21"/>
              </w:rPr>
            </w:pPr>
            <w:r>
              <w:rPr>
                <w:rFonts w:hint="eastAsia" w:ascii="宋体" w:hAnsi="宋体" w:eastAsia="宋体"/>
                <w:szCs w:val="21"/>
              </w:rPr>
              <w:t>投标书或建议书提交之前</w:t>
            </w:r>
          </w:p>
        </w:tc>
        <w:tc>
          <w:tcPr>
            <w:tcW w:w="3787" w:type="dxa"/>
            <w:vAlign w:val="center"/>
          </w:tcPr>
          <w:p>
            <w:pPr>
              <w:snapToGrid w:val="0"/>
              <w:spacing w:line="160" w:lineRule="atLeast"/>
              <w:jc w:val="left"/>
              <w:rPr>
                <w:rFonts w:ascii="宋体" w:hAnsi="宋体" w:eastAsia="宋体"/>
                <w:szCs w:val="21"/>
              </w:rPr>
            </w:pPr>
            <w:r>
              <w:rPr>
                <w:rFonts w:hint="eastAsia" w:ascii="宋体" w:hAnsi="宋体" w:eastAsia="宋体"/>
                <w:szCs w:val="21"/>
              </w:rPr>
              <w:t>（</w:t>
            </w:r>
            <w:r>
              <w:rPr>
                <w:rFonts w:ascii="宋体" w:hAnsi="宋体" w:eastAsia="宋体"/>
                <w:szCs w:val="21"/>
              </w:rPr>
              <w:t>1）要把对问题的回答，以修正案的形式纳入采购文件。（2）买方必须尽</w:t>
            </w:r>
            <w:r>
              <w:rPr>
                <w:rFonts w:hint="eastAsia" w:ascii="Malgun Gothic" w:hAnsi="Malgun Gothic" w:eastAsia="Malgun Gothic" w:cs="Malgun Gothic"/>
                <w:szCs w:val="21"/>
              </w:rPr>
              <w:t>力</w:t>
            </w:r>
            <w:r>
              <w:rPr>
                <w:rFonts w:hint="eastAsia" w:ascii="宋体" w:hAnsi="宋体" w:eastAsia="宋体" w:cs="宋体"/>
                <w:szCs w:val="21"/>
              </w:rPr>
              <w:t>确保每个潜在卖方都能听到任何其他卖方所提出的问题，以及买方所做出的每一个回答。（</w:t>
            </w:r>
            <w:r>
              <w:rPr>
                <w:rFonts w:ascii="宋体" w:hAnsi="宋体" w:eastAsia="宋体"/>
                <w:szCs w:val="21"/>
              </w:rPr>
              <w:t xml:space="preserve">3）时刻关注这样的一个问题：让所有的潜在买方得到的信息都是一样的，让所有潜在买方处于同一起跑线上，真正发挥招投标的作用。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8" w:type="dxa"/>
            <w:vAlign w:val="center"/>
          </w:tcPr>
          <w:p>
            <w:pPr>
              <w:jc w:val="center"/>
              <w:rPr>
                <w:rFonts w:ascii="宋体" w:hAnsi="宋体" w:eastAsia="宋体"/>
                <w:szCs w:val="21"/>
              </w:rPr>
            </w:pPr>
            <w:r>
              <w:rPr>
                <w:rFonts w:hint="eastAsia" w:ascii="宋体" w:hAnsi="宋体" w:eastAsia="宋体"/>
                <w:szCs w:val="21"/>
              </w:rPr>
              <w:t>评估会议、经验教训总结会议</w:t>
            </w:r>
          </w:p>
        </w:tc>
        <w:tc>
          <w:tcPr>
            <w:tcW w:w="1371" w:type="dxa"/>
            <w:vAlign w:val="center"/>
          </w:tcPr>
          <w:p>
            <w:pPr>
              <w:jc w:val="center"/>
              <w:rPr>
                <w:rFonts w:ascii="宋体" w:hAnsi="宋体" w:eastAsia="宋体"/>
                <w:szCs w:val="21"/>
              </w:rPr>
            </w:pPr>
          </w:p>
        </w:tc>
        <w:tc>
          <w:tcPr>
            <w:tcW w:w="1906" w:type="dxa"/>
            <w:vAlign w:val="center"/>
          </w:tcPr>
          <w:p>
            <w:pPr>
              <w:jc w:val="center"/>
              <w:rPr>
                <w:rFonts w:ascii="宋体" w:hAnsi="宋体" w:eastAsia="宋体"/>
                <w:szCs w:val="21"/>
              </w:rPr>
            </w:pPr>
            <w:r>
              <w:rPr>
                <w:rFonts w:hint="eastAsia" w:ascii="宋体" w:hAnsi="宋体" w:eastAsia="宋体"/>
                <w:szCs w:val="21"/>
              </w:rPr>
              <w:t>总结经验教训/组织过程资产沉淀</w:t>
            </w:r>
          </w:p>
        </w:tc>
        <w:tc>
          <w:tcPr>
            <w:tcW w:w="1134" w:type="dxa"/>
            <w:vAlign w:val="center"/>
          </w:tcPr>
          <w:p>
            <w:pPr>
              <w:jc w:val="center"/>
              <w:rPr>
                <w:rFonts w:ascii="宋体" w:hAnsi="宋体" w:eastAsia="宋体"/>
                <w:szCs w:val="21"/>
              </w:rPr>
            </w:pPr>
            <w:r>
              <w:rPr>
                <w:rFonts w:hint="eastAsia" w:ascii="宋体" w:hAnsi="宋体" w:eastAsia="宋体"/>
                <w:szCs w:val="21"/>
              </w:rPr>
              <w:t>结束项目或阶段</w:t>
            </w:r>
          </w:p>
        </w:tc>
        <w:tc>
          <w:tcPr>
            <w:tcW w:w="3787" w:type="dxa"/>
            <w:vAlign w:val="center"/>
          </w:tcPr>
          <w:p>
            <w:pPr>
              <w:snapToGrid w:val="0"/>
              <w:spacing w:line="160" w:lineRule="atLeast"/>
              <w:jc w:val="left"/>
              <w:rPr>
                <w:rFonts w:ascii="宋体" w:hAnsi="宋体" w:eastAsia="宋体"/>
                <w:szCs w:val="21"/>
              </w:rPr>
            </w:pPr>
            <w:r>
              <w:rPr>
                <w:rFonts w:ascii="宋体" w:hAnsi="宋体" w:eastAsia="宋体"/>
                <w:szCs w:val="21"/>
              </w:rPr>
              <w:t>1经验教训总结，人人需要参加。2参与：项目干系人。3编写：项目团队（包括项目经</w:t>
            </w:r>
            <w:r>
              <w:rPr>
                <w:rFonts w:hint="eastAsia" w:ascii="Malgun Gothic" w:hAnsi="Malgun Gothic" w:eastAsia="Malgun Gothic" w:cs="Malgun Gothic"/>
                <w:szCs w:val="21"/>
              </w:rPr>
              <w:t>理</w:t>
            </w:r>
            <w:r>
              <w:rPr>
                <w:rFonts w:hint="eastAsia" w:ascii="宋体" w:hAnsi="宋体" w:eastAsia="宋体" w:cs="宋体"/>
                <w:szCs w:val="21"/>
              </w:rPr>
              <w:t>）。</w:t>
            </w:r>
            <w:r>
              <w:rPr>
                <w:rFonts w:ascii="宋体" w:hAnsi="宋体" w:eastAsia="宋体"/>
                <w:szCs w:val="21"/>
              </w:rPr>
              <w:t>4负责：项目经</w:t>
            </w:r>
            <w:r>
              <w:rPr>
                <w:rFonts w:hint="eastAsia" w:ascii="Malgun Gothic" w:hAnsi="Malgun Gothic" w:eastAsia="Malgun Gothic" w:cs="Malgun Gothic"/>
                <w:szCs w:val="21"/>
              </w:rPr>
              <w:t>理</w:t>
            </w:r>
            <w:r>
              <w:rPr>
                <w:rFonts w:hint="eastAsia" w:ascii="宋体" w:hAnsi="宋体" w:eastAsia="宋体" w:cs="宋体"/>
                <w:szCs w:val="21"/>
              </w:rPr>
              <w:t>。</w:t>
            </w:r>
            <w:r>
              <w:rPr>
                <w:rFonts w:ascii="宋体" w:hAnsi="宋体" w:eastAsia="宋体"/>
                <w:szCs w:val="21"/>
              </w:rPr>
              <w:t>5归档：PMO。</w:t>
            </w:r>
          </w:p>
        </w:tc>
      </w:tr>
    </w:tbl>
    <w:p>
      <w:pPr>
        <w:pStyle w:val="5"/>
        <w:numPr>
          <w:ilvl w:val="0"/>
          <w:numId w:val="1"/>
        </w:numPr>
        <w:jc w:val="left"/>
      </w:pPr>
      <w:r>
        <w:rPr>
          <w:rFonts w:hint="eastAsia"/>
        </w:rPr>
        <w:t>变更请求、变更日志、问题日志。</w:t>
      </w:r>
    </w:p>
    <w:p>
      <w:pPr>
        <w:spacing w:line="360" w:lineRule="auto"/>
        <w:ind w:firstLine="420" w:firstLineChars="175"/>
        <w:rPr>
          <w:rFonts w:ascii="宋体" w:hAnsi="宋体" w:eastAsia="宋体"/>
          <w:sz w:val="24"/>
          <w:szCs w:val="24"/>
        </w:rPr>
      </w:pPr>
      <w:r>
        <w:rPr>
          <w:rFonts w:hint="eastAsia" w:ascii="宋体" w:hAnsi="宋体" w:eastAsia="宋体"/>
          <w:sz w:val="24"/>
          <w:szCs w:val="24"/>
        </w:rPr>
        <w:t>变更请求需经过实施整体变更控制（见</w:t>
      </w:r>
      <w:r>
        <w:rPr>
          <w:rFonts w:ascii="宋体" w:hAnsi="宋体" w:eastAsia="宋体"/>
          <w:sz w:val="24"/>
          <w:szCs w:val="24"/>
        </w:rPr>
        <w:t xml:space="preserve"> 4.5 节）的审查和处</w:t>
      </w:r>
      <w:r>
        <w:rPr>
          <w:rFonts w:hint="eastAsia" w:ascii="宋体" w:hAnsi="宋体" w:eastAsia="宋体"/>
          <w:sz w:val="24"/>
          <w:szCs w:val="24"/>
        </w:rPr>
        <w:t>理。</w:t>
      </w:r>
    </w:p>
    <w:p>
      <w:pPr>
        <w:pStyle w:val="5"/>
        <w:numPr>
          <w:ilvl w:val="0"/>
          <w:numId w:val="1"/>
        </w:numPr>
        <w:jc w:val="left"/>
      </w:pPr>
      <w:r>
        <w:rPr>
          <w:rFonts w:hint="eastAsia"/>
        </w:rPr>
        <w:t>变更处理流程</w:t>
      </w:r>
    </w:p>
    <w:p>
      <w:pPr>
        <w:jc w:val="center"/>
      </w:pPr>
      <w:r>
        <w:drawing>
          <wp:inline distT="0" distB="0" distL="0" distR="0">
            <wp:extent cx="5081270" cy="4831080"/>
            <wp:effectExtent l="0" t="0" r="5080" b="7620"/>
            <wp:docPr id="2" name="图片 2" descr="E:\TOPS工作文档\2016年下半年PMP认证考试\变更处理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TOPS工作文档\2016年下半年PMP认证考试\变更处理流程图.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081270" cy="4831080"/>
                    </a:xfrm>
                    <a:prstGeom prst="rect">
                      <a:avLst/>
                    </a:prstGeom>
                    <a:noFill/>
                    <a:ln>
                      <a:noFill/>
                    </a:ln>
                  </pic:spPr>
                </pic:pic>
              </a:graphicData>
            </a:graphic>
          </wp:inline>
        </w:drawing>
      </w:r>
    </w:p>
    <w:p>
      <w:pPr>
        <w:pStyle w:val="5"/>
        <w:numPr>
          <w:ilvl w:val="0"/>
          <w:numId w:val="1"/>
        </w:numPr>
        <w:jc w:val="left"/>
      </w:pPr>
      <w:r>
        <w:rPr>
          <w:rFonts w:hint="eastAsia"/>
        </w:rPr>
        <w:t>变更请求的五种应对措施区分：</w:t>
      </w:r>
    </w:p>
    <w:tbl>
      <w:tblPr>
        <w:tblStyle w:val="8"/>
        <w:tblW w:w="97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86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spacing w:line="360" w:lineRule="auto"/>
              <w:jc w:val="center"/>
              <w:rPr>
                <w:rFonts w:ascii="宋体" w:hAnsi="宋体" w:eastAsia="宋体"/>
                <w:b/>
                <w:szCs w:val="21"/>
              </w:rPr>
            </w:pPr>
            <w:r>
              <w:rPr>
                <w:rFonts w:hint="eastAsia" w:ascii="宋体" w:hAnsi="宋体" w:eastAsia="宋体"/>
                <w:b/>
                <w:szCs w:val="21"/>
              </w:rPr>
              <w:t>名称</w:t>
            </w:r>
          </w:p>
        </w:tc>
        <w:tc>
          <w:tcPr>
            <w:tcW w:w="8607" w:type="dxa"/>
          </w:tcPr>
          <w:p>
            <w:pPr>
              <w:spacing w:line="360" w:lineRule="auto"/>
              <w:jc w:val="center"/>
              <w:rPr>
                <w:rFonts w:ascii="宋体" w:hAnsi="宋体" w:eastAsia="宋体"/>
                <w:b/>
                <w:szCs w:val="21"/>
              </w:rPr>
            </w:pPr>
            <w:r>
              <w:rPr>
                <w:rFonts w:hint="eastAsia" w:ascii="宋体" w:hAnsi="宋体" w:eastAsia="宋体"/>
                <w:b/>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spacing w:line="360" w:lineRule="auto"/>
              <w:rPr>
                <w:rFonts w:ascii="宋体" w:hAnsi="宋体" w:eastAsia="宋体"/>
                <w:szCs w:val="21"/>
              </w:rPr>
            </w:pPr>
            <w:r>
              <w:rPr>
                <w:rFonts w:hint="eastAsia" w:ascii="宋体" w:hAnsi="宋体" w:eastAsia="宋体"/>
                <w:szCs w:val="21"/>
              </w:rPr>
              <w:t>预防措施</w:t>
            </w:r>
          </w:p>
        </w:tc>
        <w:tc>
          <w:tcPr>
            <w:tcW w:w="8607" w:type="dxa"/>
          </w:tcPr>
          <w:p>
            <w:pPr>
              <w:spacing w:line="360" w:lineRule="auto"/>
              <w:rPr>
                <w:rFonts w:ascii="宋体" w:hAnsi="宋体" w:eastAsia="宋体"/>
                <w:szCs w:val="21"/>
              </w:rPr>
            </w:pPr>
            <w:r>
              <w:rPr>
                <w:rFonts w:hint="eastAsia" w:ascii="宋体" w:hAnsi="宋体" w:eastAsia="宋体"/>
                <w:szCs w:val="21"/>
              </w:rPr>
              <w:t>是指为确保项目工作的</w:t>
            </w:r>
            <w:r>
              <w:rPr>
                <w:rFonts w:hint="eastAsia" w:ascii="宋体" w:hAnsi="宋体" w:eastAsia="宋体"/>
                <w:b/>
                <w:szCs w:val="21"/>
              </w:rPr>
              <w:t>未来绩效</w:t>
            </w:r>
            <w:r>
              <w:rPr>
                <w:rFonts w:hint="eastAsia" w:ascii="宋体" w:hAnsi="宋体" w:eastAsia="宋体"/>
                <w:szCs w:val="21"/>
              </w:rPr>
              <w:t>符合项目管理计划而进行的有目的的活动。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spacing w:line="360" w:lineRule="auto"/>
              <w:rPr>
                <w:rFonts w:ascii="宋体" w:hAnsi="宋体" w:eastAsia="宋体"/>
                <w:szCs w:val="21"/>
              </w:rPr>
            </w:pPr>
            <w:r>
              <w:rPr>
                <w:rFonts w:hint="eastAsia" w:ascii="宋体" w:hAnsi="宋体" w:eastAsia="宋体"/>
                <w:szCs w:val="21"/>
              </w:rPr>
              <w:t>纠正措施</w:t>
            </w:r>
          </w:p>
        </w:tc>
        <w:tc>
          <w:tcPr>
            <w:tcW w:w="8607" w:type="dxa"/>
          </w:tcPr>
          <w:p>
            <w:pPr>
              <w:spacing w:line="360" w:lineRule="auto"/>
              <w:rPr>
                <w:rFonts w:ascii="宋体" w:hAnsi="宋体" w:eastAsia="宋体"/>
                <w:szCs w:val="21"/>
              </w:rPr>
            </w:pPr>
            <w:r>
              <w:rPr>
                <w:rFonts w:hint="eastAsia" w:ascii="宋体" w:hAnsi="宋体" w:eastAsia="宋体"/>
                <w:szCs w:val="21"/>
              </w:rPr>
              <w:t>是指为使项目工作</w:t>
            </w:r>
            <w:r>
              <w:rPr>
                <w:rFonts w:hint="eastAsia" w:ascii="宋体" w:hAnsi="宋体" w:eastAsia="宋体"/>
                <w:b/>
                <w:szCs w:val="21"/>
              </w:rPr>
              <w:t>绩效重新</w:t>
            </w:r>
            <w:r>
              <w:rPr>
                <w:rFonts w:hint="eastAsia" w:ascii="宋体" w:hAnsi="宋体" w:eastAsia="宋体"/>
                <w:szCs w:val="21"/>
              </w:rPr>
              <w:t>与项目管理计划一致而进行的有目的的活动。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spacing w:line="360" w:lineRule="auto"/>
              <w:rPr>
                <w:rFonts w:ascii="宋体" w:hAnsi="宋体" w:eastAsia="宋体"/>
                <w:szCs w:val="21"/>
              </w:rPr>
            </w:pPr>
            <w:r>
              <w:rPr>
                <w:rFonts w:hint="eastAsia" w:ascii="宋体" w:hAnsi="宋体" w:eastAsia="宋体"/>
                <w:szCs w:val="21"/>
              </w:rPr>
              <w:t>更新</w:t>
            </w:r>
          </w:p>
        </w:tc>
        <w:tc>
          <w:tcPr>
            <w:tcW w:w="8607" w:type="dxa"/>
          </w:tcPr>
          <w:p>
            <w:pPr>
              <w:spacing w:line="360" w:lineRule="auto"/>
              <w:rPr>
                <w:rFonts w:ascii="宋体" w:hAnsi="宋体" w:eastAsia="宋体"/>
                <w:szCs w:val="21"/>
              </w:rPr>
            </w:pPr>
            <w:r>
              <w:rPr>
                <w:rFonts w:hint="eastAsia" w:ascii="宋体" w:hAnsi="宋体" w:eastAsia="宋体"/>
                <w:szCs w:val="21"/>
              </w:rPr>
              <w:t>是指对正式受控的项目文件或计划等进行的变更，以</w:t>
            </w:r>
            <w:r>
              <w:rPr>
                <w:rFonts w:hint="eastAsia" w:ascii="宋体" w:hAnsi="宋体" w:eastAsia="宋体"/>
                <w:b/>
                <w:szCs w:val="21"/>
              </w:rPr>
              <w:t>反映修改或增加的意见或内容</w:t>
            </w:r>
            <w:r>
              <w:rPr>
                <w:rFonts w:hint="eastAsia" w:ascii="宋体" w:hAnsi="宋体" w:eastAsia="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spacing w:line="360" w:lineRule="auto"/>
              <w:rPr>
                <w:rFonts w:ascii="宋体" w:hAnsi="宋体" w:eastAsia="宋体"/>
                <w:szCs w:val="21"/>
              </w:rPr>
            </w:pPr>
            <w:r>
              <w:rPr>
                <w:rFonts w:hint="eastAsia" w:ascii="宋体" w:hAnsi="宋体" w:eastAsia="宋体"/>
                <w:szCs w:val="21"/>
              </w:rPr>
              <w:t>缺陷补救</w:t>
            </w:r>
          </w:p>
        </w:tc>
        <w:tc>
          <w:tcPr>
            <w:tcW w:w="8607" w:type="dxa"/>
          </w:tcPr>
          <w:p>
            <w:pPr>
              <w:spacing w:line="360" w:lineRule="auto"/>
              <w:rPr>
                <w:rFonts w:ascii="宋体" w:hAnsi="宋体" w:eastAsia="宋体"/>
                <w:szCs w:val="21"/>
              </w:rPr>
            </w:pPr>
            <w:r>
              <w:rPr>
                <w:rFonts w:hint="eastAsia" w:ascii="宋体" w:hAnsi="宋体" w:eastAsia="宋体"/>
                <w:szCs w:val="21"/>
              </w:rPr>
              <w:t>是指为了</w:t>
            </w:r>
            <w:r>
              <w:rPr>
                <w:rFonts w:hint="eastAsia" w:ascii="宋体" w:hAnsi="宋体" w:eastAsia="宋体"/>
                <w:b/>
                <w:szCs w:val="21"/>
              </w:rPr>
              <w:t>修正不一致的产品或产品组件</w:t>
            </w:r>
            <w:r>
              <w:rPr>
                <w:rFonts w:hint="eastAsia" w:ascii="宋体" w:hAnsi="宋体" w:eastAsia="宋体"/>
                <w:szCs w:val="21"/>
              </w:rPr>
              <w:t>而进行的有目的的活动。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spacing w:line="360" w:lineRule="auto"/>
              <w:rPr>
                <w:rFonts w:ascii="宋体" w:hAnsi="宋体" w:eastAsia="宋体"/>
                <w:szCs w:val="21"/>
              </w:rPr>
            </w:pPr>
            <w:r>
              <w:rPr>
                <w:rFonts w:hint="eastAsia" w:ascii="宋体" w:hAnsi="宋体" w:eastAsia="宋体"/>
                <w:szCs w:val="21"/>
              </w:rPr>
              <w:t>权变措施</w:t>
            </w:r>
          </w:p>
        </w:tc>
        <w:tc>
          <w:tcPr>
            <w:tcW w:w="8607" w:type="dxa"/>
          </w:tcPr>
          <w:p>
            <w:pPr>
              <w:spacing w:line="360" w:lineRule="auto"/>
              <w:rPr>
                <w:rFonts w:ascii="宋体" w:hAnsi="宋体" w:eastAsia="宋体"/>
                <w:szCs w:val="21"/>
              </w:rPr>
            </w:pPr>
            <w:r>
              <w:rPr>
                <w:rFonts w:hint="eastAsia" w:ascii="宋体" w:hAnsi="宋体" w:eastAsia="宋体"/>
                <w:szCs w:val="21"/>
              </w:rPr>
              <w:t>是指针</w:t>
            </w:r>
            <w:r>
              <w:rPr>
                <w:rFonts w:hint="eastAsia" w:ascii="宋体" w:hAnsi="宋体" w:eastAsia="宋体"/>
                <w:b/>
                <w:szCs w:val="21"/>
              </w:rPr>
              <w:t>对以往未曾识别</w:t>
            </w:r>
            <w:r>
              <w:rPr>
                <w:rFonts w:hint="eastAsia" w:ascii="宋体" w:hAnsi="宋体" w:eastAsia="宋体"/>
                <w:szCs w:val="21"/>
              </w:rPr>
              <w:t>或被动接受的、目前正在发生的风险而采取的、未经事先计划的应对措施。是</w:t>
            </w:r>
            <w:r>
              <w:rPr>
                <w:rFonts w:ascii="宋体" w:hAnsi="宋体" w:eastAsia="宋体"/>
                <w:szCs w:val="21"/>
              </w:rPr>
              <w:t>11.6控制风险中可能产生变更请求的原因之一。</w:t>
            </w:r>
          </w:p>
        </w:tc>
      </w:tr>
    </w:tbl>
    <w:p>
      <w:pPr>
        <w:pStyle w:val="5"/>
        <w:numPr>
          <w:ilvl w:val="0"/>
          <w:numId w:val="1"/>
        </w:numPr>
        <w:jc w:val="left"/>
      </w:pPr>
      <w:r>
        <w:rPr>
          <w:rFonts w:hint="eastAsia"/>
        </w:rPr>
        <w:t>配置管理、变更管理的区别？</w:t>
      </w:r>
    </w:p>
    <w:p>
      <w:pPr>
        <w:spacing w:line="360" w:lineRule="auto"/>
        <w:ind w:firstLine="420"/>
        <w:rPr>
          <w:rFonts w:ascii="宋体" w:hAnsi="宋体" w:eastAsia="宋体"/>
          <w:sz w:val="24"/>
          <w:szCs w:val="24"/>
        </w:rPr>
      </w:pPr>
      <w:r>
        <w:rPr>
          <w:rFonts w:hint="eastAsia" w:ascii="宋体" w:hAnsi="宋体" w:eastAsia="宋体"/>
          <w:b/>
          <w:sz w:val="24"/>
          <w:szCs w:val="24"/>
        </w:rPr>
        <w:t>配置控制</w:t>
      </w:r>
      <w:r>
        <w:rPr>
          <w:rFonts w:hint="eastAsia" w:ascii="宋体" w:hAnsi="宋体" w:eastAsia="宋体"/>
          <w:sz w:val="24"/>
          <w:szCs w:val="24"/>
        </w:rPr>
        <w:t>重点关注可交付成果及各个过程的</w:t>
      </w:r>
      <w:r>
        <w:rPr>
          <w:rFonts w:hint="eastAsia" w:ascii="宋体" w:hAnsi="宋体" w:eastAsia="宋体"/>
          <w:b/>
          <w:sz w:val="24"/>
          <w:szCs w:val="24"/>
        </w:rPr>
        <w:t>技术规范</w:t>
      </w:r>
      <w:r>
        <w:rPr>
          <w:rFonts w:hint="eastAsia" w:ascii="宋体" w:hAnsi="宋体" w:eastAsia="宋体"/>
          <w:sz w:val="24"/>
          <w:szCs w:val="24"/>
        </w:rPr>
        <w:t>。</w:t>
      </w:r>
    </w:p>
    <w:p>
      <w:pPr>
        <w:spacing w:line="360" w:lineRule="auto"/>
        <w:ind w:firstLine="420"/>
        <w:rPr>
          <w:rFonts w:ascii="宋体" w:hAnsi="宋体" w:eastAsia="宋体"/>
          <w:sz w:val="24"/>
          <w:szCs w:val="24"/>
        </w:rPr>
      </w:pPr>
      <w:r>
        <w:rPr>
          <w:rFonts w:hint="eastAsia" w:ascii="宋体" w:hAnsi="宋体" w:eastAsia="宋体"/>
          <w:b/>
          <w:sz w:val="24"/>
          <w:szCs w:val="24"/>
        </w:rPr>
        <w:t>变更控制</w:t>
      </w:r>
      <w:r>
        <w:rPr>
          <w:rFonts w:hint="eastAsia" w:ascii="宋体" w:hAnsi="宋体" w:eastAsia="宋体"/>
          <w:sz w:val="24"/>
          <w:szCs w:val="24"/>
        </w:rPr>
        <w:t>则着眼于</w:t>
      </w:r>
      <w:r>
        <w:rPr>
          <w:rFonts w:hint="eastAsia" w:ascii="宋体" w:hAnsi="宋体" w:eastAsia="宋体"/>
          <w:b/>
          <w:sz w:val="24"/>
          <w:szCs w:val="24"/>
        </w:rPr>
        <w:t>识别、记录、批准或否决</w:t>
      </w:r>
      <w:r>
        <w:rPr>
          <w:rFonts w:hint="eastAsia" w:ascii="宋体" w:hAnsi="宋体" w:eastAsia="宋体"/>
          <w:sz w:val="24"/>
          <w:szCs w:val="24"/>
        </w:rPr>
        <w:t>对项目文件、可交付成果或基准的</w:t>
      </w:r>
      <w:r>
        <w:rPr>
          <w:rFonts w:hint="eastAsia" w:ascii="宋体" w:hAnsi="宋体" w:eastAsia="宋体"/>
          <w:b/>
          <w:sz w:val="24"/>
          <w:szCs w:val="24"/>
        </w:rPr>
        <w:t>变更</w:t>
      </w:r>
      <w:r>
        <w:rPr>
          <w:rFonts w:hint="eastAsia" w:ascii="宋体" w:hAnsi="宋体" w:eastAsia="宋体"/>
          <w:sz w:val="24"/>
          <w:szCs w:val="24"/>
        </w:rPr>
        <w:t>。</w:t>
      </w:r>
    </w:p>
    <w:p>
      <w:pPr>
        <w:pStyle w:val="5"/>
        <w:numPr>
          <w:ilvl w:val="0"/>
          <w:numId w:val="1"/>
        </w:numPr>
        <w:jc w:val="left"/>
      </w:pPr>
      <w:r>
        <w:rPr>
          <w:rFonts w:hint="eastAsia"/>
        </w:rPr>
        <w:t>检查、审计、监控的区别？</w:t>
      </w:r>
    </w:p>
    <w:p>
      <w:pPr>
        <w:pStyle w:val="11"/>
        <w:spacing w:line="360" w:lineRule="auto"/>
        <w:ind w:left="420" w:firstLineChars="0"/>
        <w:rPr>
          <w:rFonts w:ascii="宋体" w:hAnsi="宋体" w:eastAsia="宋体"/>
          <w:sz w:val="24"/>
          <w:szCs w:val="24"/>
        </w:rPr>
      </w:pPr>
      <w:r>
        <w:rPr>
          <w:rFonts w:hint="eastAsia" w:ascii="宋体" w:hAnsi="宋体" w:eastAsia="宋体"/>
          <w:b/>
          <w:sz w:val="24"/>
          <w:szCs w:val="24"/>
        </w:rPr>
        <w:t>监控项目工作（</w:t>
      </w:r>
      <w:r>
        <w:rPr>
          <w:rFonts w:ascii="宋体" w:hAnsi="宋体" w:eastAsia="宋体"/>
          <w:b/>
          <w:sz w:val="24"/>
          <w:szCs w:val="24"/>
        </w:rPr>
        <w:t>Monitor and Control Project Work</w:t>
      </w:r>
      <w:r>
        <w:rPr>
          <w:rFonts w:hint="eastAsia" w:ascii="宋体" w:hAnsi="宋体" w:eastAsia="宋体"/>
          <w:b/>
          <w:sz w:val="24"/>
          <w:szCs w:val="24"/>
        </w:rPr>
        <w:t>）</w:t>
      </w:r>
      <w:r>
        <w:rPr>
          <w:rFonts w:hint="eastAsia" w:ascii="宋体" w:hAnsi="宋体" w:eastAsia="宋体"/>
          <w:sz w:val="24"/>
          <w:szCs w:val="24"/>
        </w:rPr>
        <w:t>是过程组。是指跟踪、审查和调整项目进展，实现项目计划的绩效目标。目的：让干系人理解当前的项目状态，已采取的步骤，对预算，进度和范围预测。</w:t>
      </w:r>
    </w:p>
    <w:p>
      <w:pPr>
        <w:pStyle w:val="11"/>
        <w:spacing w:line="360" w:lineRule="auto"/>
        <w:ind w:left="420" w:firstLineChars="0"/>
        <w:rPr>
          <w:rFonts w:ascii="宋体" w:hAnsi="宋体" w:eastAsia="宋体"/>
          <w:sz w:val="24"/>
          <w:szCs w:val="24"/>
        </w:rPr>
      </w:pPr>
      <w:r>
        <w:rPr>
          <w:rFonts w:hint="eastAsia" w:ascii="宋体" w:hAnsi="宋体" w:eastAsia="宋体"/>
          <w:b/>
          <w:sz w:val="24"/>
          <w:szCs w:val="24"/>
        </w:rPr>
        <w:t>检查（</w:t>
      </w:r>
      <w:r>
        <w:rPr>
          <w:rFonts w:ascii="宋体" w:hAnsi="宋体" w:eastAsia="宋体"/>
          <w:b/>
          <w:sz w:val="24"/>
          <w:szCs w:val="24"/>
        </w:rPr>
        <w:t>Inspection</w:t>
      </w:r>
      <w:r>
        <w:rPr>
          <w:rFonts w:hint="eastAsia" w:ascii="宋体" w:hAnsi="宋体" w:eastAsia="宋体"/>
          <w:b/>
          <w:sz w:val="24"/>
          <w:szCs w:val="24"/>
        </w:rPr>
        <w:t>）是工具技术</w:t>
      </w:r>
      <w:r>
        <w:rPr>
          <w:rFonts w:hint="eastAsia" w:ascii="宋体" w:hAnsi="宋体" w:eastAsia="宋体"/>
          <w:sz w:val="24"/>
          <w:szCs w:val="24"/>
        </w:rPr>
        <w:t>。是指是指开展测量、审查与确认等活动，来判断工作和可交付成果是否符合需求和产品验收标准。是指检验工作产品，以确定是否符合书面标准。检查的结果通常包括相关的测量数据。使用于确认范围、控制质量。</w:t>
      </w:r>
    </w:p>
    <w:p>
      <w:pPr>
        <w:pStyle w:val="11"/>
        <w:spacing w:line="360" w:lineRule="auto"/>
        <w:ind w:left="420" w:firstLine="0" w:firstLineChars="0"/>
        <w:rPr>
          <w:rFonts w:ascii="宋体" w:hAnsi="宋体" w:eastAsia="宋体"/>
          <w:sz w:val="24"/>
          <w:szCs w:val="24"/>
        </w:rPr>
      </w:pPr>
      <w:r>
        <w:rPr>
          <w:rFonts w:hint="eastAsia" w:ascii="宋体" w:hAnsi="宋体" w:eastAsia="宋体"/>
          <w:b/>
          <w:sz w:val="24"/>
          <w:szCs w:val="24"/>
        </w:rPr>
        <w:t>检查与审计（</w:t>
      </w:r>
      <w:r>
        <w:rPr>
          <w:rFonts w:ascii="宋体" w:hAnsi="宋体" w:eastAsia="宋体"/>
          <w:b/>
          <w:sz w:val="24"/>
          <w:szCs w:val="24"/>
        </w:rPr>
        <w:t>Inspections and Audits</w:t>
      </w:r>
      <w:r>
        <w:rPr>
          <w:rFonts w:hint="eastAsia" w:ascii="宋体" w:hAnsi="宋体" w:eastAsia="宋体"/>
          <w:b/>
          <w:sz w:val="24"/>
          <w:szCs w:val="24"/>
        </w:rPr>
        <w:t>），</w:t>
      </w:r>
      <w:r>
        <w:rPr>
          <w:rFonts w:hint="eastAsia" w:ascii="宋体" w:hAnsi="宋体" w:eastAsia="宋体"/>
          <w:sz w:val="24"/>
          <w:szCs w:val="24"/>
        </w:rPr>
        <w:t>是工具技术。是指在项目执行过程中，应该根据合同规定，由买方开展相关的检查与审计，卖方应对此提供支持。通过检查与审计，验证卖方的工作过程或可交付成果对合同的遵守程度。使用于控制采购。</w:t>
      </w:r>
    </w:p>
    <w:p>
      <w:pPr>
        <w:pStyle w:val="5"/>
        <w:numPr>
          <w:ilvl w:val="0"/>
          <w:numId w:val="1"/>
        </w:numPr>
        <w:jc w:val="left"/>
      </w:pPr>
      <w:r>
        <w:rPr>
          <w:rFonts w:hint="eastAsia"/>
        </w:rPr>
        <w:t>燃烧图或燃尽图</w:t>
      </w:r>
    </w:p>
    <w:p>
      <w:pPr>
        <w:pStyle w:val="11"/>
        <w:spacing w:line="360" w:lineRule="auto"/>
        <w:ind w:left="420" w:firstLine="480"/>
        <w:rPr>
          <w:rFonts w:ascii="宋体" w:hAnsi="宋体" w:eastAsia="宋体"/>
          <w:sz w:val="24"/>
          <w:szCs w:val="24"/>
        </w:rPr>
      </w:pPr>
      <w:r>
        <w:rPr>
          <w:rFonts w:hint="eastAsia" w:ascii="宋体" w:hAnsi="宋体" w:eastAsia="宋体"/>
          <w:sz w:val="24"/>
          <w:szCs w:val="24"/>
        </w:rPr>
        <w:t>燃尽图（</w:t>
      </w:r>
      <w:r>
        <w:rPr>
          <w:rFonts w:ascii="宋体" w:hAnsi="宋体" w:eastAsia="宋体"/>
          <w:sz w:val="24"/>
          <w:szCs w:val="24"/>
        </w:rPr>
        <w:t>Burndown Chart）</w:t>
      </w:r>
      <w:r>
        <w:rPr>
          <w:rFonts w:hint="eastAsia" w:ascii="宋体" w:hAnsi="宋体" w:eastAsia="宋体"/>
          <w:sz w:val="24"/>
          <w:szCs w:val="24"/>
        </w:rPr>
        <w:t>，</w:t>
      </w:r>
      <w:r>
        <w:rPr>
          <w:rFonts w:ascii="宋体" w:hAnsi="宋体" w:eastAsia="宋体"/>
          <w:sz w:val="24"/>
          <w:szCs w:val="24"/>
        </w:rPr>
        <w:t>也叫燃烧图，是罕见的敏捷度量</w:t>
      </w:r>
      <w:r>
        <w:rPr>
          <w:rFonts w:hint="eastAsia" w:ascii="宋体" w:hAnsi="宋体" w:eastAsia="宋体"/>
          <w:sz w:val="24"/>
          <w:szCs w:val="24"/>
        </w:rPr>
        <w:t>，燃尽图的全称，应该是“总剩余时间的燃尽图”，就是本次迭代中，所有故事（或拆分的任务，以下仅称故事）的剩余时间总和，随日期的变化而逐日递减的图。</w:t>
      </w:r>
    </w:p>
    <w:p>
      <w:pPr>
        <w:pStyle w:val="5"/>
        <w:numPr>
          <w:ilvl w:val="0"/>
          <w:numId w:val="1"/>
        </w:numPr>
        <w:jc w:val="left"/>
      </w:pPr>
      <w:r>
        <w:rPr>
          <w:rFonts w:hint="eastAsia"/>
        </w:rPr>
        <w:t>PDM（前导图、紧前关系绘图法）、</w:t>
      </w:r>
      <w:r>
        <w:t>AOA（活动箭线图）</w:t>
      </w:r>
      <w:r>
        <w:rPr>
          <w:rFonts w:hint="eastAsia"/>
        </w:rPr>
        <w:t>、</w:t>
      </w:r>
      <w:r>
        <w:t xml:space="preserve"> AON（活动节点图）</w:t>
      </w:r>
    </w:p>
    <w:p>
      <w:pPr>
        <w:pStyle w:val="11"/>
        <w:spacing w:line="360" w:lineRule="auto"/>
        <w:ind w:left="420" w:firstLine="480"/>
        <w:rPr>
          <w:rFonts w:ascii="宋体" w:hAnsi="宋体" w:eastAsia="宋体"/>
          <w:sz w:val="24"/>
          <w:szCs w:val="24"/>
        </w:rPr>
      </w:pPr>
      <w:r>
        <w:rPr>
          <w:rFonts w:hint="eastAsia" w:ascii="宋体" w:hAnsi="宋体" w:eastAsia="宋体"/>
          <w:sz w:val="24"/>
          <w:szCs w:val="24"/>
        </w:rPr>
        <w:t>紧前关系绘图法（</w:t>
      </w:r>
      <w:r>
        <w:rPr>
          <w:rFonts w:ascii="宋体" w:hAnsi="宋体" w:eastAsia="宋体"/>
          <w:sz w:val="24"/>
          <w:szCs w:val="24"/>
        </w:rPr>
        <w:t>PDM）是创建进度模型的一种技术，用节点表示活动，用一种或多种</w:t>
      </w:r>
      <w:r>
        <w:rPr>
          <w:rFonts w:hint="eastAsia" w:ascii="宋体" w:hAnsi="宋体" w:eastAsia="宋体"/>
          <w:sz w:val="24"/>
          <w:szCs w:val="24"/>
        </w:rPr>
        <w:t>逻辑关系连接活动，以显示活动的实施顺序。活动节点法（</w:t>
      </w:r>
      <w:r>
        <w:rPr>
          <w:rFonts w:ascii="宋体" w:hAnsi="宋体" w:eastAsia="宋体"/>
          <w:sz w:val="24"/>
          <w:szCs w:val="24"/>
        </w:rPr>
        <w:t>AON）是紧前绘图法的一种展示</w:t>
      </w:r>
      <w:r>
        <w:rPr>
          <w:rFonts w:hint="eastAsia" w:ascii="宋体" w:hAnsi="宋体" w:eastAsia="宋体"/>
          <w:sz w:val="24"/>
          <w:szCs w:val="24"/>
        </w:rPr>
        <w:t>方法，是大多数项目管理软件包所使用的方法。</w:t>
      </w:r>
    </w:p>
    <w:p>
      <w:pPr>
        <w:pStyle w:val="11"/>
        <w:spacing w:line="360" w:lineRule="auto"/>
        <w:ind w:left="420" w:firstLine="480"/>
        <w:rPr>
          <w:rFonts w:hint="eastAsia" w:ascii="宋体" w:hAnsi="宋体" w:eastAsia="宋体"/>
          <w:sz w:val="24"/>
          <w:szCs w:val="24"/>
        </w:rPr>
      </w:pPr>
      <w:r>
        <w:rPr>
          <w:rFonts w:ascii="宋体" w:hAnsi="宋体" w:eastAsia="宋体"/>
          <w:sz w:val="24"/>
          <w:szCs w:val="24"/>
        </w:rPr>
        <w:t>PDM 包括四种依赖关系或逻辑关系。紧前活动是在进度计划的逻辑路径中，排在非开始</w:t>
      </w:r>
      <w:r>
        <w:rPr>
          <w:rFonts w:hint="eastAsia" w:ascii="宋体" w:hAnsi="宋体" w:eastAsia="宋体"/>
          <w:sz w:val="24"/>
          <w:szCs w:val="24"/>
        </w:rPr>
        <w:t>活动前面的活动。紧后活动是在进度计划的逻辑路径中，排在某个活动后面的活动。</w:t>
      </w:r>
    </w:p>
    <w:p>
      <w:pPr>
        <w:pStyle w:val="5"/>
        <w:numPr>
          <w:ilvl w:val="0"/>
          <w:numId w:val="1"/>
        </w:numPr>
        <w:jc w:val="left"/>
      </w:pPr>
      <w:r>
        <w:rPr>
          <w:rFonts w:hint="eastAsia"/>
        </w:rPr>
        <w:t>蒙特卡洛模拟法（见</w:t>
      </w:r>
      <w:r>
        <w:t xml:space="preserve"> 11.4.2.2 节）</w:t>
      </w:r>
    </w:p>
    <w:p>
      <w:pPr>
        <w:pStyle w:val="11"/>
        <w:spacing w:line="360" w:lineRule="auto"/>
        <w:ind w:left="420" w:firstLine="482"/>
        <w:rPr>
          <w:rFonts w:ascii="宋体" w:hAnsi="宋体" w:eastAsia="宋体"/>
          <w:sz w:val="24"/>
          <w:szCs w:val="24"/>
        </w:rPr>
      </w:pPr>
      <w:r>
        <w:rPr>
          <w:rFonts w:hint="eastAsia" w:ascii="宋体" w:hAnsi="宋体" w:eastAsia="宋体"/>
          <w:b/>
          <w:sz w:val="24"/>
          <w:szCs w:val="24"/>
        </w:rPr>
        <w:t>项目模拟</w:t>
      </w:r>
      <w:r>
        <w:rPr>
          <w:rFonts w:hint="eastAsia" w:ascii="宋体" w:hAnsi="宋体" w:eastAsia="宋体"/>
          <w:sz w:val="24"/>
          <w:szCs w:val="24"/>
        </w:rPr>
        <w:t>旨在使用一个模型，计算项目各细节方面的不确定性对项目目标的潜在影响。模拟通常采用蒙特卡洛技术。在模拟中，要</w:t>
      </w:r>
      <w:r>
        <w:rPr>
          <w:rFonts w:hint="eastAsia" w:ascii="宋体" w:hAnsi="宋体" w:eastAsia="宋体"/>
          <w:b/>
          <w:sz w:val="24"/>
          <w:szCs w:val="24"/>
        </w:rPr>
        <w:t>利用项目模型进行多次（反复）计算</w:t>
      </w:r>
      <w:r>
        <w:rPr>
          <w:rFonts w:hint="eastAsia" w:ascii="宋体" w:hAnsi="宋体" w:eastAsia="宋体"/>
          <w:sz w:val="24"/>
          <w:szCs w:val="24"/>
        </w:rPr>
        <w:t>。每次计算时，都从这些</w:t>
      </w:r>
      <w:r>
        <w:rPr>
          <w:rFonts w:hint="eastAsia" w:ascii="宋体" w:hAnsi="宋体" w:eastAsia="宋体"/>
          <w:b/>
          <w:sz w:val="24"/>
          <w:szCs w:val="24"/>
        </w:rPr>
        <w:t>变量的概率分布中随机抽取数值（如成本估算或活动持续时间）作为输入</w:t>
      </w:r>
      <w:r>
        <w:rPr>
          <w:rFonts w:hint="eastAsia" w:ascii="宋体" w:hAnsi="宋体" w:eastAsia="宋体"/>
          <w:sz w:val="24"/>
          <w:szCs w:val="24"/>
        </w:rPr>
        <w:t>。通过多次计算，</w:t>
      </w:r>
      <w:r>
        <w:rPr>
          <w:rFonts w:hint="eastAsia" w:ascii="宋体" w:hAnsi="宋体" w:eastAsia="宋体"/>
          <w:b/>
          <w:sz w:val="24"/>
          <w:szCs w:val="24"/>
        </w:rPr>
        <w:t>得出一个概率分布直方图</w:t>
      </w:r>
      <w:r>
        <w:rPr>
          <w:rFonts w:hint="eastAsia" w:ascii="宋体" w:hAnsi="宋体" w:eastAsia="宋体"/>
          <w:sz w:val="24"/>
          <w:szCs w:val="24"/>
        </w:rPr>
        <w:t>（如总成本或完成日期）。</w:t>
      </w:r>
    </w:p>
    <w:p>
      <w:pPr>
        <w:pStyle w:val="5"/>
        <w:numPr>
          <w:ilvl w:val="0"/>
          <w:numId w:val="1"/>
        </w:numPr>
        <w:jc w:val="left"/>
      </w:pPr>
      <w:r>
        <w:rPr>
          <w:rFonts w:hint="eastAsia"/>
        </w:rPr>
        <w:t>挣值管理中为考核工作绩效而采用的三种活动类型</w:t>
      </w:r>
    </w:p>
    <w:p>
      <w:pPr>
        <w:pStyle w:val="11"/>
        <w:spacing w:line="360" w:lineRule="auto"/>
        <w:ind w:left="420" w:firstLine="482"/>
        <w:rPr>
          <w:rFonts w:ascii="宋体" w:hAnsi="宋体" w:eastAsia="宋体"/>
          <w:sz w:val="24"/>
          <w:szCs w:val="24"/>
        </w:rPr>
      </w:pPr>
      <w:r>
        <w:rPr>
          <w:rFonts w:ascii="宋体" w:hAnsi="宋体" w:eastAsia="宋体"/>
          <w:b/>
          <w:sz w:val="24"/>
          <w:szCs w:val="24"/>
        </w:rPr>
        <w:t>Level of Effort (LOE)</w:t>
      </w:r>
      <w:r>
        <w:rPr>
          <w:rFonts w:hint="eastAsia" w:ascii="宋体" w:hAnsi="宋体" w:eastAsia="宋体"/>
          <w:b/>
          <w:sz w:val="24"/>
          <w:szCs w:val="24"/>
        </w:rPr>
        <w:t>，</w:t>
      </w:r>
      <w:r>
        <w:rPr>
          <w:rFonts w:ascii="宋体" w:hAnsi="宋体" w:eastAsia="宋体"/>
          <w:b/>
          <w:sz w:val="24"/>
          <w:szCs w:val="24"/>
        </w:rPr>
        <w:t>支持型活动</w:t>
      </w:r>
      <w:r>
        <w:rPr>
          <w:rFonts w:hint="eastAsia" w:ascii="宋体" w:hAnsi="宋体" w:eastAsia="宋体"/>
          <w:b/>
          <w:sz w:val="24"/>
          <w:szCs w:val="24"/>
        </w:rPr>
        <w:t>。</w:t>
      </w:r>
      <w:r>
        <w:rPr>
          <w:rFonts w:hint="eastAsia" w:ascii="宋体" w:hAnsi="宋体" w:eastAsia="宋体"/>
          <w:sz w:val="24"/>
          <w:szCs w:val="24"/>
        </w:rPr>
        <w:t>是挣值管理中为考核工作绩效而采用的三种活动类型之一。是指</w:t>
      </w:r>
      <w:r>
        <w:rPr>
          <w:rFonts w:ascii="宋体" w:hAnsi="宋体" w:eastAsia="宋体"/>
          <w:sz w:val="24"/>
          <w:szCs w:val="24"/>
        </w:rPr>
        <w:t>一种不产生明确的最终产品，而是按时间流逝来度量的活动。（注：支持型活动）</w:t>
      </w:r>
    </w:p>
    <w:p>
      <w:pPr>
        <w:pStyle w:val="11"/>
        <w:spacing w:line="360" w:lineRule="auto"/>
        <w:ind w:left="420" w:firstLine="482"/>
        <w:rPr>
          <w:rFonts w:ascii="宋体" w:hAnsi="宋体" w:eastAsia="宋体"/>
          <w:sz w:val="24"/>
          <w:szCs w:val="24"/>
        </w:rPr>
      </w:pPr>
      <w:r>
        <w:rPr>
          <w:rFonts w:ascii="宋体" w:hAnsi="宋体" w:eastAsia="宋体"/>
          <w:b/>
          <w:sz w:val="24"/>
          <w:szCs w:val="24"/>
        </w:rPr>
        <w:t>Apportioned Effort</w:t>
      </w:r>
      <w:r>
        <w:rPr>
          <w:rFonts w:hint="eastAsia" w:ascii="宋体" w:hAnsi="宋体" w:eastAsia="宋体"/>
          <w:b/>
          <w:sz w:val="24"/>
          <w:szCs w:val="24"/>
        </w:rPr>
        <w:t>，</w:t>
      </w:r>
      <w:r>
        <w:rPr>
          <w:rFonts w:ascii="宋体" w:hAnsi="宋体" w:eastAsia="宋体"/>
          <w:b/>
          <w:sz w:val="24"/>
          <w:szCs w:val="24"/>
        </w:rPr>
        <w:t>依附型活动</w:t>
      </w:r>
      <w:r>
        <w:rPr>
          <w:rFonts w:hint="eastAsia" w:ascii="宋体" w:hAnsi="宋体" w:eastAsia="宋体"/>
          <w:b/>
          <w:sz w:val="24"/>
          <w:szCs w:val="24"/>
        </w:rPr>
        <w:t>。</w:t>
      </w:r>
      <w:r>
        <w:rPr>
          <w:rFonts w:hint="eastAsia" w:ascii="宋体" w:hAnsi="宋体" w:eastAsia="宋体"/>
          <w:sz w:val="24"/>
          <w:szCs w:val="24"/>
        </w:rPr>
        <w:t>依是挣值管理中为考核工作绩效而采用的三种活动类型之一。是指</w:t>
      </w:r>
      <w:r>
        <w:rPr>
          <w:rFonts w:ascii="宋体" w:hAnsi="宋体" w:eastAsia="宋体"/>
          <w:sz w:val="24"/>
          <w:szCs w:val="24"/>
        </w:rPr>
        <w:t>其投入需按比例分摊到特定的独立型活动中，其本身无法拆分为独立型活动的活动。</w:t>
      </w:r>
    </w:p>
    <w:p>
      <w:pPr>
        <w:pStyle w:val="11"/>
        <w:spacing w:line="360" w:lineRule="auto"/>
        <w:ind w:left="420" w:firstLine="482"/>
        <w:rPr>
          <w:rFonts w:ascii="宋体" w:hAnsi="宋体" w:eastAsia="宋体"/>
          <w:sz w:val="24"/>
          <w:szCs w:val="24"/>
        </w:rPr>
      </w:pPr>
      <w:r>
        <w:rPr>
          <w:rFonts w:ascii="宋体" w:hAnsi="宋体" w:eastAsia="宋体"/>
          <w:b/>
          <w:sz w:val="24"/>
          <w:szCs w:val="24"/>
        </w:rPr>
        <w:t>Discrete Effort</w:t>
      </w:r>
      <w:r>
        <w:rPr>
          <w:rFonts w:hint="eastAsia" w:ascii="宋体" w:hAnsi="宋体" w:eastAsia="宋体"/>
          <w:b/>
          <w:sz w:val="24"/>
          <w:szCs w:val="24"/>
        </w:rPr>
        <w:t>，</w:t>
      </w:r>
      <w:r>
        <w:rPr>
          <w:rFonts w:ascii="宋体" w:hAnsi="宋体" w:eastAsia="宋体"/>
          <w:b/>
          <w:sz w:val="24"/>
          <w:szCs w:val="24"/>
        </w:rPr>
        <w:t>独立型活动</w:t>
      </w:r>
      <w:r>
        <w:rPr>
          <w:rFonts w:hint="eastAsia" w:ascii="宋体" w:hAnsi="宋体" w:eastAsia="宋体"/>
          <w:b/>
          <w:sz w:val="24"/>
          <w:szCs w:val="24"/>
        </w:rPr>
        <w:t>。</w:t>
      </w:r>
      <w:r>
        <w:rPr>
          <w:rFonts w:hint="eastAsia" w:ascii="宋体" w:hAnsi="宋体" w:eastAsia="宋体"/>
          <w:sz w:val="24"/>
          <w:szCs w:val="24"/>
        </w:rPr>
        <w:t>是挣值管理中为考核工作绩效而采用的三种活动类型之一。是指</w:t>
      </w:r>
      <w:r>
        <w:rPr>
          <w:rFonts w:ascii="宋体" w:hAnsi="宋体" w:eastAsia="宋体"/>
          <w:sz w:val="24"/>
          <w:szCs w:val="24"/>
        </w:rPr>
        <w:t>可以被规划、度量并会产生具体结果的活动。</w:t>
      </w:r>
    </w:p>
    <w:p>
      <w:pPr>
        <w:pStyle w:val="11"/>
        <w:spacing w:line="360" w:lineRule="auto"/>
        <w:ind w:left="420" w:firstLine="482"/>
        <w:rPr>
          <w:rFonts w:ascii="宋体" w:hAnsi="宋体" w:eastAsia="宋体"/>
          <w:sz w:val="24"/>
          <w:szCs w:val="24"/>
        </w:rPr>
      </w:pPr>
      <w:r>
        <w:rPr>
          <w:rFonts w:hint="eastAsia" w:ascii="宋体" w:hAnsi="宋体" w:eastAsia="宋体"/>
          <w:b/>
          <w:sz w:val="24"/>
          <w:szCs w:val="24"/>
        </w:rPr>
        <w:t>附：人力投入量法，</w:t>
      </w:r>
      <w:r>
        <w:rPr>
          <w:rFonts w:hint="eastAsia" w:ascii="宋体" w:hAnsi="宋体" w:eastAsia="宋体"/>
          <w:sz w:val="24"/>
          <w:szCs w:val="24"/>
        </w:rPr>
        <w:t>是指某些项目活动不会产生可以进行客观测量的有形成果。在每个测量阶段，每个</w:t>
      </w:r>
      <w:r>
        <w:rPr>
          <w:rFonts w:ascii="宋体" w:hAnsi="宋体" w:eastAsia="宋体"/>
          <w:sz w:val="24"/>
          <w:szCs w:val="24"/>
        </w:rPr>
        <w:t xml:space="preserve"> LOE 任务都被赋予了相应的计划价值，一旦该测量阶段结束，这个计划价值就</w:t>
      </w:r>
      <w:r>
        <w:rPr>
          <w:rFonts w:hint="eastAsia" w:ascii="宋体" w:hAnsi="宋体" w:eastAsia="宋体"/>
          <w:sz w:val="24"/>
          <w:szCs w:val="24"/>
        </w:rPr>
        <w:t>被直接计入</w:t>
      </w:r>
      <w:r>
        <w:rPr>
          <w:rFonts w:ascii="宋体" w:hAnsi="宋体" w:eastAsia="宋体"/>
          <w:sz w:val="24"/>
          <w:szCs w:val="24"/>
        </w:rPr>
        <w:t xml:space="preserve"> LOE 任务的挣值中。</w:t>
      </w:r>
      <w:r>
        <w:rPr>
          <w:rFonts w:ascii="宋体" w:hAnsi="宋体" w:eastAsia="宋体"/>
          <w:b/>
          <w:sz w:val="24"/>
          <w:szCs w:val="24"/>
        </w:rPr>
        <w:t>只有当任务实在无法测量其实质性工作进展时，才建议使</w:t>
      </w:r>
      <w:r>
        <w:rPr>
          <w:rFonts w:hint="eastAsia" w:ascii="宋体" w:hAnsi="宋体" w:eastAsia="宋体"/>
          <w:b/>
          <w:sz w:val="24"/>
          <w:szCs w:val="24"/>
        </w:rPr>
        <w:t>用</w:t>
      </w:r>
      <w:r>
        <w:rPr>
          <w:rFonts w:ascii="宋体" w:hAnsi="宋体" w:eastAsia="宋体"/>
          <w:b/>
          <w:sz w:val="24"/>
          <w:szCs w:val="24"/>
        </w:rPr>
        <w:t xml:space="preserve"> LOE</w:t>
      </w:r>
      <w:r>
        <w:rPr>
          <w:rFonts w:ascii="宋体" w:hAnsi="宋体" w:eastAsia="宋体"/>
          <w:sz w:val="24"/>
          <w:szCs w:val="24"/>
        </w:rPr>
        <w:t>，</w:t>
      </w:r>
      <w:r>
        <w:rPr>
          <w:rFonts w:ascii="宋体" w:hAnsi="宋体" w:eastAsia="宋体"/>
          <w:b/>
          <w:sz w:val="24"/>
          <w:szCs w:val="24"/>
        </w:rPr>
        <w:t>LOE 不会产生进度偏差，但是会导致错误的成本偏差</w:t>
      </w:r>
      <w:r>
        <w:rPr>
          <w:rFonts w:ascii="宋体" w:hAnsi="宋体" w:eastAsia="宋体"/>
          <w:sz w:val="24"/>
          <w:szCs w:val="24"/>
        </w:rPr>
        <w:t>。</w:t>
      </w:r>
    </w:p>
    <w:p>
      <w:pPr>
        <w:pStyle w:val="5"/>
        <w:numPr>
          <w:ilvl w:val="0"/>
          <w:numId w:val="1"/>
        </w:numPr>
        <w:jc w:val="left"/>
      </w:pPr>
      <w:r>
        <w:rPr>
          <w:rFonts w:hint="eastAsia"/>
        </w:rPr>
        <w:t>分析技术大总结</w:t>
      </w:r>
    </w:p>
    <w:p>
      <w:pPr>
        <w:pStyle w:val="11"/>
        <w:spacing w:line="360" w:lineRule="auto"/>
        <w:ind w:left="420" w:firstLine="480"/>
        <w:rPr>
          <w:rFonts w:ascii="宋体" w:hAnsi="宋体" w:eastAsia="宋体"/>
          <w:sz w:val="24"/>
          <w:szCs w:val="24"/>
        </w:rPr>
      </w:pPr>
      <w:r>
        <w:rPr>
          <w:rFonts w:hint="eastAsia" w:ascii="宋体" w:hAnsi="宋体" w:eastAsia="宋体"/>
          <w:sz w:val="24"/>
          <w:szCs w:val="24"/>
        </w:rPr>
        <w:t>分析技术，是指采用回归分析，分组方法，因果分析、根本原因分析、预测方法（如时间序列、情景构建、模拟等）、故障树分析（</w:t>
      </w:r>
      <w:r>
        <w:rPr>
          <w:rFonts w:ascii="宋体" w:hAnsi="宋体" w:eastAsia="宋体"/>
          <w:sz w:val="24"/>
          <w:szCs w:val="24"/>
        </w:rPr>
        <w:t>FTA）、失效模式与影响分析（FMEA）、储备分析、趋势分析、挣值管理、差异分析等方法进行信息分析来预测潜在的后果。</w:t>
      </w:r>
    </w:p>
    <w:p>
      <w:pPr>
        <w:pStyle w:val="11"/>
        <w:spacing w:line="360" w:lineRule="auto"/>
        <w:ind w:left="420" w:firstLine="480"/>
        <w:rPr>
          <w:rFonts w:ascii="宋体" w:hAnsi="宋体" w:eastAsia="宋体"/>
          <w:sz w:val="24"/>
          <w:szCs w:val="24"/>
        </w:rPr>
      </w:pPr>
      <w:r>
        <w:rPr>
          <w:rFonts w:hint="eastAsia" w:ascii="宋体" w:hAnsi="宋体" w:eastAsia="宋体"/>
          <w:sz w:val="24"/>
          <w:szCs w:val="24"/>
        </w:rPr>
        <w:t>PMBOK第五版中需要使用分析技术的过程组有：</w:t>
      </w:r>
    </w:p>
    <w:tbl>
      <w:tblPr>
        <w:tblStyle w:val="7"/>
        <w:tblW w:w="9736" w:type="dxa"/>
        <w:jc w:val="center"/>
        <w:tblInd w:w="0" w:type="dxa"/>
        <w:tblLayout w:type="fixed"/>
        <w:tblCellMar>
          <w:top w:w="0" w:type="dxa"/>
          <w:left w:w="108" w:type="dxa"/>
          <w:bottom w:w="0" w:type="dxa"/>
          <w:right w:w="108" w:type="dxa"/>
        </w:tblCellMar>
      </w:tblPr>
      <w:tblGrid>
        <w:gridCol w:w="2609"/>
        <w:gridCol w:w="2442"/>
        <w:gridCol w:w="2212"/>
        <w:gridCol w:w="2473"/>
      </w:tblGrid>
      <w:tr>
        <w:tblPrEx>
          <w:tblLayout w:type="fixed"/>
          <w:tblCellMar>
            <w:top w:w="0" w:type="dxa"/>
            <w:left w:w="108" w:type="dxa"/>
            <w:bottom w:w="0" w:type="dxa"/>
            <w:right w:w="108" w:type="dxa"/>
          </w:tblCellMar>
        </w:tblPrEx>
        <w:trPr>
          <w:trHeight w:val="285" w:hRule="atLeast"/>
          <w:jc w:val="center"/>
        </w:trPr>
        <w:tc>
          <w:tcPr>
            <w:tcW w:w="2609" w:type="dxa"/>
            <w:tcBorders>
              <w:top w:val="single" w:color="auto" w:sz="8" w:space="0"/>
              <w:left w:val="nil"/>
              <w:bottom w:val="single" w:color="auto" w:sz="4" w:space="0"/>
              <w:right w:val="single" w:color="auto" w:sz="4" w:space="0"/>
            </w:tcBorders>
            <w:shd w:val="clear" w:color="000000" w:fill="FFFF00"/>
            <w:vAlign w:val="bottom"/>
          </w:tcPr>
          <w:p>
            <w:pPr>
              <w:jc w:val="center"/>
              <w:rPr>
                <w:rFonts w:ascii="宋体" w:hAnsi="宋体" w:eastAsia="宋体"/>
                <w:b/>
                <w:color w:val="000000"/>
                <w:szCs w:val="21"/>
              </w:rPr>
            </w:pPr>
            <w:r>
              <w:rPr>
                <w:rFonts w:hint="eastAsia" w:ascii="宋体" w:hAnsi="宋体" w:eastAsia="宋体"/>
                <w:b/>
                <w:color w:val="000000"/>
                <w:szCs w:val="21"/>
              </w:rPr>
              <w:t>规划过程组</w:t>
            </w:r>
          </w:p>
        </w:tc>
        <w:tc>
          <w:tcPr>
            <w:tcW w:w="2442" w:type="dxa"/>
            <w:tcBorders>
              <w:top w:val="single" w:color="auto" w:sz="8" w:space="0"/>
              <w:left w:val="nil"/>
              <w:bottom w:val="single" w:color="auto" w:sz="4" w:space="0"/>
              <w:right w:val="single" w:color="auto" w:sz="4" w:space="0"/>
            </w:tcBorders>
            <w:shd w:val="clear" w:color="000000" w:fill="00B0F0"/>
            <w:vAlign w:val="bottom"/>
          </w:tcPr>
          <w:p>
            <w:pPr>
              <w:jc w:val="center"/>
              <w:rPr>
                <w:rFonts w:ascii="宋体" w:hAnsi="宋体" w:eastAsia="宋体"/>
                <w:b/>
                <w:color w:val="000000"/>
                <w:szCs w:val="21"/>
              </w:rPr>
            </w:pPr>
            <w:r>
              <w:rPr>
                <w:rFonts w:hint="eastAsia" w:ascii="宋体" w:hAnsi="宋体" w:eastAsia="宋体"/>
                <w:b/>
                <w:color w:val="000000"/>
                <w:szCs w:val="21"/>
              </w:rPr>
              <w:t>执行过程组</w:t>
            </w:r>
          </w:p>
        </w:tc>
        <w:tc>
          <w:tcPr>
            <w:tcW w:w="2212" w:type="dxa"/>
            <w:tcBorders>
              <w:top w:val="single" w:color="auto" w:sz="8" w:space="0"/>
              <w:left w:val="nil"/>
              <w:bottom w:val="single" w:color="auto" w:sz="4" w:space="0"/>
              <w:right w:val="single" w:color="auto" w:sz="4" w:space="0"/>
            </w:tcBorders>
            <w:shd w:val="clear" w:color="000000" w:fill="FF0000"/>
            <w:vAlign w:val="bottom"/>
          </w:tcPr>
          <w:p>
            <w:pPr>
              <w:jc w:val="center"/>
              <w:rPr>
                <w:rFonts w:ascii="宋体" w:hAnsi="宋体" w:eastAsia="宋体"/>
                <w:b/>
                <w:color w:val="000000"/>
                <w:szCs w:val="21"/>
              </w:rPr>
            </w:pPr>
            <w:r>
              <w:rPr>
                <w:rFonts w:hint="eastAsia" w:ascii="宋体" w:hAnsi="宋体" w:eastAsia="宋体"/>
                <w:b/>
                <w:color w:val="000000"/>
                <w:szCs w:val="21"/>
              </w:rPr>
              <w:t>监控过程组</w:t>
            </w:r>
          </w:p>
        </w:tc>
        <w:tc>
          <w:tcPr>
            <w:tcW w:w="2473" w:type="dxa"/>
            <w:tcBorders>
              <w:top w:val="single" w:color="auto" w:sz="8" w:space="0"/>
              <w:left w:val="nil"/>
              <w:bottom w:val="single" w:color="auto" w:sz="4" w:space="0"/>
              <w:right w:val="single" w:color="auto" w:sz="8" w:space="0"/>
            </w:tcBorders>
            <w:shd w:val="clear" w:color="000000" w:fill="00B050"/>
            <w:vAlign w:val="bottom"/>
          </w:tcPr>
          <w:p>
            <w:pPr>
              <w:jc w:val="center"/>
              <w:rPr>
                <w:rFonts w:ascii="宋体" w:hAnsi="宋体" w:eastAsia="宋体"/>
                <w:b/>
                <w:color w:val="000000"/>
                <w:szCs w:val="21"/>
              </w:rPr>
            </w:pPr>
            <w:r>
              <w:rPr>
                <w:rFonts w:hint="eastAsia" w:ascii="宋体" w:hAnsi="宋体" w:eastAsia="宋体"/>
                <w:b/>
                <w:color w:val="000000"/>
                <w:szCs w:val="21"/>
              </w:rPr>
              <w:t>收尾过程组</w:t>
            </w:r>
          </w:p>
        </w:tc>
      </w:tr>
      <w:tr>
        <w:tblPrEx>
          <w:tblLayout w:type="fixed"/>
          <w:tblCellMar>
            <w:top w:w="0" w:type="dxa"/>
            <w:left w:w="108" w:type="dxa"/>
            <w:bottom w:w="0" w:type="dxa"/>
            <w:right w:w="108" w:type="dxa"/>
          </w:tblCellMar>
        </w:tblPrEx>
        <w:trPr>
          <w:trHeight w:val="285" w:hRule="atLeast"/>
          <w:jc w:val="center"/>
        </w:trPr>
        <w:tc>
          <w:tcPr>
            <w:tcW w:w="2609" w:type="dxa"/>
            <w:tcBorders>
              <w:top w:val="single" w:color="auto" w:sz="8" w:space="0"/>
              <w:left w:val="nil"/>
              <w:bottom w:val="single" w:color="auto" w:sz="4" w:space="0"/>
              <w:right w:val="single" w:color="auto" w:sz="4" w:space="0"/>
            </w:tcBorders>
            <w:shd w:val="clear" w:color="000000" w:fill="FFFF00"/>
            <w:vAlign w:val="bottom"/>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6.1规划进度管理</w:t>
            </w:r>
          </w:p>
        </w:tc>
        <w:tc>
          <w:tcPr>
            <w:tcW w:w="2442" w:type="dxa"/>
            <w:tcBorders>
              <w:top w:val="single" w:color="auto" w:sz="8" w:space="0"/>
              <w:left w:val="nil"/>
              <w:bottom w:val="single" w:color="auto" w:sz="4" w:space="0"/>
              <w:right w:val="single" w:color="auto" w:sz="4" w:space="0"/>
            </w:tcBorders>
            <w:shd w:val="clear" w:color="000000" w:fill="00B0F0"/>
            <w:vAlign w:val="bottom"/>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12.2实施采购</w:t>
            </w:r>
          </w:p>
        </w:tc>
        <w:tc>
          <w:tcPr>
            <w:tcW w:w="2212" w:type="dxa"/>
            <w:tcBorders>
              <w:top w:val="single" w:color="auto" w:sz="8" w:space="0"/>
              <w:left w:val="nil"/>
              <w:bottom w:val="single" w:color="auto" w:sz="4" w:space="0"/>
              <w:right w:val="single" w:color="auto" w:sz="4" w:space="0"/>
            </w:tcBorders>
            <w:shd w:val="clear" w:color="000000" w:fill="FF0000"/>
            <w:vAlign w:val="bottom"/>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4.4监控项目工作</w:t>
            </w:r>
          </w:p>
        </w:tc>
        <w:tc>
          <w:tcPr>
            <w:tcW w:w="2473" w:type="dxa"/>
            <w:tcBorders>
              <w:top w:val="single" w:color="auto" w:sz="8" w:space="0"/>
              <w:left w:val="nil"/>
              <w:bottom w:val="single" w:color="auto" w:sz="4" w:space="0"/>
              <w:right w:val="single" w:color="auto" w:sz="8" w:space="0"/>
            </w:tcBorders>
            <w:shd w:val="clear" w:color="000000" w:fill="00B050"/>
            <w:vAlign w:val="bottom"/>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4.6结束项目或阶段</w:t>
            </w:r>
          </w:p>
        </w:tc>
      </w:tr>
      <w:tr>
        <w:tblPrEx>
          <w:tblLayout w:type="fixed"/>
          <w:tblCellMar>
            <w:top w:w="0" w:type="dxa"/>
            <w:left w:w="108" w:type="dxa"/>
            <w:bottom w:w="0" w:type="dxa"/>
            <w:right w:w="108" w:type="dxa"/>
          </w:tblCellMar>
        </w:tblPrEx>
        <w:trPr>
          <w:trHeight w:val="285" w:hRule="atLeast"/>
          <w:jc w:val="center"/>
        </w:trPr>
        <w:tc>
          <w:tcPr>
            <w:tcW w:w="2609" w:type="dxa"/>
            <w:tcBorders>
              <w:top w:val="nil"/>
              <w:left w:val="nil"/>
              <w:bottom w:val="single" w:color="auto" w:sz="4" w:space="0"/>
              <w:right w:val="single" w:color="auto" w:sz="4" w:space="0"/>
            </w:tcBorders>
            <w:shd w:val="clear" w:color="000000" w:fill="FFFF00"/>
            <w:vAlign w:val="bottom"/>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7.1规划成本管理</w:t>
            </w:r>
          </w:p>
        </w:tc>
        <w:tc>
          <w:tcPr>
            <w:tcW w:w="2442" w:type="dxa"/>
            <w:tcBorders>
              <w:top w:val="nil"/>
              <w:left w:val="nil"/>
              <w:bottom w:val="single" w:color="auto" w:sz="4" w:space="0"/>
              <w:right w:val="single" w:color="auto" w:sz="4" w:space="0"/>
            </w:tcBorders>
            <w:shd w:val="clear" w:color="000000" w:fill="FFFFFF"/>
            <w:vAlign w:val="bottom"/>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2212" w:type="dxa"/>
            <w:tcBorders>
              <w:top w:val="nil"/>
              <w:left w:val="nil"/>
              <w:bottom w:val="single" w:color="auto" w:sz="4" w:space="0"/>
              <w:right w:val="single" w:color="auto" w:sz="4" w:space="0"/>
            </w:tcBorders>
            <w:shd w:val="clear" w:color="000000" w:fill="FFFFFF"/>
            <w:vAlign w:val="bottom"/>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2473" w:type="dxa"/>
            <w:tcBorders>
              <w:top w:val="nil"/>
              <w:left w:val="nil"/>
              <w:bottom w:val="single" w:color="auto" w:sz="4" w:space="0"/>
              <w:right w:val="single" w:color="auto" w:sz="8" w:space="0"/>
            </w:tcBorders>
            <w:shd w:val="clear" w:color="auto" w:fill="auto"/>
            <w:vAlign w:val="bottom"/>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　</w:t>
            </w:r>
          </w:p>
        </w:tc>
      </w:tr>
      <w:tr>
        <w:tblPrEx>
          <w:tblLayout w:type="fixed"/>
          <w:tblCellMar>
            <w:top w:w="0" w:type="dxa"/>
            <w:left w:w="108" w:type="dxa"/>
            <w:bottom w:w="0" w:type="dxa"/>
            <w:right w:w="108" w:type="dxa"/>
          </w:tblCellMar>
        </w:tblPrEx>
        <w:trPr>
          <w:trHeight w:val="285" w:hRule="atLeast"/>
          <w:jc w:val="center"/>
        </w:trPr>
        <w:tc>
          <w:tcPr>
            <w:tcW w:w="2609" w:type="dxa"/>
            <w:tcBorders>
              <w:top w:val="nil"/>
              <w:left w:val="nil"/>
              <w:bottom w:val="single" w:color="auto" w:sz="4" w:space="0"/>
              <w:right w:val="single" w:color="auto" w:sz="4" w:space="0"/>
            </w:tcBorders>
            <w:shd w:val="clear" w:color="000000" w:fill="FFFF00"/>
            <w:vAlign w:val="bottom"/>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11.1规划风险管理</w:t>
            </w:r>
          </w:p>
        </w:tc>
        <w:tc>
          <w:tcPr>
            <w:tcW w:w="2442" w:type="dxa"/>
            <w:tcBorders>
              <w:top w:val="nil"/>
              <w:left w:val="nil"/>
              <w:bottom w:val="single" w:color="auto" w:sz="4" w:space="0"/>
              <w:right w:val="single" w:color="auto" w:sz="4" w:space="0"/>
            </w:tcBorders>
            <w:shd w:val="clear" w:color="000000" w:fill="FFFFFF"/>
            <w:vAlign w:val="bottom"/>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2212" w:type="dxa"/>
            <w:tcBorders>
              <w:top w:val="nil"/>
              <w:left w:val="nil"/>
              <w:bottom w:val="single" w:color="auto" w:sz="4" w:space="0"/>
              <w:right w:val="single" w:color="auto" w:sz="4" w:space="0"/>
            </w:tcBorders>
            <w:shd w:val="clear" w:color="000000" w:fill="FFFFFF"/>
            <w:vAlign w:val="bottom"/>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2473" w:type="dxa"/>
            <w:tcBorders>
              <w:top w:val="nil"/>
              <w:left w:val="nil"/>
              <w:bottom w:val="single" w:color="auto" w:sz="4" w:space="0"/>
              <w:right w:val="single" w:color="auto" w:sz="8" w:space="0"/>
            </w:tcBorders>
            <w:shd w:val="clear" w:color="auto" w:fill="auto"/>
            <w:vAlign w:val="bottom"/>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　</w:t>
            </w:r>
          </w:p>
        </w:tc>
      </w:tr>
      <w:tr>
        <w:tblPrEx>
          <w:tblLayout w:type="fixed"/>
          <w:tblCellMar>
            <w:top w:w="0" w:type="dxa"/>
            <w:left w:w="108" w:type="dxa"/>
            <w:bottom w:w="0" w:type="dxa"/>
            <w:right w:w="108" w:type="dxa"/>
          </w:tblCellMar>
        </w:tblPrEx>
        <w:trPr>
          <w:trHeight w:val="300" w:hRule="atLeast"/>
          <w:jc w:val="center"/>
        </w:trPr>
        <w:tc>
          <w:tcPr>
            <w:tcW w:w="2609" w:type="dxa"/>
            <w:tcBorders>
              <w:top w:val="nil"/>
              <w:left w:val="nil"/>
              <w:bottom w:val="single" w:color="auto" w:sz="8" w:space="0"/>
              <w:right w:val="single" w:color="auto" w:sz="4" w:space="0"/>
            </w:tcBorders>
            <w:shd w:val="clear" w:color="000000" w:fill="FFFF00"/>
            <w:vAlign w:val="bottom"/>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13.2规划干系人管理</w:t>
            </w:r>
          </w:p>
        </w:tc>
        <w:tc>
          <w:tcPr>
            <w:tcW w:w="2442" w:type="dxa"/>
            <w:tcBorders>
              <w:top w:val="nil"/>
              <w:left w:val="nil"/>
              <w:bottom w:val="single" w:color="auto" w:sz="8" w:space="0"/>
              <w:right w:val="single" w:color="auto" w:sz="4" w:space="0"/>
            </w:tcBorders>
            <w:shd w:val="clear" w:color="000000" w:fill="FFFFFF"/>
            <w:vAlign w:val="bottom"/>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2212" w:type="dxa"/>
            <w:tcBorders>
              <w:top w:val="nil"/>
              <w:left w:val="nil"/>
              <w:bottom w:val="single" w:color="auto" w:sz="8" w:space="0"/>
              <w:right w:val="single" w:color="auto" w:sz="4" w:space="0"/>
            </w:tcBorders>
            <w:shd w:val="clear" w:color="000000" w:fill="FFFFFF"/>
            <w:vAlign w:val="bottom"/>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2473" w:type="dxa"/>
            <w:tcBorders>
              <w:top w:val="nil"/>
              <w:left w:val="nil"/>
              <w:bottom w:val="single" w:color="auto" w:sz="8" w:space="0"/>
              <w:right w:val="single" w:color="auto" w:sz="8" w:space="0"/>
            </w:tcBorders>
            <w:shd w:val="clear" w:color="auto" w:fill="auto"/>
            <w:vAlign w:val="bottom"/>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　</w:t>
            </w:r>
          </w:p>
        </w:tc>
      </w:tr>
    </w:tbl>
    <w:p>
      <w:pPr>
        <w:pStyle w:val="11"/>
        <w:spacing w:line="360" w:lineRule="auto"/>
        <w:ind w:left="420" w:firstLine="482"/>
        <w:rPr>
          <w:rFonts w:ascii="宋体" w:hAnsi="宋体" w:eastAsia="宋体"/>
          <w:sz w:val="24"/>
          <w:szCs w:val="24"/>
        </w:rPr>
      </w:pPr>
      <w:r>
        <w:rPr>
          <w:rFonts w:hint="eastAsia" w:ascii="宋体" w:hAnsi="宋体" w:eastAsia="宋体"/>
          <w:b/>
          <w:sz w:val="24"/>
          <w:szCs w:val="24"/>
        </w:rPr>
        <w:t>时间序列</w:t>
      </w:r>
      <w:r>
        <w:rPr>
          <w:rFonts w:hint="eastAsia" w:ascii="宋体" w:hAnsi="宋体" w:eastAsia="宋体"/>
          <w:sz w:val="24"/>
          <w:szCs w:val="24"/>
        </w:rPr>
        <w:t>，也叫时间数列、历史复数或动态数列。它是将某种统计指标的数值，按时间先后顺序排到所形成的数列。时间序列预测法就是通过编制和分析时间序列，根据时间序列所反映出来的发展过程、方向和趋势，进行类推或延伸，借以预测下一段时间或以后若干年内可能达到的水平。其内容包括：收集与整理某种社会现象的历史资料；对这些资料进行检查鉴别，排成数列；分析时间数列，从中寻找该社会现象随时间变化而变化的规律，得出一定的模式；以此模式去预测该社会现象将来的情况。</w:t>
      </w:r>
    </w:p>
    <w:p>
      <w:pPr>
        <w:pStyle w:val="11"/>
        <w:spacing w:line="360" w:lineRule="auto"/>
        <w:ind w:left="420" w:firstLine="482"/>
        <w:rPr>
          <w:rFonts w:ascii="宋体" w:hAnsi="宋体" w:eastAsia="宋体"/>
          <w:sz w:val="24"/>
          <w:szCs w:val="24"/>
        </w:rPr>
      </w:pPr>
      <w:r>
        <w:rPr>
          <w:rFonts w:hint="eastAsia" w:ascii="宋体" w:hAnsi="宋体" w:eastAsia="宋体"/>
          <w:b/>
          <w:sz w:val="24"/>
          <w:szCs w:val="24"/>
        </w:rPr>
        <w:t>回归分析</w:t>
      </w:r>
      <w:r>
        <w:rPr>
          <w:rFonts w:hint="eastAsia" w:ascii="宋体" w:hAnsi="宋体" w:eastAsia="宋体"/>
          <w:sz w:val="24"/>
          <w:szCs w:val="24"/>
        </w:rPr>
        <w:t>，是一种预测性的建模技术，它研究的是因变量（目标）和自变量（预测器）之间的关系。这种技术通常用于预测分析，时间序列模型以及发现变量之间的因果关系。例如，司机的鲁莽驾驶与道路交通事故数量之间的关系，最好的研究方法就是回归。</w:t>
      </w:r>
    </w:p>
    <w:p>
      <w:pPr>
        <w:pStyle w:val="11"/>
        <w:spacing w:line="360" w:lineRule="auto"/>
        <w:ind w:left="420" w:firstLine="482"/>
        <w:rPr>
          <w:rFonts w:ascii="宋体" w:hAnsi="宋体" w:eastAsia="宋体"/>
          <w:sz w:val="24"/>
          <w:szCs w:val="24"/>
        </w:rPr>
      </w:pPr>
      <w:r>
        <w:rPr>
          <w:rFonts w:hint="eastAsia" w:ascii="宋体" w:hAnsi="宋体" w:eastAsia="宋体"/>
          <w:b/>
          <w:sz w:val="24"/>
          <w:szCs w:val="24"/>
        </w:rPr>
        <w:t>故障树分析（</w:t>
      </w:r>
      <w:r>
        <w:rPr>
          <w:rFonts w:ascii="宋体" w:hAnsi="宋体" w:eastAsia="宋体"/>
          <w:b/>
          <w:sz w:val="24"/>
          <w:szCs w:val="24"/>
        </w:rPr>
        <w:t>FTA）</w:t>
      </w:r>
      <w:r>
        <w:rPr>
          <w:rFonts w:hint="eastAsia" w:ascii="宋体" w:hAnsi="宋体" w:eastAsia="宋体"/>
          <w:sz w:val="24"/>
          <w:szCs w:val="24"/>
        </w:rPr>
        <w:t>，是一种描述事故因果关系的有方向的</w:t>
      </w:r>
      <w:r>
        <w:rPr>
          <w:rFonts w:ascii="宋体" w:hAnsi="宋体" w:eastAsia="宋体"/>
          <w:sz w:val="24"/>
          <w:szCs w:val="24"/>
        </w:rPr>
        <w:t>"树",是系统安全工程中的重要的分析方法之一,他能对各种系统的危险性进行识别评价,既适用于定性分析,又能进行定量分析,具有简明,形象化的特点,体现了以系统工程方法研究安全问题的系统性,准确性和预测性。</w:t>
      </w:r>
    </w:p>
    <w:p>
      <w:pPr>
        <w:pStyle w:val="11"/>
        <w:spacing w:line="360" w:lineRule="auto"/>
        <w:ind w:left="420" w:firstLine="482"/>
        <w:rPr>
          <w:rFonts w:ascii="宋体" w:hAnsi="宋体" w:eastAsia="宋体"/>
          <w:sz w:val="24"/>
          <w:szCs w:val="24"/>
        </w:rPr>
      </w:pPr>
      <w:r>
        <w:rPr>
          <w:rFonts w:hint="eastAsia" w:ascii="宋体" w:hAnsi="宋体" w:eastAsia="宋体"/>
          <w:b/>
          <w:sz w:val="24"/>
          <w:szCs w:val="24"/>
        </w:rPr>
        <w:t>失效模式与影响分析（</w:t>
      </w:r>
      <w:r>
        <w:rPr>
          <w:rFonts w:ascii="宋体" w:hAnsi="宋体" w:eastAsia="宋体"/>
          <w:b/>
          <w:sz w:val="24"/>
          <w:szCs w:val="24"/>
        </w:rPr>
        <w:t>FMEA）</w:t>
      </w:r>
      <w:r>
        <w:rPr>
          <w:rFonts w:hint="eastAsia" w:ascii="宋体" w:hAnsi="宋体" w:eastAsia="宋体"/>
          <w:sz w:val="24"/>
          <w:szCs w:val="24"/>
        </w:rPr>
        <w:t>，又叫做故障模式影响分析</w:t>
      </w:r>
      <w:r>
        <w:rPr>
          <w:rFonts w:ascii="宋体" w:hAnsi="宋体" w:eastAsia="宋体"/>
          <w:sz w:val="24"/>
          <w:szCs w:val="24"/>
        </w:rPr>
        <w:t>(Failure Mode and Effects Analysis,简记为FMEA),是分析系统中每一产品所有可能产生的故障模式及其对系统造成的所有可能影响,并按每一个 故障模式的严重程度,检测难易程序以及发生频度予以分类的一种归纳分析方法。</w:t>
      </w:r>
      <w:r>
        <w:rPr>
          <w:rFonts w:hint="eastAsia" w:ascii="宋体" w:hAnsi="宋体" w:eastAsia="宋体"/>
          <w:sz w:val="24"/>
          <w:szCs w:val="24"/>
        </w:rPr>
        <w:t>实行失效模式与影响分析能够容易、低成本地对产品或过程进行修改，从而减轻事后修改的危机；也能够找到避免或减少这些潜在失效发生的措施。</w:t>
      </w:r>
    </w:p>
    <w:p>
      <w:pPr>
        <w:pStyle w:val="5"/>
        <w:numPr>
          <w:ilvl w:val="0"/>
          <w:numId w:val="1"/>
        </w:numPr>
        <w:jc w:val="left"/>
      </w:pPr>
      <w:r>
        <w:rPr>
          <w:rFonts w:hint="eastAsia"/>
        </w:rPr>
        <w:t>工作绩效数据、工作绩效信息、工作绩效报告</w:t>
      </w:r>
    </w:p>
    <w:p>
      <w:pPr>
        <w:spacing w:line="360" w:lineRule="auto"/>
        <w:ind w:firstLine="420"/>
        <w:rPr>
          <w:rFonts w:ascii="宋体" w:hAnsi="宋体" w:eastAsia="宋体"/>
          <w:sz w:val="24"/>
          <w:szCs w:val="24"/>
        </w:rPr>
      </w:pPr>
      <w:r>
        <w:rPr>
          <w:rFonts w:hint="eastAsia" w:ascii="宋体" w:hAnsi="宋体" w:eastAsia="宋体"/>
          <w:sz w:val="24"/>
          <w:szCs w:val="24"/>
        </w:rPr>
        <w:t>工作绩效数据，是在执行项目工作的过程中，从每个正在执行的活动中收集到的</w:t>
      </w:r>
      <w:r>
        <w:rPr>
          <w:rFonts w:hint="eastAsia" w:ascii="宋体" w:hAnsi="宋体" w:eastAsia="宋体"/>
          <w:b/>
          <w:sz w:val="24"/>
          <w:szCs w:val="24"/>
        </w:rPr>
        <w:t>原始观察结果和测量值</w:t>
      </w:r>
      <w:r>
        <w:rPr>
          <w:rFonts w:hint="eastAsia" w:ascii="宋体" w:hAnsi="宋体" w:eastAsia="宋体"/>
          <w:sz w:val="24"/>
          <w:szCs w:val="24"/>
        </w:rPr>
        <w:t>。</w:t>
      </w:r>
      <w:r>
        <w:rPr>
          <w:rFonts w:hint="eastAsia" w:ascii="宋体" w:hAnsi="宋体" w:eastAsia="宋体"/>
          <w:b/>
          <w:sz w:val="24"/>
          <w:szCs w:val="24"/>
        </w:rPr>
        <w:t>产生于</w:t>
      </w:r>
      <w:r>
        <w:rPr>
          <w:rFonts w:ascii="宋体" w:hAnsi="宋体" w:eastAsia="宋体"/>
          <w:b/>
          <w:sz w:val="24"/>
          <w:szCs w:val="24"/>
        </w:rPr>
        <w:t>4.3指导与管理项目执行</w:t>
      </w:r>
      <w:r>
        <w:rPr>
          <w:rFonts w:hint="eastAsia" w:ascii="宋体" w:hAnsi="宋体" w:eastAsia="宋体"/>
          <w:b/>
          <w:sz w:val="24"/>
          <w:szCs w:val="24"/>
        </w:rPr>
        <w:t>过程</w:t>
      </w:r>
      <w:r>
        <w:rPr>
          <w:rFonts w:hint="eastAsia" w:ascii="宋体" w:hAnsi="宋体" w:eastAsia="宋体"/>
          <w:sz w:val="24"/>
          <w:szCs w:val="24"/>
        </w:rPr>
        <w:t>。</w:t>
      </w:r>
    </w:p>
    <w:p>
      <w:pPr>
        <w:spacing w:line="360" w:lineRule="auto"/>
        <w:ind w:firstLine="420"/>
        <w:rPr>
          <w:rFonts w:ascii="宋体" w:hAnsi="宋体" w:eastAsia="宋体"/>
          <w:sz w:val="24"/>
          <w:szCs w:val="24"/>
        </w:rPr>
      </w:pPr>
      <w:r>
        <w:rPr>
          <w:rFonts w:hint="eastAsia" w:ascii="宋体" w:hAnsi="宋体" w:eastAsia="宋体"/>
          <w:sz w:val="24"/>
          <w:szCs w:val="24"/>
        </w:rPr>
        <w:t>工作绩效信息，</w:t>
      </w:r>
      <w:r>
        <w:rPr>
          <w:rFonts w:hint="eastAsia" w:ascii="宋体" w:hAnsi="宋体" w:eastAsia="宋体"/>
          <w:b/>
          <w:sz w:val="24"/>
          <w:szCs w:val="24"/>
        </w:rPr>
        <w:t>包括可交付成果的状态、变更请求的落实情况及预测的完工尚需估算。</w:t>
      </w:r>
      <w:r>
        <w:rPr>
          <w:rFonts w:hint="eastAsia" w:ascii="宋体" w:hAnsi="宋体" w:eastAsia="宋体"/>
          <w:sz w:val="24"/>
          <w:szCs w:val="24"/>
        </w:rPr>
        <w:t>是从</w:t>
      </w:r>
      <w:r>
        <w:rPr>
          <w:rFonts w:hint="eastAsia" w:ascii="宋体" w:hAnsi="宋体" w:eastAsia="宋体"/>
          <w:b/>
          <w:sz w:val="24"/>
          <w:szCs w:val="24"/>
        </w:rPr>
        <w:t>各控制过程中（</w:t>
      </w:r>
      <w:r>
        <w:rPr>
          <w:rFonts w:ascii="宋体" w:hAnsi="宋体" w:eastAsia="宋体"/>
          <w:b/>
          <w:sz w:val="24"/>
          <w:szCs w:val="24"/>
        </w:rPr>
        <w:t>9个监控过程组</w:t>
      </w:r>
      <w:r>
        <w:rPr>
          <w:rFonts w:hint="eastAsia" w:ascii="宋体" w:hAnsi="宋体" w:eastAsia="宋体"/>
          <w:b/>
          <w:sz w:val="24"/>
          <w:szCs w:val="24"/>
        </w:rPr>
        <w:t>，</w:t>
      </w:r>
      <w:r>
        <w:rPr>
          <w:rFonts w:hint="eastAsia" w:ascii="宋体" w:hAnsi="宋体" w:eastAsia="宋体"/>
          <w:sz w:val="24"/>
          <w:szCs w:val="24"/>
        </w:rPr>
        <w:t>第</w:t>
      </w:r>
      <w:r>
        <w:rPr>
          <w:rFonts w:ascii="宋体" w:hAnsi="宋体" w:eastAsia="宋体"/>
          <w:sz w:val="24"/>
          <w:szCs w:val="24"/>
        </w:rPr>
        <w:t>4章不需要；第5章2个；第9章人力资源管理没有监控过程。</w:t>
      </w:r>
      <w:r>
        <w:rPr>
          <w:rFonts w:hint="eastAsia" w:ascii="宋体" w:hAnsi="宋体" w:eastAsia="宋体"/>
          <w:b/>
          <w:sz w:val="24"/>
          <w:szCs w:val="24"/>
        </w:rPr>
        <w:t>）</w:t>
      </w:r>
      <w:r>
        <w:rPr>
          <w:rFonts w:hint="eastAsia" w:ascii="宋体" w:hAnsi="宋体" w:eastAsia="宋体"/>
          <w:sz w:val="24"/>
          <w:szCs w:val="24"/>
        </w:rPr>
        <w:t>收集并结合相关背景和跨领域关系，进行</w:t>
      </w:r>
      <w:r>
        <w:rPr>
          <w:rFonts w:hint="eastAsia" w:ascii="宋体" w:hAnsi="宋体" w:eastAsia="宋体"/>
          <w:b/>
          <w:sz w:val="24"/>
          <w:szCs w:val="24"/>
        </w:rPr>
        <w:t>整合分析而得的绩效数据</w:t>
      </w:r>
      <w:r>
        <w:rPr>
          <w:rFonts w:hint="eastAsia" w:ascii="宋体" w:hAnsi="宋体" w:eastAsia="宋体"/>
          <w:sz w:val="24"/>
          <w:szCs w:val="24"/>
        </w:rPr>
        <w:t>。工作绩效信息考虑了相互关系和所处背景，</w:t>
      </w:r>
      <w:r>
        <w:rPr>
          <w:rFonts w:hint="eastAsia" w:ascii="宋体" w:hAnsi="宋体" w:eastAsia="宋体"/>
          <w:b/>
          <w:sz w:val="24"/>
          <w:szCs w:val="24"/>
        </w:rPr>
        <w:t>可以作为项目决策的可靠基础</w:t>
      </w:r>
      <w:r>
        <w:rPr>
          <w:rFonts w:hint="eastAsia" w:ascii="宋体" w:hAnsi="宋体" w:eastAsia="宋体"/>
          <w:sz w:val="24"/>
          <w:szCs w:val="24"/>
        </w:rPr>
        <w:t>。</w:t>
      </w:r>
    </w:p>
    <w:p>
      <w:pPr>
        <w:spacing w:line="360" w:lineRule="auto"/>
        <w:ind w:firstLine="420"/>
        <w:rPr>
          <w:rFonts w:ascii="宋体" w:hAnsi="宋体" w:eastAsia="宋体"/>
          <w:b/>
          <w:sz w:val="24"/>
          <w:szCs w:val="24"/>
        </w:rPr>
      </w:pPr>
      <w:r>
        <w:rPr>
          <w:rFonts w:hint="eastAsia" w:ascii="宋体" w:hAnsi="宋体" w:eastAsia="宋体"/>
          <w:sz w:val="24"/>
          <w:szCs w:val="24"/>
        </w:rPr>
        <w:t>工作绩效报告，是为制定决策、采取行动或引起关注而汇编工作绩效信息所形成的实物或电子项目文件。</w:t>
      </w:r>
      <w:r>
        <w:rPr>
          <w:rFonts w:hint="eastAsia" w:ascii="宋体" w:hAnsi="宋体" w:eastAsia="宋体"/>
          <w:b/>
          <w:sz w:val="24"/>
          <w:szCs w:val="24"/>
        </w:rPr>
        <w:t>产生于</w:t>
      </w:r>
      <w:r>
        <w:rPr>
          <w:rFonts w:ascii="宋体" w:hAnsi="宋体" w:eastAsia="宋体"/>
          <w:b/>
          <w:sz w:val="24"/>
          <w:szCs w:val="24"/>
        </w:rPr>
        <w:t>4.4监控项目工作过程</w:t>
      </w:r>
      <w:r>
        <w:rPr>
          <w:rFonts w:ascii="宋体" w:hAnsi="宋体" w:eastAsia="宋体"/>
          <w:sz w:val="24"/>
          <w:szCs w:val="24"/>
        </w:rPr>
        <w:t>。</w:t>
      </w:r>
      <w:r>
        <w:rPr>
          <w:rFonts w:hint="eastAsia" w:ascii="宋体" w:hAnsi="宋体" w:eastAsia="宋体"/>
          <w:sz w:val="24"/>
          <w:szCs w:val="24"/>
        </w:rPr>
        <w:t>即通过收集、测量和发布绩效信息，分析测量结果和预测趋势将工作绩效信息分析加工产生。用来</w:t>
      </w:r>
      <w:r>
        <w:rPr>
          <w:rFonts w:hint="eastAsia" w:ascii="宋体" w:hAnsi="宋体" w:eastAsia="宋体"/>
          <w:b/>
          <w:sz w:val="24"/>
          <w:szCs w:val="24"/>
        </w:rPr>
        <w:t>推动过程改进。</w:t>
      </w:r>
    </w:p>
    <w:p>
      <w:pPr>
        <w:pStyle w:val="5"/>
        <w:numPr>
          <w:ilvl w:val="0"/>
          <w:numId w:val="1"/>
        </w:numPr>
        <w:jc w:val="left"/>
      </w:pPr>
      <w:r>
        <w:rPr>
          <w:rFonts w:hint="eastAsia"/>
        </w:rPr>
        <w:t>资源平衡、资源平滑。</w:t>
      </w:r>
    </w:p>
    <w:p>
      <w:pPr>
        <w:spacing w:line="360" w:lineRule="auto"/>
        <w:ind w:firstLine="420"/>
        <w:rPr>
          <w:rFonts w:ascii="宋体" w:hAnsi="宋体" w:eastAsia="宋体"/>
          <w:sz w:val="24"/>
          <w:szCs w:val="24"/>
        </w:rPr>
      </w:pPr>
      <w:r>
        <w:rPr>
          <w:rFonts w:hint="eastAsia" w:ascii="宋体" w:hAnsi="宋体" w:eastAsia="宋体"/>
          <w:b/>
          <w:sz w:val="24"/>
          <w:szCs w:val="24"/>
        </w:rPr>
        <w:t>二者都是资源优化技术。</w:t>
      </w:r>
      <w:r>
        <w:rPr>
          <w:rFonts w:hint="eastAsia" w:ascii="宋体" w:hAnsi="宋体" w:eastAsia="宋体"/>
          <w:sz w:val="24"/>
          <w:szCs w:val="24"/>
        </w:rPr>
        <w:t>是</w:t>
      </w:r>
      <w:r>
        <w:rPr>
          <w:rFonts w:ascii="宋体" w:hAnsi="宋体" w:eastAsia="宋体"/>
          <w:sz w:val="24"/>
          <w:szCs w:val="24"/>
        </w:rPr>
        <w:t>6.6制定进度计划</w:t>
      </w:r>
      <w:r>
        <w:rPr>
          <w:rFonts w:hint="eastAsia" w:ascii="宋体" w:hAnsi="宋体" w:eastAsia="宋体"/>
          <w:sz w:val="24"/>
          <w:szCs w:val="24"/>
        </w:rPr>
        <w:t>、</w:t>
      </w:r>
      <w:r>
        <w:rPr>
          <w:rFonts w:ascii="宋体" w:hAnsi="宋体" w:eastAsia="宋体"/>
          <w:sz w:val="24"/>
          <w:szCs w:val="24"/>
        </w:rPr>
        <w:t>6.7控制进度</w:t>
      </w:r>
      <w:r>
        <w:rPr>
          <w:rFonts w:hint="eastAsia" w:ascii="宋体" w:hAnsi="宋体" w:eastAsia="宋体"/>
          <w:sz w:val="24"/>
          <w:szCs w:val="24"/>
        </w:rPr>
        <w:t>的工具和技术。资源优化技术是根据资源供需情况，来调整进度模型的技术，包括资源平衡，资源平滑。</w:t>
      </w:r>
    </w:p>
    <w:p>
      <w:pPr>
        <w:spacing w:line="360" w:lineRule="auto"/>
        <w:ind w:firstLine="420"/>
        <w:rPr>
          <w:rFonts w:ascii="宋体" w:hAnsi="宋体" w:eastAsia="宋体"/>
          <w:sz w:val="24"/>
          <w:szCs w:val="24"/>
        </w:rPr>
      </w:pPr>
      <w:r>
        <w:rPr>
          <w:rFonts w:hint="eastAsia" w:ascii="宋体" w:hAnsi="宋体" w:eastAsia="宋体"/>
          <w:b/>
          <w:sz w:val="24"/>
          <w:szCs w:val="24"/>
        </w:rPr>
        <w:t>资源平衡是为了在资源需求与资源供给之间取得平衡</w:t>
      </w:r>
      <w:r>
        <w:rPr>
          <w:rFonts w:hint="eastAsia" w:ascii="宋体" w:hAnsi="宋体" w:eastAsia="宋体"/>
          <w:sz w:val="24"/>
          <w:szCs w:val="24"/>
        </w:rPr>
        <w:t>，根据资源制约对开始日期和结束日期进行调整的一种技术。</w:t>
      </w:r>
      <w:r>
        <w:rPr>
          <w:rFonts w:hint="eastAsia" w:ascii="宋体" w:hAnsi="宋体" w:eastAsia="宋体"/>
          <w:b/>
          <w:sz w:val="24"/>
          <w:szCs w:val="24"/>
        </w:rPr>
        <w:t>资源平衡往往导致关键路径改变，通常是延长。</w:t>
      </w:r>
    </w:p>
    <w:p>
      <w:pPr>
        <w:spacing w:line="360" w:lineRule="auto"/>
        <w:ind w:firstLine="420"/>
        <w:rPr>
          <w:rFonts w:ascii="宋体" w:hAnsi="宋体" w:eastAsia="宋体"/>
          <w:sz w:val="24"/>
          <w:szCs w:val="24"/>
        </w:rPr>
      </w:pPr>
      <w:r>
        <w:rPr>
          <w:rFonts w:hint="eastAsia" w:ascii="宋体" w:hAnsi="宋体" w:eastAsia="宋体"/>
          <w:b/>
          <w:sz w:val="24"/>
          <w:szCs w:val="24"/>
        </w:rPr>
        <w:t>资源平滑是对进度模型中的活动进行调整</w:t>
      </w:r>
      <w:r>
        <w:rPr>
          <w:rFonts w:hint="eastAsia" w:ascii="宋体" w:hAnsi="宋体" w:eastAsia="宋体"/>
          <w:sz w:val="24"/>
          <w:szCs w:val="24"/>
        </w:rPr>
        <w:t>，从而使项目资源需求不超过预定的资源限制的一种技术。</w:t>
      </w:r>
      <w:r>
        <w:rPr>
          <w:rFonts w:hint="eastAsia" w:ascii="宋体" w:hAnsi="宋体" w:eastAsia="宋体"/>
          <w:b/>
          <w:sz w:val="24"/>
          <w:szCs w:val="24"/>
        </w:rPr>
        <w:t>资源平滑不会改变项目关键路径，完工日期也不会延迟</w:t>
      </w:r>
      <w:r>
        <w:rPr>
          <w:rFonts w:hint="eastAsia" w:ascii="宋体" w:hAnsi="宋体" w:eastAsia="宋体"/>
          <w:sz w:val="24"/>
          <w:szCs w:val="24"/>
        </w:rPr>
        <w:t>。也就是说，活动只在其自由和总浮动时间内延迟。因此，</w:t>
      </w:r>
      <w:r>
        <w:rPr>
          <w:rFonts w:hint="eastAsia" w:ascii="宋体" w:hAnsi="宋体" w:eastAsia="宋体"/>
          <w:b/>
          <w:sz w:val="24"/>
          <w:szCs w:val="24"/>
        </w:rPr>
        <w:t>资源平滑技术可能无法实现所有资源的优化。</w:t>
      </w:r>
    </w:p>
    <w:p>
      <w:pPr>
        <w:pStyle w:val="5"/>
        <w:numPr>
          <w:ilvl w:val="0"/>
          <w:numId w:val="1"/>
        </w:numPr>
        <w:jc w:val="left"/>
      </w:pPr>
      <w:r>
        <w:rPr>
          <w:rFonts w:hint="eastAsia"/>
        </w:rPr>
        <w:t>各计划、说明书的作用，输入输出场景是什么？</w:t>
      </w:r>
    </w:p>
    <w:p>
      <w:pPr>
        <w:pStyle w:val="11"/>
        <w:spacing w:line="360" w:lineRule="auto"/>
        <w:ind w:left="420" w:firstLine="480"/>
        <w:rPr>
          <w:rFonts w:ascii="宋体" w:hAnsi="宋体" w:eastAsia="宋体"/>
          <w:sz w:val="24"/>
          <w:szCs w:val="24"/>
        </w:rPr>
      </w:pPr>
      <w:r>
        <w:rPr>
          <w:rFonts w:hint="eastAsia" w:ascii="宋体" w:hAnsi="宋体" w:eastAsia="宋体"/>
          <w:sz w:val="24"/>
          <w:szCs w:val="24"/>
        </w:rPr>
        <w:t>风险管理计划包含：风险管理方法、应对人、如何得出风险应对预算、更新风险登记册的频率、风险类别、概率影响矩阵、干系人承受力、风险报告格式（</w:t>
      </w:r>
      <w:r>
        <w:rPr>
          <w:rFonts w:ascii="宋体" w:hAnsi="宋体" w:eastAsia="宋体"/>
          <w:sz w:val="24"/>
          <w:szCs w:val="24"/>
        </w:rPr>
        <w:t>PMBOKP316-318）</w:t>
      </w:r>
    </w:p>
    <w:p>
      <w:pPr>
        <w:pStyle w:val="5"/>
        <w:numPr>
          <w:ilvl w:val="0"/>
          <w:numId w:val="1"/>
        </w:numPr>
        <w:jc w:val="left"/>
      </w:pPr>
      <w:r>
        <w:rPr>
          <w:rFonts w:hint="eastAsia"/>
        </w:rPr>
        <w:t>SMART原则</w:t>
      </w:r>
    </w:p>
    <w:p>
      <w:pPr>
        <w:pStyle w:val="5"/>
        <w:numPr>
          <w:ilvl w:val="0"/>
          <w:numId w:val="1"/>
        </w:numPr>
        <w:jc w:val="left"/>
      </w:pPr>
      <w:r>
        <w:rPr>
          <w:rFonts w:hint="eastAsia"/>
        </w:rPr>
        <w:t>产品分析的技术区分：</w:t>
      </w:r>
    </w:p>
    <w:p>
      <w:pPr>
        <w:pStyle w:val="11"/>
        <w:spacing w:line="360" w:lineRule="auto"/>
        <w:ind w:left="420" w:firstLine="0" w:firstLineChars="0"/>
        <w:rPr>
          <w:rFonts w:ascii="宋体" w:hAnsi="宋体" w:eastAsia="宋体"/>
          <w:sz w:val="24"/>
          <w:szCs w:val="24"/>
        </w:rPr>
      </w:pPr>
      <w:r>
        <w:rPr>
          <w:rFonts w:hint="eastAsia" w:ascii="宋体" w:hAnsi="宋体" w:eastAsia="宋体"/>
          <w:sz w:val="24"/>
          <w:szCs w:val="24"/>
        </w:rPr>
        <w:t>产品分解、系统分析、需求分析、系统工程、价值工程和价值分析。</w:t>
      </w:r>
    </w:p>
    <w:p>
      <w:pPr>
        <w:pStyle w:val="5"/>
        <w:numPr>
          <w:ilvl w:val="0"/>
          <w:numId w:val="1"/>
        </w:numPr>
        <w:jc w:val="left"/>
      </w:pPr>
      <w:r>
        <w:t>名义小组技术</w:t>
      </w:r>
    </w:p>
    <w:p>
      <w:pPr>
        <w:pStyle w:val="11"/>
        <w:spacing w:line="360" w:lineRule="auto"/>
        <w:ind w:left="420" w:firstLine="0" w:firstLineChars="0"/>
        <w:rPr>
          <w:rFonts w:ascii="宋体" w:hAnsi="宋体" w:eastAsia="宋体"/>
          <w:sz w:val="24"/>
          <w:szCs w:val="24"/>
        </w:rPr>
      </w:pPr>
      <w:r>
        <w:rPr>
          <w:rFonts w:ascii="宋体" w:hAnsi="宋体" w:eastAsia="宋体"/>
          <w:sz w:val="24"/>
          <w:szCs w:val="24"/>
        </w:rPr>
        <w:t>先由规模较小的群体进行头脑风暴，提出创意，再由规模较大的群体</w:t>
      </w:r>
      <w:r>
        <w:rPr>
          <w:rFonts w:hint="eastAsia" w:ascii="宋体" w:hAnsi="宋体" w:eastAsia="宋体"/>
          <w:sz w:val="24"/>
          <w:szCs w:val="24"/>
        </w:rPr>
        <w:t>对创意进行评审。</w:t>
      </w:r>
    </w:p>
    <w:p>
      <w:pPr>
        <w:pStyle w:val="5"/>
        <w:numPr>
          <w:ilvl w:val="0"/>
          <w:numId w:val="1"/>
        </w:numPr>
        <w:jc w:val="left"/>
        <w:rPr>
          <w:rFonts w:ascii="宋体" w:hAnsi="宋体" w:eastAsia="宋体"/>
          <w:sz w:val="24"/>
          <w:szCs w:val="24"/>
        </w:rPr>
      </w:pPr>
      <w:r>
        <w:rPr>
          <w:rFonts w:hint="eastAsia"/>
        </w:rPr>
        <w:t>七种合同类型比较</w:t>
      </w:r>
    </w:p>
    <w:tbl>
      <w:tblPr>
        <w:tblStyle w:val="8"/>
        <w:tblW w:w="9316"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1"/>
        <w:gridCol w:w="2168"/>
        <w:gridCol w:w="1134"/>
        <w:gridCol w:w="5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1" w:type="dxa"/>
          </w:tcPr>
          <w:p>
            <w:pPr>
              <w:pStyle w:val="11"/>
              <w:spacing w:line="360" w:lineRule="auto"/>
              <w:ind w:firstLine="0" w:firstLineChars="0"/>
              <w:jc w:val="center"/>
              <w:rPr>
                <w:rFonts w:ascii="宋体" w:hAnsi="宋体" w:eastAsia="宋体"/>
                <w:b/>
                <w:szCs w:val="21"/>
              </w:rPr>
            </w:pPr>
            <w:r>
              <w:rPr>
                <w:rFonts w:hint="eastAsia" w:ascii="宋体" w:hAnsi="宋体" w:eastAsia="宋体"/>
                <w:b/>
                <w:szCs w:val="21"/>
              </w:rPr>
              <w:t>分类</w:t>
            </w:r>
          </w:p>
        </w:tc>
        <w:tc>
          <w:tcPr>
            <w:tcW w:w="2168" w:type="dxa"/>
          </w:tcPr>
          <w:p>
            <w:pPr>
              <w:pStyle w:val="11"/>
              <w:spacing w:line="360" w:lineRule="auto"/>
              <w:ind w:firstLine="0" w:firstLineChars="0"/>
              <w:jc w:val="center"/>
              <w:rPr>
                <w:rFonts w:ascii="宋体" w:hAnsi="宋体" w:eastAsia="宋体"/>
                <w:b/>
                <w:szCs w:val="21"/>
              </w:rPr>
            </w:pPr>
            <w:r>
              <w:rPr>
                <w:rFonts w:hint="eastAsia" w:ascii="宋体" w:hAnsi="宋体" w:eastAsia="宋体"/>
                <w:b/>
                <w:szCs w:val="21"/>
              </w:rPr>
              <w:t>定义</w:t>
            </w:r>
          </w:p>
        </w:tc>
        <w:tc>
          <w:tcPr>
            <w:tcW w:w="1134" w:type="dxa"/>
          </w:tcPr>
          <w:p>
            <w:pPr>
              <w:pStyle w:val="11"/>
              <w:spacing w:line="360" w:lineRule="auto"/>
              <w:ind w:firstLine="0" w:firstLineChars="0"/>
              <w:jc w:val="center"/>
              <w:rPr>
                <w:rFonts w:ascii="宋体" w:hAnsi="宋体" w:eastAsia="宋体"/>
                <w:b/>
                <w:szCs w:val="21"/>
              </w:rPr>
            </w:pPr>
            <w:r>
              <w:rPr>
                <w:rFonts w:hint="eastAsia" w:ascii="宋体" w:hAnsi="宋体" w:eastAsia="宋体"/>
                <w:b/>
                <w:szCs w:val="21"/>
              </w:rPr>
              <w:t>名称</w:t>
            </w:r>
          </w:p>
        </w:tc>
        <w:tc>
          <w:tcPr>
            <w:tcW w:w="5063" w:type="dxa"/>
          </w:tcPr>
          <w:p>
            <w:pPr>
              <w:pStyle w:val="11"/>
              <w:spacing w:line="360" w:lineRule="auto"/>
              <w:ind w:firstLine="0" w:firstLineChars="0"/>
              <w:jc w:val="center"/>
              <w:rPr>
                <w:rFonts w:ascii="宋体" w:hAnsi="宋体" w:eastAsia="宋体"/>
                <w:b/>
                <w:szCs w:val="21"/>
              </w:rPr>
            </w:pPr>
            <w:r>
              <w:rPr>
                <w:rFonts w:hint="eastAsia" w:ascii="宋体" w:hAnsi="宋体" w:eastAsia="宋体"/>
                <w:b/>
                <w:szCs w:val="21"/>
              </w:rPr>
              <w:t>使用场景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1" w:type="dxa"/>
            <w:vMerge w:val="restart"/>
            <w:vAlign w:val="center"/>
          </w:tcPr>
          <w:p>
            <w:pPr>
              <w:pStyle w:val="11"/>
              <w:spacing w:line="360" w:lineRule="auto"/>
              <w:ind w:firstLine="0" w:firstLineChars="0"/>
              <w:jc w:val="center"/>
              <w:rPr>
                <w:rFonts w:ascii="宋体" w:hAnsi="宋体" w:eastAsia="宋体"/>
                <w:szCs w:val="21"/>
              </w:rPr>
            </w:pPr>
            <w:r>
              <w:rPr>
                <w:rFonts w:hint="eastAsia" w:ascii="宋体" w:hAnsi="宋体" w:eastAsia="宋体"/>
                <w:szCs w:val="21"/>
              </w:rPr>
              <w:t>总价</w:t>
            </w:r>
          </w:p>
          <w:p>
            <w:pPr>
              <w:pStyle w:val="11"/>
              <w:spacing w:line="360" w:lineRule="auto"/>
              <w:ind w:firstLine="0" w:firstLineChars="0"/>
              <w:jc w:val="center"/>
              <w:rPr>
                <w:rFonts w:ascii="宋体" w:hAnsi="宋体" w:eastAsia="宋体"/>
                <w:szCs w:val="21"/>
              </w:rPr>
            </w:pPr>
            <w:r>
              <w:rPr>
                <w:rFonts w:hint="eastAsia" w:ascii="宋体" w:hAnsi="宋体" w:eastAsia="宋体"/>
                <w:szCs w:val="21"/>
              </w:rPr>
              <w:t>合同</w:t>
            </w:r>
          </w:p>
        </w:tc>
        <w:tc>
          <w:tcPr>
            <w:tcW w:w="2168" w:type="dxa"/>
            <w:vMerge w:val="restart"/>
          </w:tcPr>
          <w:p>
            <w:pPr>
              <w:pStyle w:val="11"/>
              <w:spacing w:line="360" w:lineRule="auto"/>
              <w:ind w:firstLine="0" w:firstLineChars="0"/>
              <w:rPr>
                <w:rFonts w:ascii="宋体" w:hAnsi="宋体" w:eastAsia="宋体"/>
                <w:szCs w:val="21"/>
              </w:rPr>
            </w:pPr>
            <w:r>
              <w:rPr>
                <w:rFonts w:hint="eastAsia" w:ascii="宋体" w:hAnsi="宋体" w:eastAsia="宋体"/>
                <w:szCs w:val="21"/>
              </w:rPr>
              <w:t>为既定产品、服务或成果的采购设定一个总价，</w:t>
            </w:r>
            <w:r>
              <w:rPr>
                <w:rFonts w:hint="eastAsia" w:ascii="宋体" w:hAnsi="宋体" w:eastAsia="宋体"/>
                <w:b/>
                <w:szCs w:val="21"/>
              </w:rPr>
              <w:t>买方需要准确定义拟采购的产品或服务</w:t>
            </w:r>
            <w:r>
              <w:rPr>
                <w:rFonts w:hint="eastAsia" w:ascii="宋体" w:hAnsi="宋体" w:eastAsia="宋体"/>
                <w:szCs w:val="21"/>
              </w:rPr>
              <w:t>，对买方有利。虽然可能允许范围变更，但范围变更通常会导致合同价格提高。</w:t>
            </w:r>
          </w:p>
        </w:tc>
        <w:tc>
          <w:tcPr>
            <w:tcW w:w="1134" w:type="dxa"/>
            <w:vAlign w:val="center"/>
          </w:tcPr>
          <w:p>
            <w:pPr>
              <w:pStyle w:val="11"/>
              <w:spacing w:line="360" w:lineRule="auto"/>
              <w:ind w:firstLine="0" w:firstLineChars="0"/>
              <w:jc w:val="center"/>
              <w:rPr>
                <w:rFonts w:ascii="宋体" w:hAnsi="宋体" w:eastAsia="宋体"/>
                <w:szCs w:val="21"/>
              </w:rPr>
            </w:pPr>
            <w:r>
              <w:rPr>
                <w:rFonts w:hint="eastAsia" w:ascii="宋体" w:hAnsi="宋体" w:eastAsia="宋体"/>
                <w:szCs w:val="21"/>
              </w:rPr>
              <w:t>固定总价合同</w:t>
            </w:r>
            <w:r>
              <w:rPr>
                <w:rFonts w:ascii="宋体" w:hAnsi="宋体" w:eastAsia="宋体"/>
                <w:szCs w:val="21"/>
              </w:rPr>
              <w:t>FFP</w:t>
            </w:r>
          </w:p>
        </w:tc>
        <w:tc>
          <w:tcPr>
            <w:tcW w:w="5063" w:type="dxa"/>
          </w:tcPr>
          <w:p>
            <w:pPr>
              <w:pStyle w:val="11"/>
              <w:spacing w:line="360" w:lineRule="auto"/>
              <w:ind w:firstLine="0" w:firstLineChars="0"/>
              <w:rPr>
                <w:rFonts w:ascii="宋体" w:hAnsi="宋体" w:eastAsia="宋体"/>
                <w:szCs w:val="21"/>
              </w:rPr>
            </w:pPr>
            <w:r>
              <w:rPr>
                <w:rFonts w:hint="eastAsia" w:ascii="宋体" w:hAnsi="宋体" w:eastAsia="宋体"/>
                <w:b/>
                <w:szCs w:val="21"/>
              </w:rPr>
              <w:t>采购的价格在一开始就确定</w:t>
            </w:r>
            <w:r>
              <w:rPr>
                <w:rFonts w:hint="eastAsia" w:ascii="宋体" w:hAnsi="宋体" w:eastAsia="宋体"/>
                <w:szCs w:val="21"/>
              </w:rPr>
              <w:t>，并且不允许改变（除非工作范围发生变更）。卖方有义务完成工作，并且承担因不良绩效导致的任何成本增加。</w:t>
            </w:r>
            <w:r>
              <w:rPr>
                <w:rFonts w:hint="eastAsia" w:ascii="宋体" w:hAnsi="宋体" w:eastAsia="宋体"/>
                <w:b/>
                <w:szCs w:val="21"/>
              </w:rPr>
              <w:t>采购订单是固定总价合同。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1" w:type="dxa"/>
            <w:vMerge w:val="continue"/>
          </w:tcPr>
          <w:p>
            <w:pPr>
              <w:pStyle w:val="11"/>
              <w:spacing w:line="360" w:lineRule="auto"/>
              <w:ind w:firstLine="0" w:firstLineChars="0"/>
              <w:rPr>
                <w:rFonts w:ascii="宋体" w:hAnsi="宋体" w:eastAsia="宋体"/>
                <w:szCs w:val="21"/>
              </w:rPr>
            </w:pPr>
          </w:p>
        </w:tc>
        <w:tc>
          <w:tcPr>
            <w:tcW w:w="2168" w:type="dxa"/>
            <w:vMerge w:val="continue"/>
          </w:tcPr>
          <w:p>
            <w:pPr>
              <w:pStyle w:val="11"/>
              <w:spacing w:line="360" w:lineRule="auto"/>
              <w:ind w:firstLine="0" w:firstLineChars="0"/>
              <w:rPr>
                <w:rFonts w:ascii="宋体" w:hAnsi="宋体" w:eastAsia="宋体"/>
                <w:szCs w:val="21"/>
              </w:rPr>
            </w:pPr>
          </w:p>
        </w:tc>
        <w:tc>
          <w:tcPr>
            <w:tcW w:w="1134" w:type="dxa"/>
            <w:vAlign w:val="center"/>
          </w:tcPr>
          <w:p>
            <w:pPr>
              <w:pStyle w:val="11"/>
              <w:spacing w:line="360" w:lineRule="auto"/>
              <w:ind w:firstLine="0" w:firstLineChars="0"/>
              <w:jc w:val="center"/>
              <w:rPr>
                <w:rFonts w:ascii="宋体" w:hAnsi="宋体" w:eastAsia="宋体"/>
                <w:szCs w:val="21"/>
              </w:rPr>
            </w:pPr>
            <w:r>
              <w:rPr>
                <w:rFonts w:hint="eastAsia" w:ascii="宋体" w:hAnsi="宋体" w:eastAsia="宋体"/>
                <w:szCs w:val="21"/>
              </w:rPr>
              <w:t>总价加激励费用合同</w:t>
            </w:r>
            <w:r>
              <w:rPr>
                <w:rFonts w:ascii="宋体" w:hAnsi="宋体" w:eastAsia="宋体"/>
                <w:szCs w:val="21"/>
              </w:rPr>
              <w:t>FPIF</w:t>
            </w:r>
          </w:p>
        </w:tc>
        <w:tc>
          <w:tcPr>
            <w:tcW w:w="5063" w:type="dxa"/>
          </w:tcPr>
          <w:p>
            <w:pPr>
              <w:pStyle w:val="11"/>
              <w:spacing w:line="360" w:lineRule="auto"/>
              <w:ind w:firstLine="0" w:firstLineChars="0"/>
              <w:rPr>
                <w:rFonts w:ascii="宋体" w:hAnsi="宋体" w:eastAsia="宋体"/>
                <w:szCs w:val="21"/>
              </w:rPr>
            </w:pPr>
            <w:r>
              <w:rPr>
                <w:rFonts w:hint="eastAsia" w:ascii="宋体" w:hAnsi="宋体" w:eastAsia="宋体"/>
                <w:szCs w:val="21"/>
              </w:rPr>
              <w:t>对实现既定目标给予财务奖励。</w:t>
            </w:r>
            <w:r>
              <w:rPr>
                <w:rFonts w:hint="eastAsia" w:ascii="宋体" w:hAnsi="宋体" w:eastAsia="宋体"/>
                <w:b/>
                <w:szCs w:val="21"/>
              </w:rPr>
              <w:t>财务奖励通常与卖方的成本、进度或技术绩效有关</w:t>
            </w:r>
            <w:r>
              <w:rPr>
                <w:rFonts w:hint="eastAsia" w:ascii="宋体" w:hAnsi="宋体" w:eastAsia="宋体"/>
                <w:szCs w:val="21"/>
              </w:rPr>
              <w:t>。绩效目标一开始就要制定好，而最终的合同价格要待全部工作结束后根据卖方绩效来确定。</w:t>
            </w:r>
            <w:r>
              <w:rPr>
                <w:rFonts w:hint="eastAsia" w:ascii="宋体" w:hAnsi="宋体" w:eastAsia="宋体"/>
                <w:b/>
                <w:szCs w:val="21"/>
              </w:rPr>
              <w:t>要设置价格上限</w:t>
            </w:r>
            <w:r>
              <w:rPr>
                <w:rFonts w:hint="eastAsia" w:ascii="宋体" w:hAnsi="宋体" w:eastAsia="宋体"/>
                <w:szCs w:val="21"/>
              </w:rPr>
              <w:t>。卖方必须完成工作并且要承担高于上限的全部成本。</w:t>
            </w:r>
          </w:p>
          <w:p>
            <w:pPr>
              <w:jc w:val="left"/>
              <w:rPr>
                <w:rFonts w:ascii="宋体" w:hAnsi="宋体" w:eastAsia="宋体"/>
                <w:b/>
                <w:sz w:val="18"/>
              </w:rPr>
            </w:pPr>
            <w:r>
              <w:rPr>
                <w:rFonts w:ascii="宋体" w:hAnsi="宋体" w:eastAsia="宋体"/>
                <w:b/>
                <w:sz w:val="18"/>
              </w:rPr>
              <w:t>FPIF</w:t>
            </w:r>
            <w:r>
              <w:rPr>
                <w:rFonts w:hint="eastAsia" w:ascii="宋体" w:hAnsi="宋体" w:eastAsia="宋体"/>
                <w:b/>
                <w:sz w:val="18"/>
              </w:rPr>
              <w:t>、CPIF支付总价=实际成本</w:t>
            </w:r>
            <w:r>
              <w:rPr>
                <w:rFonts w:ascii="宋体" w:hAnsi="宋体" w:eastAsia="宋体"/>
                <w:b/>
                <w:sz w:val="18"/>
              </w:rPr>
              <w:t>+酬金+</w:t>
            </w:r>
            <w:r>
              <w:rPr>
                <w:rFonts w:hint="eastAsia" w:ascii="宋体" w:hAnsi="宋体" w:eastAsia="宋体"/>
                <w:b/>
                <w:sz w:val="18"/>
              </w:rPr>
              <w:t>（目标成本</w:t>
            </w:r>
            <w:r>
              <w:rPr>
                <w:rFonts w:ascii="宋体" w:hAnsi="宋体" w:eastAsia="宋体"/>
                <w:b/>
                <w:sz w:val="18"/>
              </w:rPr>
              <w:t>-实际成本</w:t>
            </w:r>
            <w:r>
              <w:rPr>
                <w:rFonts w:hint="eastAsia" w:ascii="宋体" w:hAnsi="宋体" w:eastAsia="宋体"/>
                <w:b/>
                <w:sz w:val="18"/>
              </w:rPr>
              <w:t>）*卖方分担比率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1" w:type="dxa"/>
            <w:vMerge w:val="continue"/>
          </w:tcPr>
          <w:p>
            <w:pPr>
              <w:pStyle w:val="11"/>
              <w:spacing w:line="360" w:lineRule="auto"/>
              <w:ind w:firstLine="0" w:firstLineChars="0"/>
              <w:rPr>
                <w:rFonts w:ascii="宋体" w:hAnsi="宋体" w:eastAsia="宋体"/>
                <w:szCs w:val="21"/>
              </w:rPr>
            </w:pPr>
          </w:p>
        </w:tc>
        <w:tc>
          <w:tcPr>
            <w:tcW w:w="2168" w:type="dxa"/>
            <w:vMerge w:val="continue"/>
          </w:tcPr>
          <w:p>
            <w:pPr>
              <w:pStyle w:val="11"/>
              <w:spacing w:line="360" w:lineRule="auto"/>
              <w:ind w:firstLine="0" w:firstLineChars="0"/>
              <w:rPr>
                <w:rFonts w:ascii="宋体" w:hAnsi="宋体" w:eastAsia="宋体"/>
                <w:szCs w:val="21"/>
              </w:rPr>
            </w:pPr>
          </w:p>
        </w:tc>
        <w:tc>
          <w:tcPr>
            <w:tcW w:w="1134" w:type="dxa"/>
            <w:vAlign w:val="center"/>
          </w:tcPr>
          <w:p>
            <w:pPr>
              <w:pStyle w:val="11"/>
              <w:spacing w:line="360" w:lineRule="auto"/>
              <w:ind w:firstLine="0" w:firstLineChars="0"/>
              <w:jc w:val="center"/>
              <w:rPr>
                <w:rFonts w:ascii="宋体" w:hAnsi="宋体" w:eastAsia="宋体"/>
                <w:szCs w:val="21"/>
              </w:rPr>
            </w:pPr>
            <w:r>
              <w:rPr>
                <w:rFonts w:hint="eastAsia" w:ascii="宋体" w:hAnsi="宋体" w:eastAsia="宋体"/>
                <w:szCs w:val="21"/>
              </w:rPr>
              <w:t>总价加经济价格调整合同</w:t>
            </w:r>
            <w:r>
              <w:rPr>
                <w:rFonts w:ascii="宋体" w:hAnsi="宋体" w:eastAsia="宋体"/>
                <w:szCs w:val="21"/>
              </w:rPr>
              <w:t>FP-EPA</w:t>
            </w:r>
          </w:p>
        </w:tc>
        <w:tc>
          <w:tcPr>
            <w:tcW w:w="5063" w:type="dxa"/>
          </w:tcPr>
          <w:p>
            <w:pPr>
              <w:pStyle w:val="11"/>
              <w:spacing w:line="360" w:lineRule="auto"/>
              <w:ind w:firstLine="0" w:firstLineChars="0"/>
              <w:rPr>
                <w:rFonts w:ascii="宋体" w:hAnsi="宋体" w:eastAsia="宋体"/>
                <w:szCs w:val="21"/>
              </w:rPr>
            </w:pPr>
            <w:r>
              <w:rPr>
                <w:rFonts w:hint="eastAsia" w:ascii="宋体" w:hAnsi="宋体" w:eastAsia="宋体"/>
                <w:b/>
                <w:szCs w:val="21"/>
              </w:rPr>
              <w:t>有利于买卖方之间维持多种长期关系</w:t>
            </w:r>
            <w:r>
              <w:rPr>
                <w:rFonts w:hint="eastAsia" w:ascii="宋体" w:hAnsi="宋体" w:eastAsia="宋体"/>
                <w:szCs w:val="21"/>
              </w:rPr>
              <w:t>。允许根据条件变化（如通货膨胀、某些特殊商品的成本增降），以事先确定的方式对合同价格进行最终调整。</w:t>
            </w:r>
            <w:r>
              <w:rPr>
                <w:rFonts w:ascii="宋体" w:hAnsi="宋体" w:eastAsia="宋体"/>
                <w:szCs w:val="21"/>
              </w:rPr>
              <w:t>EPA 条款必须规定用于</w:t>
            </w:r>
            <w:r>
              <w:rPr>
                <w:rFonts w:hint="eastAsia" w:ascii="宋体" w:hAnsi="宋体" w:eastAsia="宋体"/>
                <w:szCs w:val="21"/>
              </w:rPr>
              <w:t>准确调整最终价格的、可靠的财务指数。</w:t>
            </w:r>
            <w:r>
              <w:rPr>
                <w:rFonts w:ascii="宋体" w:hAnsi="宋体" w:eastAsia="宋体"/>
                <w:b/>
                <w:szCs w:val="21"/>
              </w:rPr>
              <w:t>FP—EPA 合同试图保护买方和卖方免</w:t>
            </w:r>
            <w:r>
              <w:rPr>
                <w:rFonts w:hint="eastAsia" w:ascii="宋体" w:hAnsi="宋体" w:eastAsia="宋体"/>
                <w:b/>
                <w:szCs w:val="21"/>
              </w:rPr>
              <w:t>受外界不可控情况的影响</w:t>
            </w:r>
            <w:r>
              <w:rPr>
                <w:rFonts w:hint="eastAsia" w:ascii="宋体" w:hAnsi="宋体" w:eastAsia="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1" w:type="dxa"/>
            <w:vMerge w:val="restart"/>
            <w:vAlign w:val="center"/>
          </w:tcPr>
          <w:p>
            <w:pPr>
              <w:pStyle w:val="11"/>
              <w:spacing w:line="360" w:lineRule="auto"/>
              <w:ind w:firstLine="0" w:firstLineChars="0"/>
              <w:jc w:val="center"/>
              <w:rPr>
                <w:rFonts w:ascii="宋体" w:hAnsi="宋体" w:eastAsia="宋体"/>
                <w:szCs w:val="21"/>
              </w:rPr>
            </w:pPr>
            <w:r>
              <w:rPr>
                <w:rFonts w:hint="eastAsia" w:ascii="宋体" w:hAnsi="宋体" w:eastAsia="宋体"/>
                <w:szCs w:val="21"/>
              </w:rPr>
              <w:t>成本补偿合同</w:t>
            </w:r>
          </w:p>
        </w:tc>
        <w:tc>
          <w:tcPr>
            <w:tcW w:w="2168" w:type="dxa"/>
            <w:vMerge w:val="restart"/>
          </w:tcPr>
          <w:p>
            <w:pPr>
              <w:pStyle w:val="11"/>
              <w:spacing w:line="360" w:lineRule="auto"/>
              <w:ind w:firstLine="0" w:firstLineChars="0"/>
              <w:rPr>
                <w:rFonts w:ascii="宋体" w:hAnsi="宋体" w:eastAsia="宋体"/>
                <w:szCs w:val="21"/>
              </w:rPr>
            </w:pPr>
            <w:r>
              <w:rPr>
                <w:rFonts w:hint="eastAsia" w:ascii="宋体" w:hAnsi="宋体" w:eastAsia="宋体"/>
                <w:szCs w:val="21"/>
              </w:rPr>
              <w:t>向卖方支付为完成工作而发生的全部合法实际成本（可报销成本），外加一笔费用作为卖方的利润。成本补偿合同也可为卖方超过或低于预定目标（如成本、进度或技术绩效目标）而规定财务奖励条款。</w:t>
            </w:r>
            <w:r>
              <w:rPr>
                <w:rFonts w:hint="eastAsia" w:ascii="宋体" w:hAnsi="宋体" w:eastAsia="宋体"/>
                <w:b/>
                <w:szCs w:val="21"/>
              </w:rPr>
              <w:t>工作范围在开始时无法准确定义时使用。</w:t>
            </w:r>
          </w:p>
        </w:tc>
        <w:tc>
          <w:tcPr>
            <w:tcW w:w="1134" w:type="dxa"/>
            <w:vAlign w:val="center"/>
          </w:tcPr>
          <w:p>
            <w:pPr>
              <w:pStyle w:val="11"/>
              <w:spacing w:line="360" w:lineRule="auto"/>
              <w:ind w:firstLine="0" w:firstLineChars="0"/>
              <w:jc w:val="center"/>
              <w:rPr>
                <w:rFonts w:ascii="宋体" w:hAnsi="宋体" w:eastAsia="宋体"/>
                <w:szCs w:val="21"/>
              </w:rPr>
            </w:pPr>
            <w:r>
              <w:rPr>
                <w:rFonts w:hint="eastAsia" w:ascii="宋体" w:hAnsi="宋体" w:eastAsia="宋体"/>
                <w:szCs w:val="21"/>
              </w:rPr>
              <w:t>成本加固定费用合同</w:t>
            </w:r>
            <w:r>
              <w:rPr>
                <w:rFonts w:ascii="宋体" w:hAnsi="宋体" w:eastAsia="宋体"/>
                <w:szCs w:val="21"/>
              </w:rPr>
              <w:t>CPFF</w:t>
            </w:r>
          </w:p>
        </w:tc>
        <w:tc>
          <w:tcPr>
            <w:tcW w:w="5063" w:type="dxa"/>
          </w:tcPr>
          <w:p>
            <w:pPr>
              <w:spacing w:line="360" w:lineRule="auto"/>
              <w:rPr>
                <w:rFonts w:ascii="宋体" w:hAnsi="宋体" w:eastAsia="宋体"/>
                <w:szCs w:val="21"/>
              </w:rPr>
            </w:pPr>
            <w:r>
              <w:rPr>
                <w:rFonts w:hint="eastAsia" w:ascii="宋体" w:hAnsi="宋体" w:eastAsia="宋体"/>
                <w:szCs w:val="21"/>
              </w:rPr>
              <w:t>为卖方报销履行合同工作所发生的一切可列支成本，并</w:t>
            </w:r>
            <w:r>
              <w:rPr>
                <w:rFonts w:hint="eastAsia" w:ascii="宋体" w:hAnsi="宋体" w:eastAsia="宋体"/>
                <w:b/>
                <w:szCs w:val="21"/>
              </w:rPr>
              <w:t>向卖方支付一笔固定费用</w:t>
            </w:r>
            <w:r>
              <w:rPr>
                <w:rFonts w:hint="eastAsia" w:ascii="宋体" w:hAnsi="宋体" w:eastAsia="宋体"/>
                <w:szCs w:val="21"/>
              </w:rPr>
              <w:t>，该费用以项目初始成本估算的某一百分比计算。费用只能针对已完成的工作来支付，并且不因卖方的绩效而变化。除非项目范围发生变更，否则费用金额维持不变。</w:t>
            </w:r>
          </w:p>
          <w:p>
            <w:pPr>
              <w:jc w:val="left"/>
              <w:rPr>
                <w:rFonts w:ascii="宋体" w:hAnsi="宋体" w:eastAsia="宋体"/>
                <w:b/>
                <w:sz w:val="18"/>
              </w:rPr>
            </w:pPr>
            <w:r>
              <w:rPr>
                <w:rFonts w:ascii="宋体" w:hAnsi="宋体" w:eastAsia="宋体"/>
                <w:b/>
                <w:sz w:val="18"/>
              </w:rPr>
              <w:t>FPIF</w:t>
            </w:r>
            <w:r>
              <w:rPr>
                <w:rFonts w:hint="eastAsia" w:ascii="宋体" w:hAnsi="宋体" w:eastAsia="宋体"/>
                <w:b/>
                <w:sz w:val="18"/>
              </w:rPr>
              <w:t>、CPIF支付总价=实际成本</w:t>
            </w:r>
            <w:r>
              <w:rPr>
                <w:rFonts w:ascii="宋体" w:hAnsi="宋体" w:eastAsia="宋体"/>
                <w:b/>
                <w:sz w:val="18"/>
              </w:rPr>
              <w:t>+酬金+</w:t>
            </w:r>
            <w:r>
              <w:rPr>
                <w:rFonts w:hint="eastAsia" w:ascii="宋体" w:hAnsi="宋体" w:eastAsia="宋体"/>
                <w:b/>
                <w:sz w:val="18"/>
              </w:rPr>
              <w:t>（目标成本</w:t>
            </w:r>
            <w:r>
              <w:rPr>
                <w:rFonts w:ascii="宋体" w:hAnsi="宋体" w:eastAsia="宋体"/>
                <w:b/>
                <w:sz w:val="18"/>
              </w:rPr>
              <w:t>-实际成本</w:t>
            </w:r>
            <w:r>
              <w:rPr>
                <w:rFonts w:hint="eastAsia" w:ascii="宋体" w:hAnsi="宋体" w:eastAsia="宋体"/>
                <w:b/>
                <w:sz w:val="18"/>
              </w:rPr>
              <w:t>）*卖方分担比率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1" w:type="dxa"/>
            <w:vMerge w:val="continue"/>
            <w:vAlign w:val="center"/>
          </w:tcPr>
          <w:p>
            <w:pPr>
              <w:pStyle w:val="11"/>
              <w:spacing w:line="360" w:lineRule="auto"/>
              <w:ind w:firstLine="0" w:firstLineChars="0"/>
              <w:jc w:val="center"/>
              <w:rPr>
                <w:rFonts w:ascii="宋体" w:hAnsi="宋体" w:eastAsia="宋体"/>
                <w:szCs w:val="21"/>
              </w:rPr>
            </w:pPr>
          </w:p>
        </w:tc>
        <w:tc>
          <w:tcPr>
            <w:tcW w:w="2168" w:type="dxa"/>
            <w:vMerge w:val="continue"/>
          </w:tcPr>
          <w:p>
            <w:pPr>
              <w:pStyle w:val="11"/>
              <w:spacing w:line="360" w:lineRule="auto"/>
              <w:ind w:firstLine="0" w:firstLineChars="0"/>
              <w:rPr>
                <w:rFonts w:ascii="宋体" w:hAnsi="宋体" w:eastAsia="宋体"/>
                <w:szCs w:val="21"/>
              </w:rPr>
            </w:pPr>
          </w:p>
        </w:tc>
        <w:tc>
          <w:tcPr>
            <w:tcW w:w="1134" w:type="dxa"/>
            <w:vAlign w:val="center"/>
          </w:tcPr>
          <w:p>
            <w:pPr>
              <w:pStyle w:val="11"/>
              <w:spacing w:line="360" w:lineRule="auto"/>
              <w:ind w:firstLine="0" w:firstLineChars="0"/>
              <w:jc w:val="center"/>
              <w:rPr>
                <w:rFonts w:ascii="宋体" w:hAnsi="宋体" w:eastAsia="宋体"/>
                <w:szCs w:val="21"/>
              </w:rPr>
            </w:pPr>
            <w:r>
              <w:rPr>
                <w:rFonts w:hint="eastAsia" w:ascii="宋体" w:hAnsi="宋体" w:eastAsia="宋体"/>
                <w:szCs w:val="21"/>
              </w:rPr>
              <w:t>成本加激励费用合同</w:t>
            </w:r>
            <w:r>
              <w:rPr>
                <w:rFonts w:ascii="宋体" w:hAnsi="宋体" w:eastAsia="宋体"/>
                <w:szCs w:val="21"/>
              </w:rPr>
              <w:t>CPIF</w:t>
            </w:r>
          </w:p>
        </w:tc>
        <w:tc>
          <w:tcPr>
            <w:tcW w:w="5063" w:type="dxa"/>
          </w:tcPr>
          <w:p>
            <w:pPr>
              <w:spacing w:line="360" w:lineRule="auto"/>
              <w:rPr>
                <w:rFonts w:ascii="宋体" w:hAnsi="宋体" w:eastAsia="宋体"/>
                <w:szCs w:val="21"/>
              </w:rPr>
            </w:pPr>
            <w:r>
              <w:rPr>
                <w:rFonts w:hint="eastAsia" w:ascii="宋体" w:hAnsi="宋体" w:eastAsia="宋体"/>
                <w:szCs w:val="21"/>
              </w:rPr>
              <w:t>为卖方报销履行合同工作所发生的一切可列支成本，并在卖方达到合同规定的绩效目标时，向卖方支付预先确定的激励费用。若最终成本低于或高于原始估算成本，则买方和卖方需要</w:t>
            </w:r>
            <w:r>
              <w:rPr>
                <w:rFonts w:hint="eastAsia" w:ascii="宋体" w:hAnsi="宋体" w:eastAsia="宋体"/>
                <w:b/>
                <w:szCs w:val="21"/>
              </w:rPr>
              <w:t>根据事先商定的成本分摊比例来分享节约部分或分担超出部分</w:t>
            </w:r>
            <w:r>
              <w:rPr>
                <w:rFonts w:hint="eastAsia" w:ascii="宋体" w:hAnsi="宋体" w:eastAsia="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1" w:type="dxa"/>
            <w:vMerge w:val="continue"/>
            <w:vAlign w:val="center"/>
          </w:tcPr>
          <w:p>
            <w:pPr>
              <w:pStyle w:val="11"/>
              <w:spacing w:line="360" w:lineRule="auto"/>
              <w:ind w:firstLine="0" w:firstLineChars="0"/>
              <w:jc w:val="center"/>
              <w:rPr>
                <w:rFonts w:ascii="宋体" w:hAnsi="宋体" w:eastAsia="宋体"/>
                <w:szCs w:val="21"/>
              </w:rPr>
            </w:pPr>
          </w:p>
        </w:tc>
        <w:tc>
          <w:tcPr>
            <w:tcW w:w="2168" w:type="dxa"/>
            <w:vMerge w:val="continue"/>
          </w:tcPr>
          <w:p>
            <w:pPr>
              <w:pStyle w:val="11"/>
              <w:spacing w:line="360" w:lineRule="auto"/>
              <w:ind w:firstLine="0" w:firstLineChars="0"/>
              <w:rPr>
                <w:rFonts w:ascii="宋体" w:hAnsi="宋体" w:eastAsia="宋体"/>
                <w:szCs w:val="21"/>
              </w:rPr>
            </w:pPr>
          </w:p>
        </w:tc>
        <w:tc>
          <w:tcPr>
            <w:tcW w:w="1134" w:type="dxa"/>
            <w:vAlign w:val="center"/>
          </w:tcPr>
          <w:p>
            <w:pPr>
              <w:pStyle w:val="11"/>
              <w:spacing w:line="360" w:lineRule="auto"/>
              <w:ind w:firstLine="0" w:firstLineChars="0"/>
              <w:jc w:val="center"/>
              <w:rPr>
                <w:rFonts w:ascii="宋体" w:hAnsi="宋体" w:eastAsia="宋体"/>
                <w:szCs w:val="21"/>
              </w:rPr>
            </w:pPr>
            <w:r>
              <w:rPr>
                <w:rFonts w:hint="eastAsia" w:ascii="宋体" w:hAnsi="宋体" w:eastAsia="宋体"/>
                <w:szCs w:val="21"/>
              </w:rPr>
              <w:t>成本加奖励费用合同</w:t>
            </w:r>
            <w:r>
              <w:rPr>
                <w:rFonts w:ascii="宋体" w:hAnsi="宋体" w:eastAsia="宋体"/>
                <w:szCs w:val="21"/>
              </w:rPr>
              <w:t>CPAF</w:t>
            </w:r>
          </w:p>
        </w:tc>
        <w:tc>
          <w:tcPr>
            <w:tcW w:w="5063" w:type="dxa"/>
          </w:tcPr>
          <w:p>
            <w:pPr>
              <w:spacing w:line="360" w:lineRule="auto"/>
              <w:rPr>
                <w:rFonts w:ascii="宋体" w:hAnsi="宋体" w:eastAsia="宋体"/>
                <w:szCs w:val="21"/>
              </w:rPr>
            </w:pPr>
            <w:r>
              <w:rPr>
                <w:rFonts w:hint="eastAsia" w:ascii="宋体" w:hAnsi="宋体" w:eastAsia="宋体"/>
                <w:szCs w:val="21"/>
              </w:rPr>
              <w:t>为卖方报销一切合法成本，但只有在卖方满足合同规定的、某些笼统主观的绩效标准的情况下，才向卖方支付大部分费用。</w:t>
            </w:r>
            <w:r>
              <w:rPr>
                <w:rFonts w:hint="eastAsia" w:ascii="宋体" w:hAnsi="宋体" w:eastAsia="宋体"/>
                <w:b/>
                <w:szCs w:val="21"/>
              </w:rPr>
              <w:t>完全由买方根据自己对卖方绩效的主观判断来决定奖励费用</w:t>
            </w:r>
            <w:r>
              <w:rPr>
                <w:rFonts w:hint="eastAsia" w:ascii="宋体" w:hAnsi="宋体" w:eastAsia="宋体"/>
                <w:szCs w:val="21"/>
              </w:rPr>
              <w:t>，并且通常不允许申诉。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1" w:type="dxa"/>
            <w:vAlign w:val="center"/>
          </w:tcPr>
          <w:p>
            <w:pPr>
              <w:pStyle w:val="11"/>
              <w:spacing w:line="360" w:lineRule="auto"/>
              <w:ind w:firstLine="0" w:firstLineChars="0"/>
              <w:jc w:val="center"/>
              <w:rPr>
                <w:rFonts w:ascii="宋体" w:hAnsi="宋体" w:eastAsia="宋体"/>
                <w:szCs w:val="21"/>
              </w:rPr>
            </w:pPr>
            <w:r>
              <w:rPr>
                <w:rFonts w:hint="eastAsia" w:ascii="宋体" w:hAnsi="宋体" w:eastAsia="宋体"/>
                <w:szCs w:val="21"/>
              </w:rPr>
              <w:t>工料合同（</w:t>
            </w:r>
            <w:r>
              <w:rPr>
                <w:rFonts w:ascii="宋体" w:hAnsi="宋体" w:eastAsia="宋体"/>
                <w:szCs w:val="21"/>
              </w:rPr>
              <w:t>T&amp;M）</w:t>
            </w:r>
          </w:p>
        </w:tc>
        <w:tc>
          <w:tcPr>
            <w:tcW w:w="8365" w:type="dxa"/>
            <w:gridSpan w:val="3"/>
          </w:tcPr>
          <w:p>
            <w:pPr>
              <w:pStyle w:val="11"/>
              <w:spacing w:line="360" w:lineRule="auto"/>
              <w:ind w:firstLine="0" w:firstLineChars="0"/>
              <w:rPr>
                <w:rFonts w:ascii="宋体" w:hAnsi="宋体" w:eastAsia="宋体"/>
                <w:szCs w:val="21"/>
              </w:rPr>
            </w:pPr>
            <w:r>
              <w:rPr>
                <w:rFonts w:hint="eastAsia" w:ascii="宋体" w:hAnsi="宋体" w:eastAsia="宋体"/>
                <w:b/>
                <w:szCs w:val="21"/>
              </w:rPr>
              <w:t>兼具成本补偿合同和总价合同的某些特点的混合型合同</w:t>
            </w:r>
            <w:r>
              <w:rPr>
                <w:rFonts w:hint="eastAsia" w:ascii="宋体" w:hAnsi="宋体" w:eastAsia="宋体"/>
                <w:szCs w:val="21"/>
              </w:rPr>
              <w:t>。这类合同与成本补偿合同的相似之处在于，它们都是开口合同，合同价因成本增加而变化。很多组织要求在工料合同中规定最高价值和时间限制，以防止成本无限增加。另外，由于合同中确定了一些参数，工料合同又与固定单价合同相似。当买卖双方就特定资源的价格（如高级工程师的小时费率或某种材料的单位费率）达成一致意见时，买方和卖方也就预先设定了单位人力或材料费率（包含卖方利润）。</w:t>
            </w:r>
          </w:p>
        </w:tc>
      </w:tr>
    </w:tbl>
    <w:p>
      <w:pPr>
        <w:pStyle w:val="5"/>
        <w:numPr>
          <w:ilvl w:val="0"/>
          <w:numId w:val="1"/>
        </w:numPr>
        <w:jc w:val="left"/>
        <w:rPr>
          <w:rFonts w:ascii="宋体" w:hAnsi="宋体" w:eastAsia="宋体"/>
          <w:sz w:val="24"/>
          <w:szCs w:val="24"/>
        </w:rPr>
      </w:pPr>
      <w:r>
        <w:rPr>
          <w:rFonts w:hint="eastAsia" w:ascii="宋体" w:hAnsi="宋体" w:eastAsia="宋体"/>
          <w:sz w:val="24"/>
          <w:szCs w:val="24"/>
        </w:rPr>
        <w:t>图表对比区别</w:t>
      </w:r>
    </w:p>
    <w:tbl>
      <w:tblPr>
        <w:tblStyle w:val="8"/>
        <w:tblW w:w="97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
        <w:gridCol w:w="986"/>
        <w:gridCol w:w="6324"/>
        <w:gridCol w:w="13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 w:type="dxa"/>
          </w:tcPr>
          <w:p>
            <w:pPr>
              <w:spacing w:line="360" w:lineRule="auto"/>
              <w:jc w:val="center"/>
              <w:rPr>
                <w:rFonts w:ascii="宋体" w:hAnsi="宋体" w:eastAsia="宋体"/>
                <w:b/>
                <w:szCs w:val="21"/>
              </w:rPr>
            </w:pPr>
            <w:r>
              <w:rPr>
                <w:rFonts w:hint="eastAsia" w:ascii="宋体" w:hAnsi="宋体" w:eastAsia="宋体"/>
                <w:b/>
                <w:szCs w:val="21"/>
              </w:rPr>
              <w:t>名称</w:t>
            </w:r>
          </w:p>
        </w:tc>
        <w:tc>
          <w:tcPr>
            <w:tcW w:w="986" w:type="dxa"/>
          </w:tcPr>
          <w:p>
            <w:pPr>
              <w:spacing w:line="360" w:lineRule="auto"/>
              <w:jc w:val="center"/>
              <w:rPr>
                <w:rFonts w:ascii="宋体" w:hAnsi="宋体" w:eastAsia="宋体"/>
                <w:b/>
                <w:szCs w:val="21"/>
              </w:rPr>
            </w:pPr>
            <w:r>
              <w:rPr>
                <w:rFonts w:hint="eastAsia" w:ascii="宋体" w:hAnsi="宋体" w:eastAsia="宋体"/>
                <w:b/>
                <w:szCs w:val="21"/>
              </w:rPr>
              <w:t>别名</w:t>
            </w:r>
          </w:p>
        </w:tc>
        <w:tc>
          <w:tcPr>
            <w:tcW w:w="6324" w:type="dxa"/>
          </w:tcPr>
          <w:p>
            <w:pPr>
              <w:spacing w:line="360" w:lineRule="auto"/>
              <w:jc w:val="center"/>
              <w:rPr>
                <w:rFonts w:ascii="宋体" w:hAnsi="宋体" w:eastAsia="宋体"/>
                <w:b/>
                <w:szCs w:val="21"/>
              </w:rPr>
            </w:pPr>
            <w:r>
              <w:rPr>
                <w:rFonts w:hint="eastAsia" w:ascii="宋体" w:hAnsi="宋体" w:eastAsia="宋体"/>
                <w:b/>
                <w:szCs w:val="21"/>
              </w:rPr>
              <w:t>定义</w:t>
            </w:r>
            <w:r>
              <w:rPr>
                <w:rFonts w:ascii="宋体" w:hAnsi="宋体" w:eastAsia="宋体"/>
                <w:b/>
                <w:szCs w:val="21"/>
              </w:rPr>
              <w:t xml:space="preserve"> </w:t>
            </w:r>
          </w:p>
        </w:tc>
        <w:tc>
          <w:tcPr>
            <w:tcW w:w="1370" w:type="dxa"/>
          </w:tcPr>
          <w:p>
            <w:pPr>
              <w:spacing w:line="360" w:lineRule="auto"/>
              <w:jc w:val="center"/>
              <w:rPr>
                <w:rFonts w:ascii="宋体" w:hAnsi="宋体" w:eastAsia="宋体"/>
                <w:b/>
                <w:szCs w:val="21"/>
              </w:rPr>
            </w:pPr>
            <w:r>
              <w:rPr>
                <w:rFonts w:hint="eastAsia" w:ascii="宋体" w:hAnsi="宋体" w:eastAsia="宋体"/>
                <w:b/>
                <w:szCs w:val="21"/>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 w:type="dxa"/>
            <w:vAlign w:val="center"/>
          </w:tcPr>
          <w:p>
            <w:pPr>
              <w:spacing w:line="360" w:lineRule="auto"/>
              <w:jc w:val="center"/>
              <w:rPr>
                <w:rFonts w:ascii="宋体" w:hAnsi="宋体" w:eastAsia="宋体"/>
                <w:szCs w:val="21"/>
              </w:rPr>
            </w:pPr>
            <w:r>
              <w:rPr>
                <w:rFonts w:hint="eastAsia" w:ascii="宋体" w:hAnsi="宋体" w:eastAsia="宋体"/>
                <w:szCs w:val="21"/>
              </w:rPr>
              <w:t>因果图</w:t>
            </w:r>
          </w:p>
        </w:tc>
        <w:tc>
          <w:tcPr>
            <w:tcW w:w="986" w:type="dxa"/>
            <w:vAlign w:val="center"/>
          </w:tcPr>
          <w:p>
            <w:pPr>
              <w:spacing w:line="360" w:lineRule="auto"/>
              <w:jc w:val="center"/>
              <w:rPr>
                <w:rFonts w:ascii="宋体" w:hAnsi="宋体" w:eastAsia="宋体"/>
                <w:szCs w:val="21"/>
              </w:rPr>
            </w:pPr>
            <w:r>
              <w:rPr>
                <w:rFonts w:hint="eastAsia" w:ascii="宋体" w:hAnsi="宋体" w:eastAsia="宋体"/>
                <w:szCs w:val="21"/>
              </w:rPr>
              <w:t>鱼骨图</w:t>
            </w:r>
          </w:p>
          <w:p>
            <w:pPr>
              <w:spacing w:line="360" w:lineRule="auto"/>
              <w:jc w:val="center"/>
              <w:rPr>
                <w:rFonts w:ascii="宋体" w:hAnsi="宋体" w:eastAsia="宋体"/>
                <w:szCs w:val="21"/>
              </w:rPr>
            </w:pPr>
            <w:r>
              <w:rPr>
                <w:rFonts w:hint="eastAsia" w:ascii="宋体" w:hAnsi="宋体" w:eastAsia="宋体"/>
                <w:szCs w:val="21"/>
              </w:rPr>
              <w:t>石川图</w:t>
            </w:r>
          </w:p>
        </w:tc>
        <w:tc>
          <w:tcPr>
            <w:tcW w:w="6324" w:type="dxa"/>
          </w:tcPr>
          <w:p>
            <w:pPr>
              <w:spacing w:line="360" w:lineRule="auto"/>
              <w:rPr>
                <w:rFonts w:ascii="宋体" w:hAnsi="宋体" w:eastAsia="宋体"/>
                <w:szCs w:val="21"/>
              </w:rPr>
            </w:pPr>
            <w:r>
              <w:rPr>
                <w:rFonts w:hint="eastAsia" w:ascii="宋体" w:hAnsi="宋体" w:eastAsia="宋体"/>
                <w:szCs w:val="21"/>
              </w:rPr>
              <w:t>问题陈述放在鱼骨的头部，作为起点，用来追溯问题来源，回推到可行动的</w:t>
            </w:r>
            <w:r>
              <w:rPr>
                <w:rFonts w:hint="eastAsia" w:ascii="宋体" w:hAnsi="宋体" w:eastAsia="宋体"/>
                <w:b/>
                <w:szCs w:val="21"/>
              </w:rPr>
              <w:t>根本原因</w:t>
            </w:r>
            <w:r>
              <w:rPr>
                <w:rFonts w:hint="eastAsia" w:ascii="宋体" w:hAnsi="宋体" w:eastAsia="宋体"/>
                <w:szCs w:val="21"/>
              </w:rPr>
              <w:t>。</w:t>
            </w:r>
          </w:p>
        </w:tc>
        <w:tc>
          <w:tcPr>
            <w:tcW w:w="1370" w:type="dxa"/>
            <w:vMerge w:val="restart"/>
            <w:vAlign w:val="center"/>
          </w:tcPr>
          <w:p>
            <w:pPr>
              <w:spacing w:line="360" w:lineRule="auto"/>
              <w:jc w:val="center"/>
              <w:rPr>
                <w:rFonts w:ascii="宋体" w:hAnsi="宋体" w:eastAsia="宋体"/>
                <w:szCs w:val="21"/>
              </w:rPr>
            </w:pPr>
            <w:r>
              <w:rPr>
                <w:rFonts w:hint="eastAsia" w:ascii="宋体" w:hAnsi="宋体" w:eastAsia="宋体"/>
                <w:szCs w:val="21"/>
              </w:rPr>
              <w:t>主要用于</w:t>
            </w:r>
            <w:r>
              <w:rPr>
                <w:rFonts w:ascii="宋体" w:hAnsi="宋体" w:eastAsia="宋体"/>
                <w:szCs w:val="21"/>
              </w:rPr>
              <w:t>8.1规划质量管理</w:t>
            </w:r>
            <w:r>
              <w:rPr>
                <w:rFonts w:hint="eastAsia" w:ascii="宋体" w:hAnsi="宋体" w:eastAsia="宋体"/>
                <w:szCs w:val="21"/>
              </w:rPr>
              <w:t>、</w:t>
            </w:r>
            <w:r>
              <w:rPr>
                <w:rFonts w:ascii="宋体" w:hAnsi="宋体" w:eastAsia="宋体"/>
                <w:szCs w:val="21"/>
              </w:rPr>
              <w:t>8.3控制质量</w:t>
            </w:r>
            <w:r>
              <w:rPr>
                <w:rFonts w:hint="eastAsia" w:ascii="宋体" w:hAnsi="宋体" w:eastAsia="宋体"/>
                <w:szCs w:val="21"/>
              </w:rPr>
              <w:t>的七种基本质量工具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 w:type="dxa"/>
            <w:vAlign w:val="center"/>
          </w:tcPr>
          <w:p>
            <w:pPr>
              <w:spacing w:line="360" w:lineRule="auto"/>
              <w:jc w:val="center"/>
              <w:rPr>
                <w:rFonts w:ascii="宋体" w:hAnsi="宋体" w:eastAsia="宋体"/>
                <w:szCs w:val="21"/>
              </w:rPr>
            </w:pPr>
            <w:r>
              <w:rPr>
                <w:rFonts w:hint="eastAsia" w:ascii="宋体" w:hAnsi="宋体" w:eastAsia="宋体"/>
                <w:szCs w:val="21"/>
              </w:rPr>
              <w:t>流程图</w:t>
            </w:r>
          </w:p>
        </w:tc>
        <w:tc>
          <w:tcPr>
            <w:tcW w:w="986" w:type="dxa"/>
            <w:vAlign w:val="center"/>
          </w:tcPr>
          <w:p>
            <w:pPr>
              <w:spacing w:line="360" w:lineRule="auto"/>
              <w:jc w:val="center"/>
              <w:rPr>
                <w:rFonts w:ascii="宋体" w:hAnsi="宋体" w:eastAsia="宋体"/>
                <w:szCs w:val="21"/>
              </w:rPr>
            </w:pPr>
            <w:r>
              <w:rPr>
                <w:rFonts w:hint="eastAsia" w:ascii="宋体" w:hAnsi="宋体" w:eastAsia="宋体"/>
                <w:szCs w:val="21"/>
              </w:rPr>
              <w:t>过程图</w:t>
            </w:r>
          </w:p>
        </w:tc>
        <w:tc>
          <w:tcPr>
            <w:tcW w:w="6324" w:type="dxa"/>
          </w:tcPr>
          <w:p>
            <w:pPr>
              <w:spacing w:line="360" w:lineRule="auto"/>
              <w:rPr>
                <w:rFonts w:ascii="宋体" w:hAnsi="宋体" w:eastAsia="宋体"/>
                <w:szCs w:val="21"/>
              </w:rPr>
            </w:pPr>
            <w:r>
              <w:rPr>
                <w:rFonts w:hint="eastAsia" w:ascii="宋体" w:hAnsi="宋体" w:eastAsia="宋体"/>
                <w:szCs w:val="21"/>
              </w:rPr>
              <w:t>显示活动、决策点、分支循环、并行路径及</w:t>
            </w:r>
            <w:r>
              <w:rPr>
                <w:rFonts w:hint="eastAsia" w:ascii="宋体" w:hAnsi="宋体" w:eastAsia="宋体"/>
                <w:b/>
                <w:szCs w:val="21"/>
              </w:rPr>
              <w:t>整体处理顺序</w:t>
            </w:r>
            <w:r>
              <w:rPr>
                <w:rFonts w:hint="eastAsia" w:ascii="宋体" w:hAnsi="宋体" w:eastAsia="宋体"/>
                <w:szCs w:val="21"/>
              </w:rPr>
              <w:t>。</w:t>
            </w:r>
          </w:p>
        </w:tc>
        <w:tc>
          <w:tcPr>
            <w:tcW w:w="1370" w:type="dxa"/>
            <w:vMerge w:val="continue"/>
          </w:tcPr>
          <w:p>
            <w:pPr>
              <w:spacing w:line="360" w:lineRule="auto"/>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 w:type="dxa"/>
            <w:vAlign w:val="center"/>
          </w:tcPr>
          <w:p>
            <w:pPr>
              <w:spacing w:line="360" w:lineRule="auto"/>
              <w:jc w:val="center"/>
              <w:rPr>
                <w:rFonts w:ascii="宋体" w:hAnsi="宋体" w:eastAsia="宋体"/>
                <w:szCs w:val="21"/>
              </w:rPr>
            </w:pPr>
            <w:r>
              <w:rPr>
                <w:rFonts w:hint="eastAsia" w:ascii="宋体" w:hAnsi="宋体" w:eastAsia="宋体"/>
                <w:szCs w:val="21"/>
              </w:rPr>
              <w:t>直方图</w:t>
            </w:r>
          </w:p>
        </w:tc>
        <w:tc>
          <w:tcPr>
            <w:tcW w:w="986" w:type="dxa"/>
            <w:vAlign w:val="center"/>
          </w:tcPr>
          <w:p>
            <w:pPr>
              <w:spacing w:line="360" w:lineRule="auto"/>
              <w:jc w:val="center"/>
              <w:rPr>
                <w:rFonts w:ascii="宋体" w:hAnsi="宋体" w:eastAsia="宋体"/>
                <w:szCs w:val="21"/>
              </w:rPr>
            </w:pPr>
          </w:p>
        </w:tc>
        <w:tc>
          <w:tcPr>
            <w:tcW w:w="6324" w:type="dxa"/>
          </w:tcPr>
          <w:p>
            <w:pPr>
              <w:spacing w:line="360" w:lineRule="auto"/>
              <w:rPr>
                <w:rFonts w:ascii="宋体" w:hAnsi="宋体" w:eastAsia="宋体"/>
                <w:szCs w:val="21"/>
              </w:rPr>
            </w:pPr>
            <w:r>
              <w:rPr>
                <w:rFonts w:hint="eastAsia" w:ascii="宋体" w:hAnsi="宋体" w:eastAsia="宋体"/>
                <w:szCs w:val="21"/>
              </w:rPr>
              <w:t>一种特殊形式的条形图，用于</w:t>
            </w:r>
            <w:r>
              <w:rPr>
                <w:rFonts w:hint="eastAsia" w:ascii="宋体" w:hAnsi="宋体" w:eastAsia="宋体"/>
                <w:b/>
                <w:szCs w:val="21"/>
              </w:rPr>
              <w:t>描述集中趋势、分散程度和统计分布形状</w:t>
            </w:r>
            <w:r>
              <w:rPr>
                <w:rFonts w:hint="eastAsia" w:ascii="宋体" w:hAnsi="宋体" w:eastAsia="宋体"/>
                <w:szCs w:val="21"/>
              </w:rPr>
              <w:t>。与控制图不同，</w:t>
            </w:r>
            <w:r>
              <w:rPr>
                <w:rFonts w:hint="eastAsia" w:ascii="宋体" w:hAnsi="宋体" w:eastAsia="宋体"/>
                <w:b/>
                <w:szCs w:val="21"/>
              </w:rPr>
              <w:t>直方图不考虑时间对分布内的变化的影响</w:t>
            </w:r>
            <w:r>
              <w:rPr>
                <w:rFonts w:hint="eastAsia" w:ascii="宋体" w:hAnsi="宋体" w:eastAsia="宋体"/>
                <w:szCs w:val="21"/>
              </w:rPr>
              <w:t>。</w:t>
            </w:r>
          </w:p>
        </w:tc>
        <w:tc>
          <w:tcPr>
            <w:tcW w:w="1370" w:type="dxa"/>
            <w:vMerge w:val="continue"/>
          </w:tcPr>
          <w:p>
            <w:pPr>
              <w:spacing w:line="360" w:lineRule="auto"/>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 w:type="dxa"/>
            <w:vAlign w:val="center"/>
          </w:tcPr>
          <w:p>
            <w:pPr>
              <w:spacing w:line="360" w:lineRule="auto"/>
              <w:jc w:val="center"/>
              <w:rPr>
                <w:rFonts w:ascii="宋体" w:hAnsi="宋体" w:eastAsia="宋体"/>
                <w:szCs w:val="21"/>
              </w:rPr>
            </w:pPr>
            <w:r>
              <w:rPr>
                <w:rFonts w:hint="eastAsia" w:ascii="宋体" w:hAnsi="宋体" w:eastAsia="宋体"/>
                <w:szCs w:val="21"/>
              </w:rPr>
              <w:t>控制图</w:t>
            </w:r>
          </w:p>
        </w:tc>
        <w:tc>
          <w:tcPr>
            <w:tcW w:w="986" w:type="dxa"/>
            <w:vAlign w:val="center"/>
          </w:tcPr>
          <w:p>
            <w:pPr>
              <w:spacing w:line="360" w:lineRule="auto"/>
              <w:jc w:val="center"/>
              <w:rPr>
                <w:rFonts w:ascii="宋体" w:hAnsi="宋体" w:eastAsia="宋体"/>
                <w:szCs w:val="21"/>
              </w:rPr>
            </w:pPr>
          </w:p>
        </w:tc>
        <w:tc>
          <w:tcPr>
            <w:tcW w:w="6324" w:type="dxa"/>
          </w:tcPr>
          <w:p>
            <w:pPr>
              <w:spacing w:line="360" w:lineRule="auto"/>
              <w:rPr>
                <w:rFonts w:ascii="宋体" w:hAnsi="宋体" w:eastAsia="宋体"/>
                <w:szCs w:val="21"/>
              </w:rPr>
            </w:pPr>
            <w:r>
              <w:rPr>
                <w:rFonts w:hint="eastAsia" w:ascii="宋体" w:hAnsi="宋体" w:eastAsia="宋体"/>
                <w:szCs w:val="21"/>
              </w:rPr>
              <w:t>用来确定一个过程是否稳定，或者是否具有可预测的绩效。有上下控制界限、规范界限。</w:t>
            </w:r>
            <w:r>
              <w:rPr>
                <w:rFonts w:hint="eastAsia" w:ascii="宋体" w:hAnsi="宋体" w:eastAsia="宋体"/>
                <w:b/>
                <w:szCs w:val="21"/>
              </w:rPr>
              <w:t>失控的特征：</w:t>
            </w:r>
            <w:r>
              <w:rPr>
                <w:rFonts w:hint="eastAsia" w:ascii="宋体" w:hAnsi="宋体" w:eastAsia="宋体"/>
                <w:szCs w:val="21"/>
              </w:rPr>
              <w:t>单点突出、七点同侧。其中，压线不是失控、6点时保持监控即可。</w:t>
            </w:r>
          </w:p>
        </w:tc>
        <w:tc>
          <w:tcPr>
            <w:tcW w:w="1370" w:type="dxa"/>
            <w:vMerge w:val="continue"/>
          </w:tcPr>
          <w:p>
            <w:pPr>
              <w:spacing w:line="360" w:lineRule="auto"/>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 w:type="dxa"/>
            <w:vAlign w:val="center"/>
          </w:tcPr>
          <w:p>
            <w:pPr>
              <w:spacing w:line="360" w:lineRule="auto"/>
              <w:jc w:val="center"/>
              <w:rPr>
                <w:rFonts w:ascii="宋体" w:hAnsi="宋体" w:eastAsia="宋体"/>
                <w:szCs w:val="21"/>
              </w:rPr>
            </w:pPr>
            <w:r>
              <w:rPr>
                <w:rFonts w:hint="eastAsia" w:ascii="宋体" w:hAnsi="宋体" w:eastAsia="宋体"/>
                <w:szCs w:val="21"/>
              </w:rPr>
              <w:t>散点图</w:t>
            </w:r>
          </w:p>
        </w:tc>
        <w:tc>
          <w:tcPr>
            <w:tcW w:w="986" w:type="dxa"/>
            <w:vAlign w:val="center"/>
          </w:tcPr>
          <w:p>
            <w:pPr>
              <w:spacing w:line="360" w:lineRule="auto"/>
              <w:jc w:val="center"/>
              <w:rPr>
                <w:rFonts w:ascii="宋体" w:hAnsi="宋体" w:eastAsia="宋体"/>
                <w:szCs w:val="21"/>
              </w:rPr>
            </w:pPr>
            <w:r>
              <w:rPr>
                <w:rFonts w:hint="eastAsia" w:ascii="宋体" w:hAnsi="宋体" w:eastAsia="宋体"/>
                <w:szCs w:val="21"/>
              </w:rPr>
              <w:t>相关图</w:t>
            </w:r>
          </w:p>
        </w:tc>
        <w:tc>
          <w:tcPr>
            <w:tcW w:w="6324" w:type="dxa"/>
          </w:tcPr>
          <w:p>
            <w:pPr>
              <w:spacing w:line="360" w:lineRule="auto"/>
              <w:rPr>
                <w:rFonts w:ascii="宋体" w:hAnsi="宋体" w:eastAsia="宋体"/>
                <w:szCs w:val="21"/>
              </w:rPr>
            </w:pPr>
            <w:r>
              <w:rPr>
                <w:rFonts w:hint="eastAsia" w:ascii="宋体" w:hAnsi="宋体" w:eastAsia="宋体"/>
                <w:szCs w:val="21"/>
              </w:rPr>
              <w:t>显示两个变量之间的关系和规律。两个点越接近对角线，二者关系越密切。</w:t>
            </w:r>
          </w:p>
        </w:tc>
        <w:tc>
          <w:tcPr>
            <w:tcW w:w="1370" w:type="dxa"/>
            <w:vMerge w:val="continue"/>
          </w:tcPr>
          <w:p>
            <w:pPr>
              <w:spacing w:line="360" w:lineRule="auto"/>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 w:type="dxa"/>
            <w:vAlign w:val="center"/>
          </w:tcPr>
          <w:p>
            <w:pPr>
              <w:spacing w:line="360" w:lineRule="auto"/>
              <w:jc w:val="center"/>
              <w:rPr>
                <w:rFonts w:ascii="宋体" w:hAnsi="宋体" w:eastAsia="宋体"/>
                <w:szCs w:val="21"/>
              </w:rPr>
            </w:pPr>
            <w:r>
              <w:rPr>
                <w:rFonts w:hint="eastAsia" w:ascii="宋体" w:hAnsi="宋体" w:eastAsia="宋体"/>
                <w:szCs w:val="21"/>
              </w:rPr>
              <w:t>核查表</w:t>
            </w:r>
          </w:p>
        </w:tc>
        <w:tc>
          <w:tcPr>
            <w:tcW w:w="986" w:type="dxa"/>
            <w:vAlign w:val="center"/>
          </w:tcPr>
          <w:p>
            <w:pPr>
              <w:spacing w:line="360" w:lineRule="auto"/>
              <w:jc w:val="center"/>
              <w:rPr>
                <w:rFonts w:ascii="宋体" w:hAnsi="宋体" w:eastAsia="宋体"/>
                <w:szCs w:val="21"/>
              </w:rPr>
            </w:pPr>
            <w:r>
              <w:rPr>
                <w:rFonts w:hint="eastAsia" w:ascii="宋体" w:hAnsi="宋体" w:eastAsia="宋体"/>
                <w:szCs w:val="21"/>
              </w:rPr>
              <w:t>计数表</w:t>
            </w:r>
          </w:p>
        </w:tc>
        <w:tc>
          <w:tcPr>
            <w:tcW w:w="6324" w:type="dxa"/>
          </w:tcPr>
          <w:p>
            <w:pPr>
              <w:spacing w:line="360" w:lineRule="auto"/>
              <w:rPr>
                <w:rFonts w:ascii="宋体" w:hAnsi="宋体" w:eastAsia="宋体"/>
                <w:szCs w:val="21"/>
              </w:rPr>
            </w:pPr>
            <w:r>
              <w:rPr>
                <w:rFonts w:hint="eastAsia" w:ascii="宋体" w:hAnsi="宋体" w:eastAsia="宋体"/>
                <w:szCs w:val="21"/>
              </w:rPr>
              <w:t>收集数据的查对清单。帕累托图的数据来源。</w:t>
            </w:r>
          </w:p>
        </w:tc>
        <w:tc>
          <w:tcPr>
            <w:tcW w:w="1370" w:type="dxa"/>
            <w:vMerge w:val="continue"/>
          </w:tcPr>
          <w:p>
            <w:pPr>
              <w:spacing w:line="360" w:lineRule="auto"/>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 w:type="dxa"/>
            <w:vAlign w:val="center"/>
          </w:tcPr>
          <w:p>
            <w:pPr>
              <w:spacing w:line="360" w:lineRule="auto"/>
              <w:jc w:val="center"/>
              <w:rPr>
                <w:rFonts w:ascii="宋体" w:hAnsi="宋体" w:eastAsia="宋体"/>
                <w:szCs w:val="21"/>
              </w:rPr>
            </w:pPr>
            <w:r>
              <w:rPr>
                <w:rFonts w:hint="eastAsia" w:ascii="宋体" w:hAnsi="宋体" w:eastAsia="宋体"/>
                <w:szCs w:val="21"/>
              </w:rPr>
              <w:t>帕累托图</w:t>
            </w:r>
          </w:p>
        </w:tc>
        <w:tc>
          <w:tcPr>
            <w:tcW w:w="986" w:type="dxa"/>
            <w:vAlign w:val="center"/>
          </w:tcPr>
          <w:p>
            <w:pPr>
              <w:spacing w:line="360" w:lineRule="auto"/>
              <w:jc w:val="center"/>
              <w:rPr>
                <w:rFonts w:ascii="宋体" w:hAnsi="宋体" w:eastAsia="宋体"/>
                <w:szCs w:val="21"/>
              </w:rPr>
            </w:pPr>
          </w:p>
        </w:tc>
        <w:tc>
          <w:tcPr>
            <w:tcW w:w="6324" w:type="dxa"/>
          </w:tcPr>
          <w:p>
            <w:pPr>
              <w:spacing w:line="360" w:lineRule="auto"/>
              <w:rPr>
                <w:rFonts w:ascii="宋体" w:hAnsi="宋体" w:eastAsia="宋体"/>
                <w:szCs w:val="21"/>
              </w:rPr>
            </w:pPr>
            <w:r>
              <w:rPr>
                <w:rFonts w:hint="eastAsia" w:ascii="宋体" w:hAnsi="宋体" w:eastAsia="宋体"/>
                <w:szCs w:val="21"/>
              </w:rPr>
              <w:t>一种特殊的垂直条形图，用于</w:t>
            </w:r>
            <w:r>
              <w:rPr>
                <w:rFonts w:hint="eastAsia" w:ascii="宋体" w:hAnsi="宋体" w:eastAsia="宋体"/>
                <w:b/>
                <w:szCs w:val="21"/>
              </w:rPr>
              <w:t>识别造成大多数问题的少数重要原因</w:t>
            </w:r>
            <w:r>
              <w:rPr>
                <w:rFonts w:hint="eastAsia" w:ascii="宋体" w:hAnsi="宋体" w:eastAsia="宋体"/>
                <w:szCs w:val="21"/>
              </w:rPr>
              <w:t>。</w:t>
            </w:r>
          </w:p>
        </w:tc>
        <w:tc>
          <w:tcPr>
            <w:tcW w:w="1370" w:type="dxa"/>
            <w:vMerge w:val="continue"/>
          </w:tcPr>
          <w:p>
            <w:pPr>
              <w:spacing w:line="360" w:lineRule="auto"/>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 w:type="dxa"/>
            <w:vAlign w:val="center"/>
          </w:tcPr>
          <w:p>
            <w:pPr>
              <w:spacing w:line="360" w:lineRule="auto"/>
              <w:jc w:val="center"/>
              <w:rPr>
                <w:rFonts w:ascii="宋体" w:hAnsi="宋体" w:eastAsia="宋体"/>
                <w:szCs w:val="21"/>
              </w:rPr>
            </w:pPr>
            <w:r>
              <w:rPr>
                <w:rFonts w:hint="eastAsia" w:ascii="宋体" w:hAnsi="宋体" w:eastAsia="宋体"/>
                <w:szCs w:val="21"/>
              </w:rPr>
              <w:t>亲和图</w:t>
            </w:r>
          </w:p>
        </w:tc>
        <w:tc>
          <w:tcPr>
            <w:tcW w:w="986" w:type="dxa"/>
            <w:vAlign w:val="center"/>
          </w:tcPr>
          <w:p>
            <w:pPr>
              <w:spacing w:line="360" w:lineRule="auto"/>
              <w:jc w:val="center"/>
              <w:rPr>
                <w:rFonts w:ascii="宋体" w:hAnsi="宋体" w:eastAsia="宋体"/>
                <w:szCs w:val="21"/>
              </w:rPr>
            </w:pPr>
          </w:p>
        </w:tc>
        <w:tc>
          <w:tcPr>
            <w:tcW w:w="6324" w:type="dxa"/>
          </w:tcPr>
          <w:p>
            <w:pPr>
              <w:spacing w:line="360" w:lineRule="auto"/>
              <w:rPr>
                <w:rFonts w:ascii="宋体" w:hAnsi="宋体" w:eastAsia="宋体"/>
                <w:szCs w:val="21"/>
              </w:rPr>
            </w:pPr>
            <w:r>
              <w:rPr>
                <w:rFonts w:hint="eastAsia" w:ascii="宋体" w:hAnsi="宋体" w:eastAsia="宋体"/>
                <w:szCs w:val="21"/>
              </w:rPr>
              <w:t>亲和图与心智图相似。针对某个问题，产生出可联成有组织的想法模式的各种创意。在项目管理中，使用亲和图确定范围分解的结构，有助于</w:t>
            </w:r>
            <w:r>
              <w:rPr>
                <w:rFonts w:ascii="宋体" w:hAnsi="宋体" w:eastAsia="宋体"/>
                <w:szCs w:val="21"/>
              </w:rPr>
              <w:t xml:space="preserve"> WBS 的制定。</w:t>
            </w:r>
            <w:r>
              <w:rPr>
                <w:rFonts w:hint="eastAsia" w:ascii="宋体" w:hAnsi="宋体" w:eastAsia="宋体"/>
                <w:b/>
                <w:szCs w:val="21"/>
              </w:rPr>
              <w:t>分类分组。</w:t>
            </w:r>
          </w:p>
        </w:tc>
        <w:tc>
          <w:tcPr>
            <w:tcW w:w="1370" w:type="dxa"/>
            <w:vMerge w:val="restart"/>
            <w:vAlign w:val="center"/>
          </w:tcPr>
          <w:p>
            <w:pPr>
              <w:spacing w:line="360" w:lineRule="auto"/>
              <w:jc w:val="center"/>
              <w:rPr>
                <w:rFonts w:ascii="宋体" w:hAnsi="宋体" w:eastAsia="宋体"/>
                <w:szCs w:val="21"/>
              </w:rPr>
            </w:pPr>
            <w:r>
              <w:rPr>
                <w:rFonts w:hint="eastAsia" w:ascii="宋体" w:hAnsi="宋体" w:eastAsia="宋体"/>
                <w:szCs w:val="21"/>
              </w:rPr>
              <w:t>主要用于</w:t>
            </w:r>
            <w:r>
              <w:rPr>
                <w:rFonts w:ascii="宋体" w:hAnsi="宋体" w:eastAsia="宋体"/>
                <w:szCs w:val="21"/>
              </w:rPr>
              <w:t>8.2实施质量保证的质量管理和控制工具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 w:type="dxa"/>
            <w:vAlign w:val="center"/>
          </w:tcPr>
          <w:p>
            <w:pPr>
              <w:spacing w:line="360" w:lineRule="auto"/>
              <w:jc w:val="center"/>
              <w:rPr>
                <w:rFonts w:ascii="宋体" w:hAnsi="宋体" w:eastAsia="宋体"/>
                <w:szCs w:val="21"/>
              </w:rPr>
            </w:pPr>
            <w:r>
              <w:rPr>
                <w:rFonts w:hint="eastAsia" w:ascii="宋体" w:hAnsi="宋体" w:eastAsia="宋体"/>
                <w:szCs w:val="21"/>
              </w:rPr>
              <w:t>过程决策程序图</w:t>
            </w:r>
          </w:p>
        </w:tc>
        <w:tc>
          <w:tcPr>
            <w:tcW w:w="986" w:type="dxa"/>
            <w:vAlign w:val="center"/>
          </w:tcPr>
          <w:p>
            <w:pPr>
              <w:spacing w:line="360" w:lineRule="auto"/>
              <w:jc w:val="center"/>
              <w:rPr>
                <w:rFonts w:ascii="宋体" w:hAnsi="宋体" w:eastAsia="宋体"/>
                <w:szCs w:val="21"/>
              </w:rPr>
            </w:pPr>
            <w:r>
              <w:rPr>
                <w:rFonts w:ascii="宋体" w:hAnsi="宋体" w:eastAsia="宋体"/>
                <w:szCs w:val="21"/>
              </w:rPr>
              <w:t>PDPC</w:t>
            </w:r>
            <w:r>
              <w:rPr>
                <w:rFonts w:hint="eastAsia" w:ascii="宋体" w:hAnsi="宋体" w:eastAsia="宋体"/>
                <w:szCs w:val="21"/>
              </w:rPr>
              <w:t>图</w:t>
            </w:r>
          </w:p>
        </w:tc>
        <w:tc>
          <w:tcPr>
            <w:tcW w:w="6324" w:type="dxa"/>
          </w:tcPr>
          <w:p>
            <w:pPr>
              <w:spacing w:line="360" w:lineRule="auto"/>
              <w:rPr>
                <w:rFonts w:ascii="宋体" w:hAnsi="宋体" w:eastAsia="宋体"/>
                <w:szCs w:val="21"/>
              </w:rPr>
            </w:pPr>
            <w:r>
              <w:rPr>
                <w:rFonts w:hint="eastAsia" w:ascii="宋体" w:hAnsi="宋体" w:eastAsia="宋体"/>
                <w:szCs w:val="21"/>
              </w:rPr>
              <w:t>用于理解一个目标与达成此目标的步骤之间的关系。有助于制定应急计划，因为它能帮助团队预测那些可能破坏目标实现的中间环节。</w:t>
            </w:r>
          </w:p>
        </w:tc>
        <w:tc>
          <w:tcPr>
            <w:tcW w:w="1370" w:type="dxa"/>
            <w:vMerge w:val="continue"/>
          </w:tcPr>
          <w:p>
            <w:pPr>
              <w:spacing w:line="360" w:lineRule="auto"/>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 w:type="dxa"/>
            <w:vAlign w:val="center"/>
          </w:tcPr>
          <w:p>
            <w:pPr>
              <w:spacing w:line="360" w:lineRule="auto"/>
              <w:jc w:val="center"/>
              <w:rPr>
                <w:rFonts w:ascii="宋体" w:hAnsi="宋体" w:eastAsia="宋体"/>
                <w:szCs w:val="21"/>
              </w:rPr>
            </w:pPr>
            <w:r>
              <w:rPr>
                <w:rFonts w:hint="eastAsia" w:ascii="宋体" w:hAnsi="宋体" w:eastAsia="宋体"/>
                <w:szCs w:val="21"/>
              </w:rPr>
              <w:t>关联图</w:t>
            </w:r>
          </w:p>
        </w:tc>
        <w:tc>
          <w:tcPr>
            <w:tcW w:w="986" w:type="dxa"/>
            <w:vAlign w:val="center"/>
          </w:tcPr>
          <w:p>
            <w:pPr>
              <w:spacing w:line="360" w:lineRule="auto"/>
              <w:jc w:val="center"/>
              <w:rPr>
                <w:rFonts w:ascii="宋体" w:hAnsi="宋体" w:eastAsia="宋体"/>
                <w:szCs w:val="21"/>
              </w:rPr>
            </w:pPr>
          </w:p>
        </w:tc>
        <w:tc>
          <w:tcPr>
            <w:tcW w:w="6324" w:type="dxa"/>
          </w:tcPr>
          <w:p>
            <w:pPr>
              <w:spacing w:line="360" w:lineRule="auto"/>
              <w:rPr>
                <w:rFonts w:ascii="宋体" w:hAnsi="宋体" w:eastAsia="宋体"/>
                <w:szCs w:val="21"/>
              </w:rPr>
            </w:pPr>
            <w:r>
              <w:rPr>
                <w:rFonts w:hint="eastAsia" w:ascii="宋体" w:hAnsi="宋体" w:eastAsia="宋体"/>
                <w:szCs w:val="21"/>
              </w:rPr>
              <w:t>关系图的变种，有助于在包含相互交叉逻辑关系的中等复杂情形中创新性地解决问题。可以使用其他工具（诸如亲和图、树形图或鱼</w:t>
            </w:r>
          </w:p>
          <w:p>
            <w:pPr>
              <w:spacing w:line="360" w:lineRule="auto"/>
              <w:rPr>
                <w:rFonts w:ascii="宋体" w:hAnsi="宋体" w:eastAsia="宋体"/>
                <w:szCs w:val="21"/>
              </w:rPr>
            </w:pPr>
            <w:r>
              <w:rPr>
                <w:rFonts w:hint="eastAsia" w:ascii="宋体" w:hAnsi="宋体" w:eastAsia="宋体"/>
                <w:szCs w:val="21"/>
              </w:rPr>
              <w:t>骨图）产生的数据，来绘制关联图。</w:t>
            </w:r>
          </w:p>
        </w:tc>
        <w:tc>
          <w:tcPr>
            <w:tcW w:w="1370" w:type="dxa"/>
            <w:vMerge w:val="continue"/>
          </w:tcPr>
          <w:p>
            <w:pPr>
              <w:spacing w:line="360" w:lineRule="auto"/>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 w:type="dxa"/>
            <w:vAlign w:val="center"/>
          </w:tcPr>
          <w:p>
            <w:pPr>
              <w:spacing w:line="360" w:lineRule="auto"/>
              <w:jc w:val="center"/>
              <w:rPr>
                <w:rFonts w:ascii="宋体" w:hAnsi="宋体" w:eastAsia="宋体"/>
                <w:szCs w:val="21"/>
              </w:rPr>
            </w:pPr>
            <w:r>
              <w:rPr>
                <w:rFonts w:hint="eastAsia" w:ascii="宋体" w:hAnsi="宋体" w:eastAsia="宋体"/>
                <w:szCs w:val="21"/>
              </w:rPr>
              <w:t>树形图</w:t>
            </w:r>
          </w:p>
        </w:tc>
        <w:tc>
          <w:tcPr>
            <w:tcW w:w="986" w:type="dxa"/>
            <w:vAlign w:val="center"/>
          </w:tcPr>
          <w:p>
            <w:pPr>
              <w:spacing w:line="360" w:lineRule="auto"/>
              <w:jc w:val="center"/>
              <w:rPr>
                <w:rFonts w:ascii="宋体" w:hAnsi="宋体" w:eastAsia="宋体"/>
                <w:szCs w:val="21"/>
              </w:rPr>
            </w:pPr>
            <w:r>
              <w:rPr>
                <w:rFonts w:hint="eastAsia" w:ascii="宋体" w:hAnsi="宋体" w:eastAsia="宋体"/>
                <w:szCs w:val="21"/>
              </w:rPr>
              <w:t>系统图</w:t>
            </w:r>
          </w:p>
          <w:p>
            <w:pPr>
              <w:spacing w:line="360" w:lineRule="auto"/>
              <w:jc w:val="center"/>
              <w:rPr>
                <w:rFonts w:ascii="宋体" w:hAnsi="宋体" w:eastAsia="宋体"/>
                <w:szCs w:val="21"/>
              </w:rPr>
            </w:pPr>
            <w:r>
              <w:rPr>
                <w:rFonts w:hint="eastAsia" w:ascii="宋体" w:hAnsi="宋体" w:eastAsia="宋体"/>
                <w:szCs w:val="21"/>
              </w:rPr>
              <w:t>层级图</w:t>
            </w:r>
          </w:p>
        </w:tc>
        <w:tc>
          <w:tcPr>
            <w:tcW w:w="6324" w:type="dxa"/>
          </w:tcPr>
          <w:p>
            <w:pPr>
              <w:spacing w:line="360" w:lineRule="auto"/>
              <w:rPr>
                <w:rFonts w:ascii="宋体" w:hAnsi="宋体" w:eastAsia="宋体"/>
                <w:szCs w:val="21"/>
              </w:rPr>
            </w:pPr>
            <w:r>
              <w:rPr>
                <w:rFonts w:hint="eastAsia" w:ascii="宋体" w:hAnsi="宋体" w:eastAsia="宋体"/>
                <w:szCs w:val="21"/>
              </w:rPr>
              <w:t>用层次分解形式直观地展示父子关系。可用于表现诸如</w:t>
            </w:r>
            <w:r>
              <w:rPr>
                <w:rFonts w:ascii="宋体" w:hAnsi="宋体" w:eastAsia="宋体"/>
                <w:szCs w:val="21"/>
              </w:rPr>
              <w:t xml:space="preserve"> WBS、RBS（风险分解结构）和 OBS（组织</w:t>
            </w:r>
            <w:r>
              <w:rPr>
                <w:rFonts w:hint="eastAsia" w:ascii="宋体" w:hAnsi="宋体" w:eastAsia="宋体"/>
                <w:szCs w:val="21"/>
              </w:rPr>
              <w:t>分解结构）的层次分解结构。</w:t>
            </w:r>
          </w:p>
        </w:tc>
        <w:tc>
          <w:tcPr>
            <w:tcW w:w="1370" w:type="dxa"/>
            <w:vMerge w:val="continue"/>
          </w:tcPr>
          <w:p>
            <w:pPr>
              <w:spacing w:line="360" w:lineRule="auto"/>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 w:type="dxa"/>
            <w:vAlign w:val="center"/>
          </w:tcPr>
          <w:p>
            <w:pPr>
              <w:spacing w:line="360" w:lineRule="auto"/>
              <w:jc w:val="center"/>
              <w:rPr>
                <w:rFonts w:ascii="宋体" w:hAnsi="宋体" w:eastAsia="宋体"/>
                <w:szCs w:val="21"/>
              </w:rPr>
            </w:pPr>
            <w:r>
              <w:rPr>
                <w:rFonts w:hint="eastAsia" w:ascii="宋体" w:hAnsi="宋体" w:eastAsia="宋体"/>
                <w:szCs w:val="21"/>
              </w:rPr>
              <w:t>优先矩阵</w:t>
            </w:r>
          </w:p>
        </w:tc>
        <w:tc>
          <w:tcPr>
            <w:tcW w:w="986" w:type="dxa"/>
            <w:vAlign w:val="center"/>
          </w:tcPr>
          <w:p>
            <w:pPr>
              <w:spacing w:line="360" w:lineRule="auto"/>
              <w:jc w:val="center"/>
              <w:rPr>
                <w:rFonts w:ascii="宋体" w:hAnsi="宋体" w:eastAsia="宋体"/>
                <w:szCs w:val="21"/>
              </w:rPr>
            </w:pPr>
          </w:p>
        </w:tc>
        <w:tc>
          <w:tcPr>
            <w:tcW w:w="6324" w:type="dxa"/>
          </w:tcPr>
          <w:p>
            <w:pPr>
              <w:spacing w:line="360" w:lineRule="auto"/>
              <w:rPr>
                <w:rFonts w:ascii="宋体" w:hAnsi="宋体" w:eastAsia="宋体"/>
                <w:szCs w:val="21"/>
              </w:rPr>
            </w:pPr>
            <w:r>
              <w:rPr>
                <w:rFonts w:hint="eastAsia" w:ascii="宋体" w:hAnsi="宋体" w:eastAsia="宋体"/>
                <w:szCs w:val="21"/>
              </w:rPr>
              <w:t>用来识别关键事项和合适的备选方案，并通过一系列决策（排序和加权），</w:t>
            </w:r>
            <w:r>
              <w:rPr>
                <w:rFonts w:hint="eastAsia" w:ascii="宋体" w:hAnsi="宋体" w:eastAsia="宋体"/>
                <w:b/>
                <w:szCs w:val="21"/>
              </w:rPr>
              <w:t>排列出备选方案的优先顺序</w:t>
            </w:r>
            <w:r>
              <w:rPr>
                <w:rFonts w:hint="eastAsia" w:ascii="宋体" w:hAnsi="宋体" w:eastAsia="宋体"/>
                <w:szCs w:val="21"/>
              </w:rPr>
              <w:t>。</w:t>
            </w:r>
          </w:p>
        </w:tc>
        <w:tc>
          <w:tcPr>
            <w:tcW w:w="1370" w:type="dxa"/>
            <w:vMerge w:val="continue"/>
          </w:tcPr>
          <w:p>
            <w:pPr>
              <w:spacing w:line="360" w:lineRule="auto"/>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 w:type="dxa"/>
            <w:vAlign w:val="center"/>
          </w:tcPr>
          <w:p>
            <w:pPr>
              <w:spacing w:line="360" w:lineRule="auto"/>
              <w:jc w:val="center"/>
              <w:rPr>
                <w:rFonts w:ascii="宋体" w:hAnsi="宋体" w:eastAsia="宋体"/>
                <w:szCs w:val="21"/>
              </w:rPr>
            </w:pPr>
            <w:r>
              <w:rPr>
                <w:rFonts w:hint="eastAsia" w:ascii="宋体" w:hAnsi="宋体" w:eastAsia="宋体"/>
                <w:szCs w:val="21"/>
              </w:rPr>
              <w:t>活动网络图</w:t>
            </w:r>
          </w:p>
        </w:tc>
        <w:tc>
          <w:tcPr>
            <w:tcW w:w="986" w:type="dxa"/>
            <w:vAlign w:val="center"/>
          </w:tcPr>
          <w:p>
            <w:pPr>
              <w:spacing w:line="360" w:lineRule="auto"/>
              <w:jc w:val="center"/>
              <w:rPr>
                <w:rFonts w:ascii="宋体" w:hAnsi="宋体" w:eastAsia="宋体"/>
                <w:szCs w:val="21"/>
              </w:rPr>
            </w:pPr>
            <w:r>
              <w:rPr>
                <w:rFonts w:hint="eastAsia" w:ascii="宋体" w:hAnsi="宋体" w:eastAsia="宋体"/>
                <w:szCs w:val="21"/>
              </w:rPr>
              <w:t>箭头图</w:t>
            </w:r>
          </w:p>
        </w:tc>
        <w:tc>
          <w:tcPr>
            <w:tcW w:w="6324" w:type="dxa"/>
          </w:tcPr>
          <w:p>
            <w:pPr>
              <w:spacing w:line="360" w:lineRule="auto"/>
              <w:rPr>
                <w:rFonts w:ascii="宋体" w:hAnsi="宋体" w:eastAsia="宋体"/>
                <w:szCs w:val="21"/>
              </w:rPr>
            </w:pPr>
            <w:r>
              <w:rPr>
                <w:rFonts w:hint="eastAsia" w:ascii="宋体" w:hAnsi="宋体" w:eastAsia="宋体"/>
                <w:szCs w:val="21"/>
              </w:rPr>
              <w:t>包括两种格式的网络图：</w:t>
            </w:r>
            <w:r>
              <w:rPr>
                <w:rFonts w:ascii="宋体" w:hAnsi="宋体" w:eastAsia="宋体"/>
                <w:szCs w:val="21"/>
              </w:rPr>
              <w:t>AOA（活动箭线图）和最</w:t>
            </w:r>
            <w:r>
              <w:rPr>
                <w:rFonts w:hint="eastAsia" w:ascii="宋体" w:hAnsi="宋体" w:eastAsia="宋体"/>
                <w:szCs w:val="21"/>
              </w:rPr>
              <w:t>常用的</w:t>
            </w:r>
            <w:r>
              <w:rPr>
                <w:rFonts w:ascii="宋体" w:hAnsi="宋体" w:eastAsia="宋体"/>
                <w:szCs w:val="21"/>
              </w:rPr>
              <w:t xml:space="preserve"> AON（活动节点图）。活动网络图连同项目进度计划编制方法一起使用，如计</w:t>
            </w:r>
          </w:p>
          <w:p>
            <w:pPr>
              <w:spacing w:line="360" w:lineRule="auto"/>
              <w:rPr>
                <w:rFonts w:ascii="宋体" w:hAnsi="宋体" w:eastAsia="宋体"/>
                <w:szCs w:val="21"/>
              </w:rPr>
            </w:pPr>
            <w:r>
              <w:rPr>
                <w:rFonts w:hint="eastAsia" w:ascii="宋体" w:hAnsi="宋体" w:eastAsia="宋体"/>
                <w:szCs w:val="21"/>
              </w:rPr>
              <w:t>划评审技术（</w:t>
            </w:r>
            <w:r>
              <w:rPr>
                <w:rFonts w:ascii="宋体" w:hAnsi="宋体" w:eastAsia="宋体"/>
                <w:szCs w:val="21"/>
              </w:rPr>
              <w:t>PERT）、关键路径法（CPM）和紧前关系绘图法（PDM）。</w:t>
            </w:r>
          </w:p>
        </w:tc>
        <w:tc>
          <w:tcPr>
            <w:tcW w:w="1370" w:type="dxa"/>
            <w:vMerge w:val="continue"/>
          </w:tcPr>
          <w:p>
            <w:pPr>
              <w:spacing w:line="360" w:lineRule="auto"/>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 w:type="dxa"/>
            <w:vAlign w:val="center"/>
          </w:tcPr>
          <w:p>
            <w:pPr>
              <w:spacing w:line="360" w:lineRule="auto"/>
              <w:jc w:val="center"/>
              <w:rPr>
                <w:rFonts w:ascii="宋体" w:hAnsi="宋体" w:eastAsia="宋体"/>
                <w:szCs w:val="21"/>
              </w:rPr>
            </w:pPr>
            <w:r>
              <w:rPr>
                <w:rFonts w:hint="eastAsia" w:ascii="宋体" w:hAnsi="宋体" w:eastAsia="宋体"/>
                <w:szCs w:val="21"/>
              </w:rPr>
              <w:t>矩阵图</w:t>
            </w:r>
          </w:p>
        </w:tc>
        <w:tc>
          <w:tcPr>
            <w:tcW w:w="986" w:type="dxa"/>
            <w:vAlign w:val="center"/>
          </w:tcPr>
          <w:p>
            <w:pPr>
              <w:spacing w:line="360" w:lineRule="auto"/>
              <w:jc w:val="center"/>
              <w:rPr>
                <w:rFonts w:ascii="宋体" w:hAnsi="宋体" w:eastAsia="宋体"/>
                <w:szCs w:val="21"/>
              </w:rPr>
            </w:pPr>
          </w:p>
        </w:tc>
        <w:tc>
          <w:tcPr>
            <w:tcW w:w="6324" w:type="dxa"/>
          </w:tcPr>
          <w:p>
            <w:pPr>
              <w:spacing w:line="360" w:lineRule="auto"/>
              <w:rPr>
                <w:rFonts w:ascii="宋体" w:hAnsi="宋体" w:eastAsia="宋体"/>
                <w:szCs w:val="21"/>
              </w:rPr>
            </w:pPr>
            <w:r>
              <w:rPr>
                <w:rFonts w:hint="eastAsia" w:ascii="宋体" w:hAnsi="宋体" w:eastAsia="宋体"/>
                <w:szCs w:val="21"/>
              </w:rPr>
              <w:t>一种质量管理和控制工具，使用矩阵结构对数据进行分析。在行列交叉的位置展示因素、原因和目标之间的关系强弱。如责任分配矩阵（</w:t>
            </w:r>
            <w:r>
              <w:rPr>
                <w:rFonts w:ascii="宋体" w:hAnsi="宋体" w:eastAsia="宋体"/>
                <w:szCs w:val="21"/>
              </w:rPr>
              <w:t>RAM）</w:t>
            </w:r>
            <w:r>
              <w:rPr>
                <w:rFonts w:hint="eastAsia" w:ascii="宋体" w:hAnsi="宋体" w:eastAsia="宋体"/>
                <w:szCs w:val="21"/>
              </w:rPr>
              <w:t>，</w:t>
            </w:r>
            <w:r>
              <w:rPr>
                <w:rFonts w:ascii="宋体" w:hAnsi="宋体" w:eastAsia="宋体"/>
                <w:szCs w:val="21"/>
              </w:rPr>
              <w:t>RAM 的一个例子是 RACI（执行、负</w:t>
            </w:r>
            <w:r>
              <w:rPr>
                <w:rFonts w:hint="eastAsia" w:ascii="宋体" w:hAnsi="宋体" w:eastAsia="宋体"/>
                <w:szCs w:val="21"/>
              </w:rPr>
              <w:t>责、咨询和知情）矩阵，用来分配项目责任，</w:t>
            </w:r>
            <w:r>
              <w:rPr>
                <w:rFonts w:ascii="宋体" w:hAnsi="宋体" w:eastAsia="宋体"/>
                <w:szCs w:val="21"/>
              </w:rPr>
              <w:t>RACI矩阵对明确划分角色和期望特别有用。</w:t>
            </w:r>
          </w:p>
        </w:tc>
        <w:tc>
          <w:tcPr>
            <w:tcW w:w="1370" w:type="dxa"/>
            <w:vMerge w:val="continue"/>
          </w:tcPr>
          <w:p>
            <w:pPr>
              <w:spacing w:line="360" w:lineRule="auto"/>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 w:type="dxa"/>
            <w:vAlign w:val="center"/>
          </w:tcPr>
          <w:p>
            <w:pPr>
              <w:spacing w:line="360" w:lineRule="auto"/>
              <w:jc w:val="center"/>
              <w:rPr>
                <w:rFonts w:ascii="宋体" w:hAnsi="宋体" w:eastAsia="宋体"/>
                <w:szCs w:val="21"/>
              </w:rPr>
            </w:pPr>
            <w:r>
              <w:rPr>
                <w:rFonts w:hint="eastAsia" w:ascii="宋体" w:hAnsi="宋体" w:eastAsia="宋体"/>
                <w:szCs w:val="21"/>
              </w:rPr>
              <w:t>交互图</w:t>
            </w:r>
          </w:p>
        </w:tc>
        <w:tc>
          <w:tcPr>
            <w:tcW w:w="986" w:type="dxa"/>
            <w:vAlign w:val="center"/>
          </w:tcPr>
          <w:p>
            <w:pPr>
              <w:spacing w:line="360" w:lineRule="auto"/>
              <w:jc w:val="center"/>
              <w:rPr>
                <w:rFonts w:ascii="宋体" w:hAnsi="宋体" w:eastAsia="宋体"/>
                <w:szCs w:val="21"/>
              </w:rPr>
            </w:pPr>
          </w:p>
        </w:tc>
        <w:tc>
          <w:tcPr>
            <w:tcW w:w="6324" w:type="dxa"/>
          </w:tcPr>
          <w:p>
            <w:pPr>
              <w:spacing w:line="360" w:lineRule="auto"/>
              <w:rPr>
                <w:rFonts w:ascii="宋体" w:hAnsi="宋体" w:eastAsia="宋体"/>
                <w:szCs w:val="21"/>
              </w:rPr>
            </w:pPr>
          </w:p>
        </w:tc>
        <w:tc>
          <w:tcPr>
            <w:tcW w:w="1370" w:type="dxa"/>
          </w:tcPr>
          <w:p>
            <w:pPr>
              <w:spacing w:line="360" w:lineRule="auto"/>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 w:type="dxa"/>
            <w:vAlign w:val="center"/>
          </w:tcPr>
          <w:p>
            <w:pPr>
              <w:spacing w:line="360" w:lineRule="auto"/>
              <w:jc w:val="center"/>
              <w:rPr>
                <w:rFonts w:ascii="宋体" w:hAnsi="宋体" w:eastAsia="宋体"/>
                <w:szCs w:val="21"/>
              </w:rPr>
            </w:pPr>
            <w:r>
              <w:rPr>
                <w:rFonts w:hint="eastAsia" w:ascii="宋体" w:hAnsi="宋体" w:eastAsia="宋体"/>
                <w:szCs w:val="21"/>
              </w:rPr>
              <w:t>龙卷风图</w:t>
            </w:r>
          </w:p>
        </w:tc>
        <w:tc>
          <w:tcPr>
            <w:tcW w:w="986" w:type="dxa"/>
            <w:vAlign w:val="center"/>
          </w:tcPr>
          <w:p>
            <w:pPr>
              <w:spacing w:line="360" w:lineRule="auto"/>
              <w:jc w:val="center"/>
              <w:rPr>
                <w:rFonts w:ascii="宋体" w:hAnsi="宋体" w:eastAsia="宋体"/>
                <w:szCs w:val="21"/>
              </w:rPr>
            </w:pPr>
          </w:p>
        </w:tc>
        <w:tc>
          <w:tcPr>
            <w:tcW w:w="6324" w:type="dxa"/>
          </w:tcPr>
          <w:p>
            <w:pPr>
              <w:spacing w:line="360" w:lineRule="auto"/>
              <w:rPr>
                <w:rFonts w:ascii="宋体" w:hAnsi="宋体" w:eastAsia="宋体"/>
                <w:szCs w:val="21"/>
              </w:rPr>
            </w:pPr>
            <w:r>
              <w:rPr>
                <w:rFonts w:hint="eastAsia" w:ascii="宋体" w:hAnsi="宋体" w:eastAsia="宋体"/>
                <w:szCs w:val="21"/>
              </w:rPr>
              <w:t>是在</w:t>
            </w:r>
            <w:r>
              <w:rPr>
                <w:rFonts w:hint="eastAsia" w:ascii="宋体" w:hAnsi="宋体" w:eastAsia="宋体"/>
                <w:b/>
                <w:szCs w:val="21"/>
              </w:rPr>
              <w:t>敏感性分析</w:t>
            </w:r>
            <w:r>
              <w:rPr>
                <w:rFonts w:hint="eastAsia" w:ascii="宋体" w:hAnsi="宋体" w:eastAsia="宋体"/>
                <w:szCs w:val="21"/>
              </w:rPr>
              <w:t>中用来</w:t>
            </w:r>
            <w:r>
              <w:rPr>
                <w:rFonts w:hint="eastAsia" w:ascii="宋体" w:hAnsi="宋体" w:eastAsia="宋体"/>
                <w:b/>
                <w:szCs w:val="21"/>
              </w:rPr>
              <w:t>比较不同变量的相对重要性</w:t>
            </w:r>
            <w:r>
              <w:rPr>
                <w:rFonts w:hint="eastAsia" w:ascii="宋体" w:hAnsi="宋体" w:eastAsia="宋体"/>
                <w:szCs w:val="21"/>
              </w:rPr>
              <w:t>的一种特殊形式的条形图。</w:t>
            </w:r>
          </w:p>
        </w:tc>
        <w:tc>
          <w:tcPr>
            <w:tcW w:w="1370" w:type="dxa"/>
          </w:tcPr>
          <w:p>
            <w:pPr>
              <w:spacing w:line="360" w:lineRule="auto"/>
              <w:rPr>
                <w:rFonts w:ascii="宋体" w:hAnsi="宋体" w:eastAsia="宋体"/>
                <w:szCs w:val="21"/>
              </w:rPr>
            </w:pPr>
            <w:r>
              <w:rPr>
                <w:rFonts w:ascii="宋体" w:hAnsi="宋体" w:eastAsia="宋体"/>
                <w:szCs w:val="21"/>
              </w:rPr>
              <w:t>11.4实施定量风险分析</w:t>
            </w:r>
          </w:p>
        </w:tc>
      </w:tr>
    </w:tbl>
    <w:p>
      <w:pPr>
        <w:spacing w:line="360" w:lineRule="auto"/>
        <w:rPr>
          <w:rFonts w:ascii="宋体" w:hAnsi="宋体" w:eastAsia="宋体"/>
          <w:sz w:val="24"/>
          <w:szCs w:val="24"/>
        </w:rPr>
      </w:pPr>
    </w:p>
    <w:p>
      <w:pPr>
        <w:pStyle w:val="5"/>
        <w:numPr>
          <w:ilvl w:val="0"/>
          <w:numId w:val="1"/>
        </w:numPr>
        <w:jc w:val="left"/>
      </w:pPr>
      <w:r>
        <w:rPr>
          <w:rFonts w:hint="eastAsia"/>
        </w:rPr>
        <w:t>关键路径法（</w:t>
      </w:r>
      <w:r>
        <w:t>CPM）和关键链法（CCM）。</w:t>
      </w:r>
    </w:p>
    <w:p>
      <w:pPr>
        <w:spacing w:line="360" w:lineRule="auto"/>
        <w:ind w:firstLine="420"/>
        <w:rPr>
          <w:rFonts w:ascii="宋体" w:hAnsi="宋体" w:eastAsia="宋体"/>
          <w:sz w:val="24"/>
          <w:szCs w:val="24"/>
        </w:rPr>
      </w:pPr>
      <w:r>
        <w:rPr>
          <w:rFonts w:hint="eastAsia" w:ascii="宋体" w:hAnsi="宋体" w:eastAsia="宋体"/>
          <w:sz w:val="24"/>
          <w:szCs w:val="24"/>
        </w:rPr>
        <w:t>关键路径法（</w:t>
      </w:r>
      <w:r>
        <w:rPr>
          <w:rFonts w:ascii="宋体" w:hAnsi="宋体" w:eastAsia="宋体"/>
          <w:sz w:val="24"/>
          <w:szCs w:val="24"/>
        </w:rPr>
        <w:t>CPM）</w:t>
      </w:r>
      <w:r>
        <w:rPr>
          <w:rFonts w:hint="eastAsia" w:ascii="宋体" w:hAnsi="宋体" w:eastAsia="宋体"/>
          <w:sz w:val="24"/>
          <w:szCs w:val="24"/>
        </w:rPr>
        <w:t>，是进度模型中，</w:t>
      </w:r>
      <w:r>
        <w:rPr>
          <w:rFonts w:hint="eastAsia" w:ascii="宋体" w:hAnsi="宋体" w:eastAsia="宋体"/>
          <w:b/>
          <w:sz w:val="24"/>
          <w:szCs w:val="24"/>
        </w:rPr>
        <w:t>估算项目最短工期，确定逻辑网络路径的进度灵活性大小的一种方法。</w:t>
      </w:r>
      <w:r>
        <w:rPr>
          <w:rFonts w:hint="eastAsia" w:ascii="宋体" w:hAnsi="宋体" w:eastAsia="宋体"/>
          <w:sz w:val="24"/>
          <w:szCs w:val="24"/>
        </w:rPr>
        <w:t>这种进度网络分析技术在</w:t>
      </w:r>
      <w:r>
        <w:rPr>
          <w:rFonts w:hint="eastAsia" w:ascii="宋体" w:hAnsi="宋体" w:eastAsia="宋体"/>
          <w:b/>
          <w:sz w:val="24"/>
          <w:szCs w:val="24"/>
        </w:rPr>
        <w:t>不考虑任何资源限制</w:t>
      </w:r>
      <w:r>
        <w:rPr>
          <w:rFonts w:hint="eastAsia" w:ascii="宋体" w:hAnsi="宋体" w:eastAsia="宋体"/>
          <w:sz w:val="24"/>
          <w:szCs w:val="24"/>
        </w:rPr>
        <w:t>的情况下，沿进度网络路径顺推与逆推分析，计算出所有活动的最早开始、最早结束、最晚开始和最晚结束日期。</w:t>
      </w:r>
      <w:r>
        <w:rPr>
          <w:rFonts w:hint="eastAsia" w:ascii="宋体" w:hAnsi="宋体" w:eastAsia="宋体"/>
          <w:b/>
          <w:sz w:val="24"/>
          <w:szCs w:val="24"/>
        </w:rPr>
        <w:t>关键路径是项目中时间最长的活动顺序，决定着可能的项目最短工期。</w:t>
      </w:r>
      <w:r>
        <w:rPr>
          <w:rFonts w:hint="eastAsia" w:ascii="宋体" w:hAnsi="宋体" w:eastAsia="宋体"/>
          <w:sz w:val="24"/>
          <w:szCs w:val="24"/>
        </w:rPr>
        <w:t>在任一网络路径上，进度活动可以从最早开始日期推迟或拖延的时间，而不至于延误项目完工日期或违反进度制约因素，就是进度灵活性，被称为“</w:t>
      </w:r>
      <w:r>
        <w:rPr>
          <w:rFonts w:hint="eastAsia" w:ascii="宋体" w:hAnsi="宋体" w:eastAsia="宋体"/>
          <w:b/>
          <w:sz w:val="24"/>
          <w:szCs w:val="24"/>
        </w:rPr>
        <w:t>总浮动时间</w:t>
      </w:r>
      <w:r>
        <w:rPr>
          <w:rFonts w:hint="eastAsia" w:ascii="宋体" w:hAnsi="宋体" w:eastAsia="宋体"/>
          <w:sz w:val="24"/>
          <w:szCs w:val="24"/>
        </w:rPr>
        <w:t>”。</w:t>
      </w:r>
      <w:r>
        <w:rPr>
          <w:rFonts w:hint="eastAsia" w:ascii="宋体" w:hAnsi="宋体" w:eastAsia="宋体"/>
          <w:b/>
          <w:sz w:val="24"/>
          <w:szCs w:val="24"/>
        </w:rPr>
        <w:t>正常情况下，关键路径的总浮动时间为零。</w:t>
      </w:r>
      <w:r>
        <w:rPr>
          <w:rFonts w:hint="eastAsia" w:ascii="宋体" w:hAnsi="宋体" w:eastAsia="宋体"/>
          <w:sz w:val="24"/>
          <w:szCs w:val="24"/>
        </w:rPr>
        <w:t>总浮动时间为正值，是由于逆推计算所使用的进度制约因素要晚于顺推计算所得出的最早结束日期；总浮动时间为负值，是由于持续时间和逻辑关系违反了对最晚日期的制约因素。</w:t>
      </w:r>
      <w:r>
        <w:rPr>
          <w:rFonts w:hint="eastAsia" w:ascii="宋体" w:hAnsi="宋体" w:eastAsia="宋体"/>
          <w:b/>
          <w:sz w:val="24"/>
          <w:szCs w:val="24"/>
        </w:rPr>
        <w:t>网络路径的总浮动时间为零或正值为好。自由浮动时间是指</w:t>
      </w:r>
      <w:r>
        <w:rPr>
          <w:rFonts w:hint="eastAsia" w:ascii="宋体" w:hAnsi="宋体" w:eastAsia="宋体"/>
          <w:sz w:val="24"/>
          <w:szCs w:val="24"/>
        </w:rPr>
        <w:t>在不延误任何紧后活动最早开始日期或不违反进度制约因素的前提下，某进度活动可以推迟的时间量。</w:t>
      </w:r>
    </w:p>
    <w:p>
      <w:pPr>
        <w:spacing w:line="360" w:lineRule="auto"/>
        <w:ind w:firstLine="420"/>
        <w:rPr>
          <w:rFonts w:ascii="宋体" w:hAnsi="宋体" w:eastAsia="宋体"/>
          <w:sz w:val="24"/>
          <w:szCs w:val="24"/>
        </w:rPr>
      </w:pPr>
      <w:r>
        <w:rPr>
          <w:rFonts w:hint="eastAsia" w:ascii="宋体" w:hAnsi="宋体" w:eastAsia="宋体"/>
          <w:sz w:val="24"/>
          <w:szCs w:val="24"/>
        </w:rPr>
        <w:t>关键链法（</w:t>
      </w:r>
      <w:r>
        <w:rPr>
          <w:rFonts w:ascii="宋体" w:hAnsi="宋体" w:eastAsia="宋体"/>
          <w:sz w:val="24"/>
          <w:szCs w:val="24"/>
        </w:rPr>
        <w:t>CCM）</w:t>
      </w:r>
      <w:r>
        <w:rPr>
          <w:rFonts w:hint="eastAsia" w:ascii="宋体" w:hAnsi="宋体" w:eastAsia="宋体"/>
          <w:sz w:val="24"/>
          <w:szCs w:val="24"/>
        </w:rPr>
        <w:t>，是一种进度规划方法，允许项目团队</w:t>
      </w:r>
      <w:r>
        <w:rPr>
          <w:rFonts w:hint="eastAsia" w:ascii="宋体" w:hAnsi="宋体" w:eastAsia="宋体"/>
          <w:b/>
          <w:sz w:val="24"/>
          <w:szCs w:val="24"/>
        </w:rPr>
        <w:t>在任何项目进度路径上设置缓冲，以应对资源限制和项目的不确定性。</w:t>
      </w:r>
      <w:r>
        <w:rPr>
          <w:rFonts w:hint="eastAsia" w:ascii="宋体" w:hAnsi="宋体" w:eastAsia="宋体"/>
          <w:sz w:val="24"/>
          <w:szCs w:val="24"/>
        </w:rPr>
        <w:t>这种方法建立在关键路径法之上，考虑了资源分配、资源优化、资源平衡和活动历时不确定性对关键路径（通过关键路径法来确定）的影响。</w:t>
      </w:r>
      <w:r>
        <w:rPr>
          <w:rFonts w:hint="eastAsia" w:ascii="宋体" w:hAnsi="宋体" w:eastAsia="宋体"/>
          <w:b/>
          <w:sz w:val="24"/>
          <w:szCs w:val="24"/>
        </w:rPr>
        <w:t>资源约束型关键路径就是关键链。</w:t>
      </w:r>
      <w:r>
        <w:rPr>
          <w:rFonts w:hint="eastAsia" w:ascii="宋体" w:hAnsi="宋体" w:eastAsia="宋体"/>
          <w:sz w:val="24"/>
          <w:szCs w:val="24"/>
        </w:rPr>
        <w:t>放置在关键链末端的缓冲称为</w:t>
      </w:r>
      <w:r>
        <w:rPr>
          <w:rFonts w:hint="eastAsia" w:ascii="宋体" w:hAnsi="宋体" w:eastAsia="宋体"/>
          <w:b/>
          <w:sz w:val="24"/>
          <w:szCs w:val="24"/>
        </w:rPr>
        <w:t>项目缓冲</w:t>
      </w:r>
      <w:r>
        <w:rPr>
          <w:rFonts w:hint="eastAsia" w:ascii="宋体" w:hAnsi="宋体" w:eastAsia="宋体"/>
          <w:sz w:val="24"/>
          <w:szCs w:val="24"/>
        </w:rPr>
        <w:t>，</w:t>
      </w:r>
      <w:r>
        <w:rPr>
          <w:rFonts w:hint="eastAsia" w:ascii="宋体" w:hAnsi="宋体" w:eastAsia="宋体"/>
          <w:b/>
          <w:sz w:val="24"/>
          <w:szCs w:val="24"/>
        </w:rPr>
        <w:t>用来保证项目不因关键链的延误而延误</w:t>
      </w:r>
      <w:r>
        <w:rPr>
          <w:rFonts w:hint="eastAsia" w:ascii="宋体" w:hAnsi="宋体" w:eastAsia="宋体"/>
          <w:sz w:val="24"/>
          <w:szCs w:val="24"/>
        </w:rPr>
        <w:t>。其他缓冲，即</w:t>
      </w:r>
      <w:r>
        <w:rPr>
          <w:rFonts w:hint="eastAsia" w:ascii="宋体" w:hAnsi="宋体" w:eastAsia="宋体"/>
          <w:b/>
          <w:sz w:val="24"/>
          <w:szCs w:val="24"/>
        </w:rPr>
        <w:t>接驳缓冲</w:t>
      </w:r>
      <w:r>
        <w:rPr>
          <w:rFonts w:hint="eastAsia" w:ascii="宋体" w:hAnsi="宋体" w:eastAsia="宋体"/>
          <w:sz w:val="24"/>
          <w:szCs w:val="24"/>
        </w:rPr>
        <w:t>，则放置在非关键链与关键链的接合点，</w:t>
      </w:r>
      <w:r>
        <w:rPr>
          <w:rFonts w:hint="eastAsia" w:ascii="宋体" w:hAnsi="宋体" w:eastAsia="宋体"/>
          <w:b/>
          <w:sz w:val="24"/>
          <w:szCs w:val="24"/>
        </w:rPr>
        <w:t>用来保护关键链不受非关键链延误的影响</w:t>
      </w:r>
      <w:r>
        <w:rPr>
          <w:rFonts w:hint="eastAsia" w:ascii="宋体" w:hAnsi="宋体" w:eastAsia="宋体"/>
          <w:sz w:val="24"/>
          <w:szCs w:val="24"/>
        </w:rPr>
        <w:t>。</w:t>
      </w:r>
    </w:p>
    <w:p>
      <w:pPr>
        <w:spacing w:line="360" w:lineRule="auto"/>
        <w:ind w:firstLine="420"/>
        <w:rPr>
          <w:rFonts w:ascii="宋体" w:hAnsi="宋体" w:eastAsia="宋体"/>
          <w:b/>
          <w:sz w:val="24"/>
          <w:szCs w:val="24"/>
        </w:rPr>
      </w:pPr>
      <w:r>
        <w:rPr>
          <w:rFonts w:hint="eastAsia" w:ascii="宋体" w:hAnsi="宋体" w:eastAsia="宋体"/>
          <w:sz w:val="24"/>
          <w:szCs w:val="24"/>
        </w:rPr>
        <w:t>区分：关键路径法（</w:t>
      </w:r>
      <w:r>
        <w:rPr>
          <w:rFonts w:ascii="宋体" w:hAnsi="宋体" w:eastAsia="宋体"/>
          <w:sz w:val="24"/>
          <w:szCs w:val="24"/>
        </w:rPr>
        <w:t>CPM）</w:t>
      </w:r>
      <w:r>
        <w:rPr>
          <w:rFonts w:hint="eastAsia" w:ascii="宋体" w:hAnsi="宋体" w:eastAsia="宋体"/>
          <w:sz w:val="24"/>
          <w:szCs w:val="24"/>
        </w:rPr>
        <w:t>和关键链法（</w:t>
      </w:r>
      <w:r>
        <w:rPr>
          <w:rFonts w:ascii="宋体" w:hAnsi="宋体" w:eastAsia="宋体"/>
          <w:sz w:val="24"/>
          <w:szCs w:val="24"/>
        </w:rPr>
        <w:t>CCM）</w:t>
      </w:r>
      <w:r>
        <w:rPr>
          <w:rFonts w:hint="eastAsia" w:ascii="宋体" w:hAnsi="宋体" w:eastAsia="宋体"/>
          <w:sz w:val="24"/>
          <w:szCs w:val="24"/>
        </w:rPr>
        <w:t>都是进度规划的一种方法。CPM用来估算项目最短工期，不考虑任何资源限制。CCM考虑了资源分配、资源优化、资源平衡和活动历时不确定性对关键路径（通过关键路径法来确定）的影响。</w:t>
      </w:r>
      <w:r>
        <w:rPr>
          <w:rFonts w:hint="eastAsia" w:ascii="宋体" w:hAnsi="宋体" w:eastAsia="宋体"/>
          <w:b/>
          <w:sz w:val="24"/>
          <w:szCs w:val="24"/>
        </w:rPr>
        <w:t>资源约束型关键路径就是关键链。关键链在路径上设置了接驳缓冲和项目缓冲。</w:t>
      </w:r>
    </w:p>
    <w:p>
      <w:pPr>
        <w:pStyle w:val="5"/>
        <w:numPr>
          <w:ilvl w:val="0"/>
          <w:numId w:val="1"/>
        </w:numPr>
        <w:jc w:val="left"/>
      </w:pPr>
      <w:r>
        <w:rPr>
          <w:rFonts w:hint="eastAsia"/>
        </w:rPr>
        <w:t>滚动式规划（见</w:t>
      </w:r>
      <w:r>
        <w:t xml:space="preserve"> 6.2.2.2 节）、提前量和滞后量（见 6.3.2.3 节）、备选方案分析（见 6.4.2.2节）和进度绩效审查方法（见 6.7.2.1 节）</w:t>
      </w:r>
    </w:p>
    <w:p>
      <w:pPr>
        <w:pStyle w:val="5"/>
        <w:numPr>
          <w:ilvl w:val="0"/>
          <w:numId w:val="1"/>
        </w:numPr>
        <w:jc w:val="left"/>
        <w:rPr>
          <w:rFonts w:ascii="宋体" w:hAnsi="宋体" w:eastAsia="宋体"/>
          <w:sz w:val="24"/>
          <w:szCs w:val="24"/>
        </w:rPr>
      </w:pPr>
      <w:r>
        <w:rPr>
          <w:rFonts w:hint="eastAsia"/>
        </w:rPr>
        <w:t>实施质量保证、控制质量、质量控制、质量审计、检查、采购审计、风险审计。</w:t>
      </w:r>
    </w:p>
    <w:p>
      <w:pPr>
        <w:pStyle w:val="11"/>
        <w:spacing w:line="360" w:lineRule="auto"/>
        <w:ind w:left="420" w:firstLine="480"/>
        <w:rPr>
          <w:rFonts w:ascii="宋体" w:hAnsi="宋体" w:eastAsia="宋体"/>
          <w:sz w:val="24"/>
          <w:szCs w:val="24"/>
        </w:rPr>
      </w:pPr>
      <w:r>
        <w:rPr>
          <w:rFonts w:ascii="宋体" w:hAnsi="宋体" w:eastAsia="宋体"/>
          <w:sz w:val="24"/>
          <w:szCs w:val="24"/>
        </w:rPr>
        <w:t>8.2实施质量保证</w:t>
      </w:r>
      <w:r>
        <w:rPr>
          <w:rFonts w:hint="eastAsia" w:ascii="宋体" w:hAnsi="宋体" w:eastAsia="宋体"/>
          <w:sz w:val="24"/>
          <w:szCs w:val="24"/>
        </w:rPr>
        <w:t>（</w:t>
      </w:r>
      <w:r>
        <w:rPr>
          <w:rFonts w:ascii="宋体" w:hAnsi="宋体" w:eastAsia="宋体"/>
          <w:sz w:val="24"/>
          <w:szCs w:val="24"/>
        </w:rPr>
        <w:t>Perform Quality Assurance</w:t>
      </w:r>
      <w:r>
        <w:rPr>
          <w:rFonts w:hint="eastAsia" w:ascii="宋体" w:hAnsi="宋体" w:eastAsia="宋体"/>
          <w:sz w:val="24"/>
          <w:szCs w:val="24"/>
        </w:rPr>
        <w:t>）：质量保证通过用规划过程预防缺陷，或者在执行阶段对正在进行的工作检查出缺陷，来保证质量的确定性。实施质量保证是一个执行过程，使用规划质量管理（见</w:t>
      </w:r>
      <w:r>
        <w:rPr>
          <w:rFonts w:ascii="宋体" w:hAnsi="宋体" w:eastAsia="宋体"/>
          <w:sz w:val="24"/>
          <w:szCs w:val="24"/>
        </w:rPr>
        <w:t xml:space="preserve"> 8.1 节）和控制质量（见 8.3 节）过程所产生的数据。</w:t>
      </w:r>
      <w:r>
        <w:rPr>
          <w:rFonts w:hint="eastAsia" w:ascii="宋体" w:hAnsi="宋体" w:eastAsia="宋体"/>
          <w:sz w:val="24"/>
          <w:szCs w:val="24"/>
        </w:rPr>
        <w:t>质量保证工作属于质量成本框架中的一致性工作。实施质量保证过程也为持续过程改进创造条件。持续过程改进是指不断地改进所有过程的质量。通过持续过程改进，可以减少浪费，消除非增值活动，使各过程在更高的效率与效果水平上运行。</w:t>
      </w:r>
      <w:r>
        <w:rPr>
          <w:rFonts w:hint="eastAsia" w:ascii="宋体" w:hAnsi="宋体" w:eastAsia="宋体"/>
          <w:b/>
          <w:sz w:val="24"/>
          <w:szCs w:val="24"/>
        </w:rPr>
        <w:t>目的是促进质量过程的改进。</w:t>
      </w:r>
    </w:p>
    <w:p>
      <w:pPr>
        <w:pStyle w:val="11"/>
        <w:spacing w:line="360" w:lineRule="auto"/>
        <w:ind w:left="420" w:firstLine="480"/>
        <w:rPr>
          <w:rFonts w:ascii="宋体" w:hAnsi="宋体" w:eastAsia="宋体"/>
          <w:b/>
          <w:sz w:val="24"/>
          <w:szCs w:val="24"/>
        </w:rPr>
      </w:pPr>
      <w:r>
        <w:rPr>
          <w:rFonts w:ascii="宋体" w:hAnsi="宋体" w:eastAsia="宋体"/>
          <w:sz w:val="24"/>
          <w:szCs w:val="24"/>
        </w:rPr>
        <w:t>8.3控制质量</w:t>
      </w:r>
      <w:r>
        <w:rPr>
          <w:rFonts w:hint="eastAsia" w:ascii="宋体" w:hAnsi="宋体" w:eastAsia="宋体"/>
          <w:sz w:val="24"/>
          <w:szCs w:val="24"/>
        </w:rPr>
        <w:t>（</w:t>
      </w:r>
      <w:r>
        <w:rPr>
          <w:rFonts w:ascii="宋体" w:hAnsi="宋体" w:eastAsia="宋体"/>
          <w:sz w:val="24"/>
          <w:szCs w:val="24"/>
        </w:rPr>
        <w:t>Control Quality</w:t>
      </w:r>
      <w:r>
        <w:rPr>
          <w:rFonts w:hint="eastAsia" w:ascii="宋体" w:hAnsi="宋体" w:eastAsia="宋体"/>
          <w:sz w:val="24"/>
          <w:szCs w:val="24"/>
        </w:rPr>
        <w:t>）：</w:t>
      </w:r>
      <w:r>
        <w:rPr>
          <w:rFonts w:hint="eastAsia" w:ascii="宋体" w:hAnsi="宋体" w:eastAsia="宋体"/>
          <w:b/>
          <w:sz w:val="24"/>
          <w:szCs w:val="24"/>
        </w:rPr>
        <w:t>监督并记录质量活动执行的结果</w:t>
      </w:r>
      <w:r>
        <w:rPr>
          <w:rFonts w:hint="eastAsia" w:ascii="宋体" w:hAnsi="宋体" w:eastAsia="宋体"/>
          <w:sz w:val="24"/>
          <w:szCs w:val="24"/>
        </w:rPr>
        <w:t>，以便评估绩效并推荐必要变更。</w:t>
      </w:r>
      <w:r>
        <w:rPr>
          <w:rFonts w:hint="eastAsia" w:ascii="宋体" w:hAnsi="宋体" w:eastAsia="宋体"/>
          <w:b/>
          <w:sz w:val="24"/>
          <w:szCs w:val="24"/>
        </w:rPr>
        <w:t>目的是</w:t>
      </w:r>
      <w:r>
        <w:rPr>
          <w:rFonts w:hint="eastAsia" w:ascii="宋体" w:hAnsi="宋体" w:eastAsia="宋体"/>
          <w:sz w:val="24"/>
          <w:szCs w:val="24"/>
        </w:rPr>
        <w:t>识别过程低效或产品质量低劣的原因，并采取相应措施消除这些原因；</w:t>
      </w:r>
      <w:r>
        <w:rPr>
          <w:rFonts w:hint="eastAsia" w:ascii="宋体" w:hAnsi="宋体" w:eastAsia="宋体"/>
          <w:b/>
          <w:sz w:val="24"/>
          <w:szCs w:val="24"/>
        </w:rPr>
        <w:t>确认项目可交付成果和工作满足主要干系人的既定需求，足以进行最终验收</w:t>
      </w:r>
      <w:r>
        <w:rPr>
          <w:rFonts w:hint="eastAsia" w:ascii="宋体" w:hAnsi="宋体" w:eastAsia="宋体"/>
          <w:sz w:val="24"/>
          <w:szCs w:val="24"/>
        </w:rPr>
        <w:t>。</w:t>
      </w:r>
      <w:r>
        <w:rPr>
          <w:rFonts w:hint="eastAsia" w:ascii="宋体" w:hAnsi="宋体" w:eastAsia="宋体"/>
          <w:b/>
          <w:sz w:val="24"/>
          <w:szCs w:val="24"/>
        </w:rPr>
        <w:t>主要产出核实的可交付成果。</w:t>
      </w:r>
    </w:p>
    <w:p>
      <w:pPr>
        <w:pStyle w:val="11"/>
        <w:spacing w:line="360" w:lineRule="auto"/>
        <w:ind w:left="420" w:firstLine="482"/>
        <w:rPr>
          <w:rFonts w:ascii="宋体" w:hAnsi="宋体" w:eastAsia="宋体"/>
          <w:sz w:val="24"/>
          <w:szCs w:val="24"/>
        </w:rPr>
      </w:pPr>
      <w:r>
        <w:rPr>
          <w:rFonts w:hint="eastAsia" w:ascii="宋体" w:hAnsi="宋体" w:eastAsia="宋体"/>
          <w:b/>
          <w:sz w:val="24"/>
          <w:szCs w:val="24"/>
        </w:rPr>
        <w:t>区分：在项目规划和执行阶段开展质量保证</w:t>
      </w:r>
      <w:r>
        <w:rPr>
          <w:rFonts w:hint="eastAsia" w:ascii="宋体" w:hAnsi="宋体" w:eastAsia="宋体"/>
          <w:sz w:val="24"/>
          <w:szCs w:val="24"/>
        </w:rPr>
        <w:t>，来建立满足干系人需求的信心；</w:t>
      </w:r>
      <w:r>
        <w:rPr>
          <w:rFonts w:hint="eastAsia" w:ascii="宋体" w:hAnsi="宋体" w:eastAsia="宋体"/>
          <w:b/>
          <w:sz w:val="24"/>
          <w:szCs w:val="24"/>
        </w:rPr>
        <w:t>在项目执行和收尾阶段开展质量控制</w:t>
      </w:r>
      <w:r>
        <w:rPr>
          <w:rFonts w:hint="eastAsia" w:ascii="宋体" w:hAnsi="宋体" w:eastAsia="宋体"/>
          <w:sz w:val="24"/>
          <w:szCs w:val="24"/>
        </w:rPr>
        <w:t>，用可靠的数据来</w:t>
      </w:r>
      <w:r>
        <w:rPr>
          <w:rFonts w:hint="eastAsia" w:ascii="宋体" w:hAnsi="宋体" w:eastAsia="宋体"/>
          <w:b/>
          <w:sz w:val="24"/>
          <w:szCs w:val="24"/>
        </w:rPr>
        <w:t>证明项目已经达到</w:t>
      </w:r>
      <w:r>
        <w:rPr>
          <w:rFonts w:hint="eastAsia" w:ascii="宋体" w:hAnsi="宋体" w:eastAsia="宋体"/>
          <w:sz w:val="24"/>
          <w:szCs w:val="24"/>
        </w:rPr>
        <w:t>发起人和</w:t>
      </w:r>
      <w:r>
        <w:rPr>
          <w:rFonts w:ascii="宋体" w:hAnsi="宋体" w:eastAsia="宋体"/>
          <w:sz w:val="24"/>
          <w:szCs w:val="24"/>
        </w:rPr>
        <w:t>/或客户的</w:t>
      </w:r>
      <w:r>
        <w:rPr>
          <w:rFonts w:ascii="宋体" w:hAnsi="宋体" w:eastAsia="宋体"/>
          <w:b/>
          <w:sz w:val="24"/>
          <w:szCs w:val="24"/>
        </w:rPr>
        <w:t>验收标准</w:t>
      </w:r>
      <w:r>
        <w:rPr>
          <w:rFonts w:ascii="宋体" w:hAnsi="宋体" w:eastAsia="宋体"/>
          <w:sz w:val="24"/>
          <w:szCs w:val="24"/>
        </w:rPr>
        <w:t>。</w:t>
      </w:r>
    </w:p>
    <w:p>
      <w:pPr>
        <w:pStyle w:val="11"/>
        <w:spacing w:line="360" w:lineRule="auto"/>
        <w:ind w:left="420" w:firstLine="482"/>
        <w:rPr>
          <w:rFonts w:ascii="宋体" w:hAnsi="宋体" w:eastAsia="宋体"/>
          <w:sz w:val="24"/>
          <w:szCs w:val="24"/>
        </w:rPr>
      </w:pPr>
      <w:r>
        <w:rPr>
          <w:rFonts w:hint="eastAsia" w:ascii="宋体" w:hAnsi="宋体" w:eastAsia="宋体"/>
          <w:b/>
          <w:sz w:val="24"/>
          <w:szCs w:val="24"/>
        </w:rPr>
        <w:t>质量审计（</w:t>
      </w:r>
      <w:r>
        <w:rPr>
          <w:rFonts w:ascii="宋体" w:hAnsi="宋体" w:eastAsia="宋体"/>
          <w:b/>
          <w:sz w:val="24"/>
          <w:szCs w:val="24"/>
        </w:rPr>
        <w:t>Quality Audits</w:t>
      </w:r>
      <w:r>
        <w:rPr>
          <w:rFonts w:hint="eastAsia" w:ascii="宋体" w:hAnsi="宋体" w:eastAsia="宋体"/>
          <w:b/>
          <w:sz w:val="24"/>
          <w:szCs w:val="24"/>
        </w:rPr>
        <w:t>）：</w:t>
      </w:r>
      <w:r>
        <w:rPr>
          <w:rFonts w:hint="eastAsia" w:ascii="宋体" w:hAnsi="宋体" w:eastAsia="宋体"/>
          <w:sz w:val="24"/>
          <w:szCs w:val="24"/>
        </w:rPr>
        <w:t>是8.</w:t>
      </w:r>
      <w:r>
        <w:rPr>
          <w:rFonts w:ascii="宋体" w:hAnsi="宋体" w:eastAsia="宋体"/>
          <w:sz w:val="24"/>
          <w:szCs w:val="24"/>
        </w:rPr>
        <w:t>2</w:t>
      </w:r>
      <w:r>
        <w:rPr>
          <w:rFonts w:hint="eastAsia" w:ascii="宋体" w:hAnsi="宋体" w:eastAsia="宋体"/>
          <w:sz w:val="24"/>
          <w:szCs w:val="24"/>
        </w:rPr>
        <w:t>实施质量保证的工具，是用来</w:t>
      </w:r>
      <w:r>
        <w:rPr>
          <w:rFonts w:hint="eastAsia" w:ascii="宋体" w:hAnsi="宋体" w:eastAsia="宋体"/>
          <w:b/>
          <w:sz w:val="24"/>
          <w:szCs w:val="24"/>
        </w:rPr>
        <w:t>确定项目活动是否遵循了组织和项目的政策、过程与程序的一种结构化的、独立的过程</w:t>
      </w:r>
      <w:r>
        <w:rPr>
          <w:rFonts w:hint="eastAsia" w:ascii="宋体" w:hAnsi="宋体" w:eastAsia="宋体"/>
          <w:sz w:val="24"/>
          <w:szCs w:val="24"/>
        </w:rPr>
        <w:t>。质量审计可事先安排，也可随机进行；可由内部或外部审计师进行。质量审计的</w:t>
      </w:r>
      <w:r>
        <w:rPr>
          <w:rFonts w:hint="eastAsia" w:ascii="宋体" w:hAnsi="宋体" w:eastAsia="宋体"/>
          <w:b/>
          <w:sz w:val="24"/>
          <w:szCs w:val="24"/>
        </w:rPr>
        <w:t>目标是：识别好的做法和不好的做法，以积累经验教训、改进过程的执行。</w:t>
      </w:r>
      <w:r>
        <w:rPr>
          <w:rFonts w:hint="eastAsia" w:ascii="宋体" w:hAnsi="宋体" w:eastAsia="宋体"/>
          <w:sz w:val="24"/>
          <w:szCs w:val="24"/>
        </w:rPr>
        <w:t>质量审计还可确认已批准的变更请求（包括更新、纠正措施、缺陷补救和预防措施）的实施情况。</w:t>
      </w:r>
    </w:p>
    <w:p>
      <w:pPr>
        <w:pStyle w:val="11"/>
        <w:spacing w:line="360" w:lineRule="auto"/>
        <w:ind w:left="420" w:firstLine="482"/>
        <w:rPr>
          <w:rFonts w:ascii="宋体" w:hAnsi="宋体" w:eastAsia="宋体"/>
          <w:sz w:val="24"/>
          <w:szCs w:val="24"/>
        </w:rPr>
      </w:pPr>
      <w:r>
        <w:rPr>
          <w:rFonts w:hint="eastAsia" w:ascii="宋体" w:hAnsi="宋体" w:eastAsia="宋体"/>
          <w:b/>
          <w:sz w:val="24"/>
          <w:szCs w:val="24"/>
        </w:rPr>
        <w:t>检查（</w:t>
      </w:r>
      <w:r>
        <w:rPr>
          <w:rFonts w:ascii="宋体" w:hAnsi="宋体" w:eastAsia="宋体"/>
          <w:b/>
          <w:sz w:val="24"/>
          <w:szCs w:val="24"/>
        </w:rPr>
        <w:t>Inspection</w:t>
      </w:r>
      <w:r>
        <w:rPr>
          <w:rFonts w:hint="eastAsia" w:ascii="宋体" w:hAnsi="宋体" w:eastAsia="宋体"/>
          <w:b/>
          <w:sz w:val="24"/>
          <w:szCs w:val="24"/>
        </w:rPr>
        <w:t>）：</w:t>
      </w:r>
      <w:r>
        <w:rPr>
          <w:rFonts w:hint="eastAsia" w:ascii="宋体" w:hAnsi="宋体" w:eastAsia="宋体"/>
          <w:sz w:val="24"/>
          <w:szCs w:val="24"/>
        </w:rPr>
        <w:t>是</w:t>
      </w:r>
      <w:r>
        <w:rPr>
          <w:rFonts w:ascii="宋体" w:hAnsi="宋体" w:eastAsia="宋体"/>
          <w:sz w:val="24"/>
          <w:szCs w:val="24"/>
        </w:rPr>
        <w:t>8.3控制质量</w:t>
      </w:r>
      <w:r>
        <w:rPr>
          <w:rFonts w:hint="eastAsia" w:ascii="宋体" w:hAnsi="宋体" w:eastAsia="宋体"/>
          <w:sz w:val="24"/>
          <w:szCs w:val="24"/>
        </w:rPr>
        <w:t>的工具，是指检验工作产品，以</w:t>
      </w:r>
      <w:r>
        <w:rPr>
          <w:rFonts w:hint="eastAsia" w:ascii="宋体" w:hAnsi="宋体" w:eastAsia="宋体"/>
          <w:b/>
          <w:sz w:val="24"/>
          <w:szCs w:val="24"/>
        </w:rPr>
        <w:t>确定是否符合书面标准</w:t>
      </w:r>
      <w:r>
        <w:rPr>
          <w:rFonts w:hint="eastAsia" w:ascii="宋体" w:hAnsi="宋体" w:eastAsia="宋体"/>
          <w:sz w:val="24"/>
          <w:szCs w:val="24"/>
        </w:rPr>
        <w:t>。检查的结果通常包括相关的测量数据。检查也可称为审查、同行审查、审计或巡检等。检查也可用于确认缺陷补救。</w:t>
      </w:r>
    </w:p>
    <w:p>
      <w:pPr>
        <w:pStyle w:val="11"/>
        <w:spacing w:line="360" w:lineRule="auto"/>
        <w:ind w:left="420" w:firstLine="482"/>
        <w:rPr>
          <w:rFonts w:ascii="宋体" w:hAnsi="宋体" w:eastAsia="宋体"/>
          <w:sz w:val="24"/>
          <w:szCs w:val="24"/>
        </w:rPr>
      </w:pPr>
      <w:r>
        <w:rPr>
          <w:rFonts w:hint="eastAsia" w:ascii="宋体" w:hAnsi="宋体" w:eastAsia="宋体"/>
          <w:b/>
          <w:sz w:val="24"/>
          <w:szCs w:val="24"/>
        </w:rPr>
        <w:t>采购审计（</w:t>
      </w:r>
      <w:r>
        <w:rPr>
          <w:rFonts w:ascii="宋体" w:hAnsi="宋体" w:eastAsia="宋体"/>
          <w:b/>
          <w:sz w:val="24"/>
          <w:szCs w:val="24"/>
        </w:rPr>
        <w:t>Procurement Audits</w:t>
      </w:r>
      <w:r>
        <w:rPr>
          <w:rFonts w:hint="eastAsia" w:ascii="宋体" w:hAnsi="宋体" w:eastAsia="宋体"/>
          <w:b/>
          <w:sz w:val="24"/>
          <w:szCs w:val="24"/>
        </w:rPr>
        <w:t>）：</w:t>
      </w:r>
      <w:r>
        <w:rPr>
          <w:rFonts w:ascii="宋体" w:hAnsi="宋体" w:eastAsia="宋体"/>
          <w:sz w:val="24"/>
          <w:szCs w:val="24"/>
        </w:rPr>
        <w:t>12.4结束采购的工具</w:t>
      </w:r>
      <w:r>
        <w:rPr>
          <w:rFonts w:hint="eastAsia" w:ascii="宋体" w:hAnsi="宋体" w:eastAsia="宋体"/>
          <w:sz w:val="24"/>
          <w:szCs w:val="24"/>
        </w:rPr>
        <w:t>，</w:t>
      </w:r>
      <w:r>
        <w:rPr>
          <w:rFonts w:ascii="宋体" w:hAnsi="宋体" w:eastAsia="宋体"/>
          <w:sz w:val="24"/>
          <w:szCs w:val="24"/>
        </w:rPr>
        <w:t>是指从规划采购管理过程到控制采购过程的</w:t>
      </w:r>
      <w:r>
        <w:rPr>
          <w:rFonts w:ascii="宋体" w:hAnsi="宋体" w:eastAsia="宋体"/>
          <w:b/>
          <w:sz w:val="24"/>
          <w:szCs w:val="24"/>
        </w:rPr>
        <w:t>所有采购过程进行结构化审查</w:t>
      </w:r>
      <w:r>
        <w:rPr>
          <w:rFonts w:ascii="宋体" w:hAnsi="宋体" w:eastAsia="宋体"/>
          <w:sz w:val="24"/>
          <w:szCs w:val="24"/>
        </w:rPr>
        <w:t>。其目的是</w:t>
      </w:r>
      <w:r>
        <w:rPr>
          <w:rFonts w:ascii="宋体" w:hAnsi="宋体" w:eastAsia="宋体"/>
          <w:b/>
          <w:sz w:val="24"/>
          <w:szCs w:val="24"/>
        </w:rPr>
        <w:t>找出合同准备或管理方面的成功经验与失败教训</w:t>
      </w:r>
      <w:r>
        <w:rPr>
          <w:rFonts w:ascii="宋体" w:hAnsi="宋体" w:eastAsia="宋体"/>
          <w:sz w:val="24"/>
          <w:szCs w:val="24"/>
        </w:rPr>
        <w:t>，供本项目其他采购合同或执行组织内其他项目的采购合同借鉴。</w:t>
      </w:r>
    </w:p>
    <w:p>
      <w:pPr>
        <w:pStyle w:val="11"/>
        <w:spacing w:line="360" w:lineRule="auto"/>
        <w:ind w:left="420" w:firstLine="482"/>
        <w:rPr>
          <w:rFonts w:ascii="宋体" w:hAnsi="宋体" w:eastAsia="宋体"/>
          <w:sz w:val="24"/>
          <w:szCs w:val="24"/>
        </w:rPr>
      </w:pPr>
      <w:r>
        <w:rPr>
          <w:rFonts w:hint="eastAsia" w:ascii="宋体" w:hAnsi="宋体" w:eastAsia="宋体"/>
          <w:b/>
          <w:sz w:val="24"/>
          <w:szCs w:val="24"/>
        </w:rPr>
        <w:t>风险审计（</w:t>
      </w:r>
      <w:r>
        <w:rPr>
          <w:rFonts w:ascii="宋体" w:hAnsi="宋体" w:eastAsia="宋体"/>
          <w:b/>
          <w:sz w:val="24"/>
          <w:szCs w:val="24"/>
        </w:rPr>
        <w:t>Risk Audits</w:t>
      </w:r>
      <w:r>
        <w:rPr>
          <w:rFonts w:hint="eastAsia" w:ascii="宋体" w:hAnsi="宋体" w:eastAsia="宋体"/>
          <w:b/>
          <w:sz w:val="24"/>
          <w:szCs w:val="24"/>
        </w:rPr>
        <w:t>）：</w:t>
      </w:r>
      <w:r>
        <w:rPr>
          <w:rFonts w:hint="eastAsia" w:ascii="宋体" w:hAnsi="宋体" w:eastAsia="宋体"/>
          <w:sz w:val="24"/>
          <w:szCs w:val="24"/>
        </w:rPr>
        <w:t>是</w:t>
      </w:r>
      <w:r>
        <w:rPr>
          <w:rFonts w:hint="eastAsia" w:ascii="宋体" w:hAnsi="宋体" w:eastAsia="宋体"/>
          <w:b/>
          <w:sz w:val="24"/>
          <w:szCs w:val="24"/>
        </w:rPr>
        <w:t>检查并记录风险应对措施在处理已识别风险及其根源方面的有效性</w:t>
      </w:r>
      <w:r>
        <w:rPr>
          <w:rFonts w:hint="eastAsia" w:ascii="宋体" w:hAnsi="宋体" w:eastAsia="宋体"/>
          <w:sz w:val="24"/>
          <w:szCs w:val="24"/>
        </w:rPr>
        <w:t>，以及风险管理过程的有效性。在实施审计前，要明确定义审计的格式和目标。</w:t>
      </w:r>
    </w:p>
    <w:p>
      <w:pPr>
        <w:pStyle w:val="5"/>
        <w:numPr>
          <w:ilvl w:val="0"/>
          <w:numId w:val="1"/>
        </w:numPr>
        <w:jc w:val="left"/>
      </w:pPr>
      <w:r>
        <w:rPr>
          <w:rFonts w:hint="eastAsia"/>
        </w:rPr>
        <w:t>统计控制方面的实用知识-下术语之间的差别：</w:t>
      </w:r>
    </w:p>
    <w:p>
      <w:pPr>
        <w:pStyle w:val="11"/>
        <w:numPr>
          <w:ilvl w:val="1"/>
          <w:numId w:val="3"/>
        </w:numPr>
        <w:spacing w:line="360" w:lineRule="auto"/>
        <w:ind w:firstLineChars="0"/>
        <w:rPr>
          <w:rFonts w:ascii="宋体" w:hAnsi="宋体" w:eastAsia="宋体"/>
          <w:sz w:val="24"/>
          <w:szCs w:val="24"/>
        </w:rPr>
      </w:pPr>
      <w:r>
        <w:rPr>
          <w:rFonts w:hint="eastAsia" w:ascii="宋体" w:hAnsi="宋体" w:eastAsia="宋体"/>
          <w:b/>
          <w:sz w:val="24"/>
          <w:szCs w:val="24"/>
        </w:rPr>
        <w:t>预防</w:t>
      </w:r>
      <w:r>
        <w:rPr>
          <w:rFonts w:hint="eastAsia" w:ascii="宋体" w:hAnsi="宋体" w:eastAsia="宋体"/>
          <w:sz w:val="24"/>
          <w:szCs w:val="24"/>
        </w:rPr>
        <w:t>（保证过程中不出现错误）与</w:t>
      </w:r>
      <w:r>
        <w:rPr>
          <w:rFonts w:hint="eastAsia" w:ascii="宋体" w:hAnsi="宋体" w:eastAsia="宋体"/>
          <w:b/>
          <w:sz w:val="24"/>
          <w:szCs w:val="24"/>
        </w:rPr>
        <w:t>检查</w:t>
      </w:r>
      <w:r>
        <w:rPr>
          <w:rFonts w:hint="eastAsia" w:ascii="宋体" w:hAnsi="宋体" w:eastAsia="宋体"/>
          <w:sz w:val="24"/>
          <w:szCs w:val="24"/>
        </w:rPr>
        <w:t>（保证错误不落到客户手中）；</w:t>
      </w:r>
      <w:r>
        <w:rPr>
          <w:rFonts w:ascii="宋体" w:hAnsi="宋体" w:eastAsia="宋体"/>
          <w:sz w:val="24"/>
          <w:szCs w:val="24"/>
        </w:rPr>
        <w:t xml:space="preserve"> </w:t>
      </w:r>
    </w:p>
    <w:p>
      <w:pPr>
        <w:pStyle w:val="11"/>
        <w:numPr>
          <w:ilvl w:val="1"/>
          <w:numId w:val="3"/>
        </w:numPr>
        <w:spacing w:line="360" w:lineRule="auto"/>
        <w:ind w:firstLineChars="0"/>
        <w:rPr>
          <w:rFonts w:ascii="宋体" w:hAnsi="宋体" w:eastAsia="宋体"/>
          <w:sz w:val="24"/>
          <w:szCs w:val="24"/>
        </w:rPr>
      </w:pPr>
      <w:r>
        <w:rPr>
          <w:rFonts w:hint="eastAsia" w:ascii="宋体" w:hAnsi="宋体" w:eastAsia="宋体"/>
          <w:b/>
          <w:sz w:val="24"/>
          <w:szCs w:val="24"/>
        </w:rPr>
        <w:t>属性抽样</w:t>
      </w:r>
      <w:r>
        <w:rPr>
          <w:rFonts w:hint="eastAsia" w:ascii="宋体" w:hAnsi="宋体" w:eastAsia="宋体"/>
          <w:sz w:val="24"/>
          <w:szCs w:val="24"/>
        </w:rPr>
        <w:t>（结果为合格或不合格）与</w:t>
      </w:r>
      <w:r>
        <w:rPr>
          <w:rFonts w:hint="eastAsia" w:ascii="宋体" w:hAnsi="宋体" w:eastAsia="宋体"/>
          <w:b/>
          <w:sz w:val="24"/>
          <w:szCs w:val="24"/>
        </w:rPr>
        <w:t>变量抽样</w:t>
      </w:r>
      <w:r>
        <w:rPr>
          <w:rFonts w:hint="eastAsia" w:ascii="宋体" w:hAnsi="宋体" w:eastAsia="宋体"/>
          <w:sz w:val="24"/>
          <w:szCs w:val="24"/>
        </w:rPr>
        <w:t>（在连续的量表上标明结果所处的位置，</w:t>
      </w:r>
    </w:p>
    <w:p>
      <w:pPr>
        <w:spacing w:line="360" w:lineRule="auto"/>
        <w:rPr>
          <w:rFonts w:ascii="宋体" w:hAnsi="宋体" w:eastAsia="宋体"/>
          <w:sz w:val="24"/>
          <w:szCs w:val="24"/>
        </w:rPr>
      </w:pPr>
      <w:r>
        <w:rPr>
          <w:rFonts w:hint="eastAsia" w:ascii="宋体" w:hAnsi="宋体" w:eastAsia="宋体"/>
          <w:sz w:val="24"/>
          <w:szCs w:val="24"/>
        </w:rPr>
        <w:t>表明合格的程度）；</w:t>
      </w:r>
      <w:r>
        <w:rPr>
          <w:rFonts w:ascii="宋体" w:hAnsi="宋体" w:eastAsia="宋体"/>
          <w:sz w:val="24"/>
          <w:szCs w:val="24"/>
        </w:rPr>
        <w:t xml:space="preserve"> </w:t>
      </w:r>
    </w:p>
    <w:p>
      <w:pPr>
        <w:pStyle w:val="11"/>
        <w:numPr>
          <w:ilvl w:val="1"/>
          <w:numId w:val="3"/>
        </w:numPr>
        <w:spacing w:line="360" w:lineRule="auto"/>
        <w:ind w:firstLineChars="0"/>
        <w:rPr>
          <w:rFonts w:ascii="宋体" w:hAnsi="宋体" w:eastAsia="宋体"/>
          <w:sz w:val="24"/>
          <w:szCs w:val="24"/>
        </w:rPr>
      </w:pPr>
      <w:r>
        <w:rPr>
          <w:rFonts w:hint="eastAsia" w:ascii="宋体" w:hAnsi="宋体" w:eastAsia="宋体"/>
          <w:b/>
          <w:sz w:val="24"/>
          <w:szCs w:val="24"/>
        </w:rPr>
        <w:t>公差</w:t>
      </w:r>
      <w:r>
        <w:rPr>
          <w:rFonts w:hint="eastAsia" w:ascii="宋体" w:hAnsi="宋体" w:eastAsia="宋体"/>
          <w:sz w:val="24"/>
          <w:szCs w:val="24"/>
        </w:rPr>
        <w:t>（结果的可接受范围）与</w:t>
      </w:r>
      <w:r>
        <w:rPr>
          <w:rFonts w:hint="eastAsia" w:ascii="宋体" w:hAnsi="宋体" w:eastAsia="宋体"/>
          <w:b/>
          <w:sz w:val="24"/>
          <w:szCs w:val="24"/>
        </w:rPr>
        <w:t>控制界限</w:t>
      </w:r>
      <w:r>
        <w:rPr>
          <w:rFonts w:hint="eastAsia" w:ascii="宋体" w:hAnsi="宋体" w:eastAsia="宋体"/>
          <w:sz w:val="24"/>
          <w:szCs w:val="24"/>
        </w:rPr>
        <w:t>（在统计意义上稳定的过程或过程绩效的普通</w:t>
      </w:r>
    </w:p>
    <w:p>
      <w:pPr>
        <w:spacing w:line="360" w:lineRule="auto"/>
        <w:rPr>
          <w:rFonts w:ascii="宋体" w:hAnsi="宋体" w:eastAsia="宋体"/>
          <w:sz w:val="24"/>
          <w:szCs w:val="24"/>
        </w:rPr>
      </w:pPr>
      <w:r>
        <w:rPr>
          <w:rFonts w:hint="eastAsia" w:ascii="宋体" w:hAnsi="宋体" w:eastAsia="宋体"/>
          <w:sz w:val="24"/>
          <w:szCs w:val="24"/>
        </w:rPr>
        <w:t>偏差的边界）。</w:t>
      </w:r>
    </w:p>
    <w:p>
      <w:pPr>
        <w:pStyle w:val="5"/>
        <w:numPr>
          <w:ilvl w:val="0"/>
          <w:numId w:val="1"/>
        </w:numPr>
        <w:jc w:val="left"/>
        <w:rPr>
          <w:rFonts w:ascii="宋体" w:hAnsi="宋体" w:eastAsia="宋体"/>
          <w:sz w:val="24"/>
          <w:szCs w:val="24"/>
        </w:rPr>
      </w:pPr>
      <w:r>
        <w:t>管理干系人参与</w:t>
      </w:r>
      <w:r>
        <w:rPr>
          <w:rFonts w:hint="eastAsia"/>
        </w:rPr>
        <w:t>、控制干系人参与。</w:t>
      </w:r>
    </w:p>
    <w:p>
      <w:pPr>
        <w:pStyle w:val="5"/>
        <w:numPr>
          <w:ilvl w:val="0"/>
          <w:numId w:val="1"/>
        </w:numPr>
        <w:jc w:val="left"/>
      </w:pPr>
      <w:r>
        <w:rPr>
          <w:rFonts w:hint="eastAsia"/>
        </w:rPr>
        <w:t>进度模型</w:t>
      </w:r>
    </w:p>
    <w:p>
      <w:pPr>
        <w:pStyle w:val="11"/>
        <w:spacing w:line="360" w:lineRule="auto"/>
        <w:ind w:left="420" w:firstLine="0" w:firstLineChars="0"/>
        <w:rPr>
          <w:rFonts w:ascii="宋体" w:hAnsi="宋体" w:eastAsia="宋体"/>
          <w:sz w:val="24"/>
          <w:szCs w:val="24"/>
        </w:rPr>
      </w:pPr>
      <w:r>
        <w:rPr>
          <w:rFonts w:hint="eastAsia" w:ascii="宋体" w:hAnsi="宋体" w:eastAsia="宋体"/>
          <w:sz w:val="24"/>
          <w:szCs w:val="24"/>
        </w:rPr>
        <w:t>是项目活动执行计划的一种表示形式，其中包含持续时间、依赖关系和其他规划信息，用以生成项目进度计划及其他进度资料。</w:t>
      </w:r>
    </w:p>
    <w:p>
      <w:pPr>
        <w:pStyle w:val="5"/>
        <w:numPr>
          <w:ilvl w:val="0"/>
          <w:numId w:val="1"/>
        </w:numPr>
        <w:jc w:val="left"/>
      </w:pPr>
      <w:r>
        <w:rPr>
          <w:rFonts w:hint="eastAsia"/>
        </w:rPr>
        <w:t>三个基准：</w:t>
      </w:r>
    </w:p>
    <w:tbl>
      <w:tblPr>
        <w:tblStyle w:val="7"/>
        <w:tblW w:w="8784" w:type="dxa"/>
        <w:tblInd w:w="0" w:type="dxa"/>
        <w:tblLayout w:type="fixed"/>
        <w:tblCellMar>
          <w:top w:w="0" w:type="dxa"/>
          <w:left w:w="108" w:type="dxa"/>
          <w:bottom w:w="0" w:type="dxa"/>
          <w:right w:w="108" w:type="dxa"/>
        </w:tblCellMar>
      </w:tblPr>
      <w:tblGrid>
        <w:gridCol w:w="1129"/>
        <w:gridCol w:w="1985"/>
        <w:gridCol w:w="1985"/>
        <w:gridCol w:w="3685"/>
      </w:tblGrid>
      <w:tr>
        <w:tblPrEx>
          <w:tblLayout w:type="fixed"/>
        </w:tblPrEx>
        <w:trPr>
          <w:trHeight w:val="285" w:hRule="atLeast"/>
        </w:trPr>
        <w:tc>
          <w:tcPr>
            <w:tcW w:w="112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b/>
                <w:color w:val="000000"/>
                <w:kern w:val="0"/>
                <w:sz w:val="22"/>
              </w:rPr>
            </w:pPr>
            <w:r>
              <w:rPr>
                <w:rFonts w:hint="eastAsia" w:ascii="等线" w:hAnsi="等线" w:eastAsia="等线" w:cs="宋体"/>
                <w:b/>
                <w:color w:val="000000"/>
                <w:kern w:val="0"/>
                <w:sz w:val="22"/>
              </w:rPr>
              <w:t>基准名称</w:t>
            </w:r>
          </w:p>
        </w:tc>
        <w:tc>
          <w:tcPr>
            <w:tcW w:w="1985" w:type="dxa"/>
            <w:tcBorders>
              <w:top w:val="single" w:color="auto" w:sz="4" w:space="0"/>
              <w:left w:val="nil"/>
              <w:bottom w:val="single" w:color="auto" w:sz="4" w:space="0"/>
              <w:right w:val="single" w:color="auto" w:sz="4" w:space="0"/>
            </w:tcBorders>
            <w:shd w:val="clear" w:color="auto" w:fill="auto"/>
            <w:vAlign w:val="bottom"/>
          </w:tcPr>
          <w:p>
            <w:pPr>
              <w:widowControl/>
              <w:jc w:val="left"/>
              <w:rPr>
                <w:rFonts w:ascii="等线" w:hAnsi="等线" w:eastAsia="等线" w:cs="宋体"/>
                <w:b/>
                <w:color w:val="000000"/>
                <w:kern w:val="0"/>
                <w:sz w:val="22"/>
              </w:rPr>
            </w:pPr>
            <w:r>
              <w:rPr>
                <w:rFonts w:hint="eastAsia" w:ascii="等线" w:hAnsi="等线" w:eastAsia="等线" w:cs="宋体"/>
                <w:b/>
                <w:color w:val="000000"/>
                <w:kern w:val="0"/>
                <w:sz w:val="22"/>
              </w:rPr>
              <w:t>输出过程（规划）</w:t>
            </w:r>
          </w:p>
        </w:tc>
        <w:tc>
          <w:tcPr>
            <w:tcW w:w="1985" w:type="dxa"/>
            <w:tcBorders>
              <w:top w:val="single" w:color="auto" w:sz="4" w:space="0"/>
              <w:left w:val="nil"/>
              <w:bottom w:val="single" w:color="auto" w:sz="4" w:space="0"/>
              <w:right w:val="single" w:color="auto" w:sz="4" w:space="0"/>
            </w:tcBorders>
          </w:tcPr>
          <w:p>
            <w:pPr>
              <w:widowControl/>
              <w:jc w:val="left"/>
              <w:rPr>
                <w:rFonts w:ascii="等线" w:hAnsi="等线" w:eastAsia="等线" w:cs="宋体"/>
                <w:b/>
                <w:color w:val="000000"/>
                <w:kern w:val="0"/>
                <w:sz w:val="22"/>
              </w:rPr>
            </w:pPr>
            <w:r>
              <w:rPr>
                <w:rFonts w:hint="eastAsia" w:ascii="等线" w:hAnsi="等线" w:eastAsia="等线" w:cs="宋体"/>
                <w:b/>
                <w:color w:val="000000"/>
                <w:kern w:val="0"/>
                <w:sz w:val="22"/>
              </w:rPr>
              <w:t>包含内容</w:t>
            </w:r>
          </w:p>
        </w:tc>
        <w:tc>
          <w:tcPr>
            <w:tcW w:w="3685" w:type="dxa"/>
            <w:tcBorders>
              <w:top w:val="single" w:color="auto" w:sz="4" w:space="0"/>
              <w:left w:val="nil"/>
              <w:bottom w:val="single" w:color="auto" w:sz="4" w:space="0"/>
              <w:right w:val="single" w:color="auto" w:sz="4" w:space="0"/>
            </w:tcBorders>
          </w:tcPr>
          <w:p>
            <w:pPr>
              <w:widowControl/>
              <w:jc w:val="left"/>
              <w:rPr>
                <w:rFonts w:ascii="等线" w:hAnsi="等线" w:eastAsia="等线" w:cs="宋体"/>
                <w:b/>
                <w:color w:val="000000"/>
                <w:kern w:val="0"/>
                <w:sz w:val="22"/>
              </w:rPr>
            </w:pPr>
            <w:r>
              <w:rPr>
                <w:rFonts w:hint="eastAsia" w:ascii="等线" w:hAnsi="等线" w:eastAsia="等线" w:cs="宋体"/>
                <w:b/>
                <w:color w:val="000000"/>
                <w:kern w:val="0"/>
                <w:sz w:val="22"/>
              </w:rPr>
              <w:t>定义</w:t>
            </w:r>
          </w:p>
        </w:tc>
      </w:tr>
      <w:tr>
        <w:tblPrEx>
          <w:tblLayout w:type="fixed"/>
          <w:tblCellMar>
            <w:top w:w="0" w:type="dxa"/>
            <w:left w:w="108" w:type="dxa"/>
            <w:bottom w:w="0" w:type="dxa"/>
            <w:right w:w="108" w:type="dxa"/>
          </w:tblCellMar>
        </w:tblPrEx>
        <w:trPr>
          <w:trHeight w:val="285" w:hRule="atLeast"/>
        </w:trPr>
        <w:tc>
          <w:tcPr>
            <w:tcW w:w="112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76" w:lineRule="auto"/>
              <w:rPr>
                <w:rFonts w:ascii="宋体" w:hAnsi="宋体" w:eastAsia="宋体"/>
                <w:szCs w:val="21"/>
              </w:rPr>
            </w:pPr>
            <w:r>
              <w:rPr>
                <w:rFonts w:hint="eastAsia" w:ascii="宋体" w:hAnsi="宋体" w:eastAsia="宋体"/>
                <w:szCs w:val="21"/>
              </w:rPr>
              <w:t>范围基准</w:t>
            </w:r>
          </w:p>
        </w:tc>
        <w:tc>
          <w:tcPr>
            <w:tcW w:w="1985" w:type="dxa"/>
            <w:tcBorders>
              <w:top w:val="single" w:color="auto" w:sz="4" w:space="0"/>
              <w:left w:val="nil"/>
              <w:bottom w:val="single" w:color="auto" w:sz="4" w:space="0"/>
              <w:right w:val="single" w:color="auto" w:sz="4" w:space="0"/>
            </w:tcBorders>
            <w:shd w:val="clear" w:color="auto" w:fill="auto"/>
            <w:vAlign w:val="bottom"/>
          </w:tcPr>
          <w:p>
            <w:pPr>
              <w:spacing w:line="276" w:lineRule="auto"/>
              <w:rPr>
                <w:rFonts w:ascii="宋体" w:hAnsi="宋体" w:eastAsia="宋体"/>
                <w:szCs w:val="21"/>
              </w:rPr>
            </w:pPr>
            <w:r>
              <w:rPr>
                <w:rFonts w:hint="eastAsia" w:ascii="宋体" w:hAnsi="宋体" w:eastAsia="宋体"/>
                <w:szCs w:val="21"/>
              </w:rPr>
              <w:t>5.4创建WBS</w:t>
            </w:r>
          </w:p>
        </w:tc>
        <w:tc>
          <w:tcPr>
            <w:tcW w:w="1985" w:type="dxa"/>
            <w:tcBorders>
              <w:top w:val="single" w:color="auto" w:sz="4" w:space="0"/>
              <w:left w:val="nil"/>
              <w:bottom w:val="single" w:color="auto" w:sz="4" w:space="0"/>
              <w:right w:val="single" w:color="auto" w:sz="4" w:space="0"/>
            </w:tcBorders>
          </w:tcPr>
          <w:p>
            <w:pPr>
              <w:spacing w:line="276" w:lineRule="auto"/>
              <w:rPr>
                <w:rFonts w:ascii="宋体" w:hAnsi="宋体" w:eastAsia="宋体"/>
                <w:szCs w:val="21"/>
              </w:rPr>
            </w:pPr>
            <w:r>
              <w:rPr>
                <w:rFonts w:hint="eastAsia" w:ascii="宋体" w:hAnsi="宋体" w:eastAsia="宋体"/>
                <w:b/>
                <w:szCs w:val="21"/>
              </w:rPr>
              <w:t>是经过批准的范围说明书</w:t>
            </w:r>
            <w:r>
              <w:rPr>
                <w:rFonts w:hint="eastAsia" w:ascii="宋体" w:hAnsi="宋体" w:eastAsia="宋体"/>
                <w:szCs w:val="21"/>
              </w:rPr>
              <w:t>、</w:t>
            </w:r>
            <w:r>
              <w:rPr>
                <w:rFonts w:hint="eastAsia" w:ascii="宋体" w:hAnsi="宋体" w:eastAsia="宋体"/>
                <w:b/>
                <w:szCs w:val="21"/>
              </w:rPr>
              <w:t>工作分解结构</w:t>
            </w:r>
            <w:r>
              <w:rPr>
                <w:rFonts w:hint="eastAsia" w:ascii="宋体" w:hAnsi="宋体" w:eastAsia="宋体"/>
                <w:szCs w:val="21"/>
              </w:rPr>
              <w:t>和</w:t>
            </w:r>
            <w:r>
              <w:rPr>
                <w:rFonts w:hint="eastAsia" w:ascii="宋体" w:hAnsi="宋体" w:eastAsia="宋体"/>
                <w:b/>
                <w:szCs w:val="21"/>
              </w:rPr>
              <w:t>相应的</w:t>
            </w:r>
            <w:r>
              <w:rPr>
                <w:rFonts w:ascii="宋体" w:hAnsi="宋体" w:eastAsia="宋体"/>
                <w:b/>
                <w:szCs w:val="21"/>
              </w:rPr>
              <w:t>WBS词典</w:t>
            </w:r>
            <w:r>
              <w:rPr>
                <w:rFonts w:hint="eastAsia" w:ascii="宋体" w:hAnsi="宋体" w:eastAsia="宋体"/>
                <w:szCs w:val="21"/>
              </w:rPr>
              <w:t>。</w:t>
            </w:r>
            <w:r>
              <w:rPr>
                <w:rFonts w:ascii="宋体" w:hAnsi="宋体" w:eastAsia="宋体"/>
                <w:szCs w:val="21"/>
              </w:rPr>
              <w:t xml:space="preserve"> </w:t>
            </w:r>
          </w:p>
        </w:tc>
        <w:tc>
          <w:tcPr>
            <w:tcW w:w="3685" w:type="dxa"/>
            <w:tcBorders>
              <w:top w:val="single" w:color="auto" w:sz="4" w:space="0"/>
              <w:left w:val="nil"/>
              <w:bottom w:val="single" w:color="auto" w:sz="4" w:space="0"/>
              <w:right w:val="single" w:color="auto" w:sz="4" w:space="0"/>
            </w:tcBorders>
          </w:tcPr>
          <w:p>
            <w:pPr>
              <w:spacing w:line="276" w:lineRule="auto"/>
              <w:rPr>
                <w:rFonts w:ascii="宋体" w:hAnsi="宋体" w:eastAsia="宋体"/>
                <w:szCs w:val="21"/>
              </w:rPr>
            </w:pPr>
            <w:r>
              <w:rPr>
                <w:rFonts w:hint="eastAsia" w:ascii="宋体" w:hAnsi="宋体" w:eastAsia="宋体"/>
                <w:szCs w:val="21"/>
              </w:rPr>
              <w:t>只有通过正式的变更控制程序才能进行变更，它被用作比较的基础。</w:t>
            </w:r>
            <w:r>
              <w:rPr>
                <w:rFonts w:hint="eastAsia" w:ascii="宋体" w:hAnsi="宋体" w:eastAsia="宋体"/>
                <w:b/>
                <w:szCs w:val="21"/>
              </w:rPr>
              <w:t>项目范围说明书明确并详细定义了项目的可交付成果和验收标准。</w:t>
            </w:r>
          </w:p>
        </w:tc>
      </w:tr>
      <w:tr>
        <w:tblPrEx>
          <w:tblLayout w:type="fixed"/>
          <w:tblCellMar>
            <w:top w:w="0" w:type="dxa"/>
            <w:left w:w="108" w:type="dxa"/>
            <w:bottom w:w="0" w:type="dxa"/>
            <w:right w:w="108" w:type="dxa"/>
          </w:tblCellMar>
        </w:tblPrEx>
        <w:trPr>
          <w:trHeight w:val="285" w:hRule="atLeast"/>
        </w:trPr>
        <w:tc>
          <w:tcPr>
            <w:tcW w:w="1129" w:type="dxa"/>
            <w:tcBorders>
              <w:top w:val="nil"/>
              <w:left w:val="single" w:color="auto" w:sz="4" w:space="0"/>
              <w:bottom w:val="single" w:color="auto" w:sz="4" w:space="0"/>
              <w:right w:val="single" w:color="auto" w:sz="4" w:space="0"/>
            </w:tcBorders>
            <w:shd w:val="clear" w:color="auto" w:fill="auto"/>
            <w:vAlign w:val="center"/>
          </w:tcPr>
          <w:p>
            <w:pPr>
              <w:spacing w:line="276" w:lineRule="auto"/>
              <w:rPr>
                <w:rFonts w:ascii="宋体" w:hAnsi="宋体" w:eastAsia="宋体"/>
                <w:szCs w:val="21"/>
              </w:rPr>
            </w:pPr>
            <w:r>
              <w:rPr>
                <w:rFonts w:hint="eastAsia" w:ascii="宋体" w:hAnsi="宋体" w:eastAsia="宋体"/>
                <w:szCs w:val="21"/>
              </w:rPr>
              <w:t>进度基准</w:t>
            </w:r>
          </w:p>
        </w:tc>
        <w:tc>
          <w:tcPr>
            <w:tcW w:w="1985" w:type="dxa"/>
            <w:tcBorders>
              <w:top w:val="nil"/>
              <w:left w:val="nil"/>
              <w:bottom w:val="single" w:color="auto" w:sz="4" w:space="0"/>
              <w:right w:val="single" w:color="auto" w:sz="4" w:space="0"/>
            </w:tcBorders>
            <w:shd w:val="clear" w:color="auto" w:fill="auto"/>
            <w:vAlign w:val="bottom"/>
          </w:tcPr>
          <w:p>
            <w:pPr>
              <w:spacing w:line="276" w:lineRule="auto"/>
              <w:rPr>
                <w:rFonts w:ascii="宋体" w:hAnsi="宋体" w:eastAsia="宋体"/>
                <w:szCs w:val="21"/>
              </w:rPr>
            </w:pPr>
            <w:r>
              <w:rPr>
                <w:rFonts w:hint="eastAsia" w:ascii="宋体" w:hAnsi="宋体" w:eastAsia="宋体"/>
                <w:szCs w:val="21"/>
              </w:rPr>
              <w:t>6.6制定进度计划</w:t>
            </w:r>
          </w:p>
        </w:tc>
        <w:tc>
          <w:tcPr>
            <w:tcW w:w="1985" w:type="dxa"/>
            <w:tcBorders>
              <w:top w:val="nil"/>
              <w:left w:val="nil"/>
              <w:bottom w:val="single" w:color="auto" w:sz="4" w:space="0"/>
              <w:right w:val="single" w:color="auto" w:sz="4" w:space="0"/>
            </w:tcBorders>
          </w:tcPr>
          <w:p>
            <w:pPr>
              <w:spacing w:line="276" w:lineRule="auto"/>
              <w:rPr>
                <w:rFonts w:ascii="宋体" w:hAnsi="宋体" w:eastAsia="宋体"/>
                <w:szCs w:val="21"/>
              </w:rPr>
            </w:pPr>
          </w:p>
        </w:tc>
        <w:tc>
          <w:tcPr>
            <w:tcW w:w="3685" w:type="dxa"/>
            <w:tcBorders>
              <w:top w:val="nil"/>
              <w:left w:val="nil"/>
              <w:bottom w:val="single" w:color="auto" w:sz="4" w:space="0"/>
              <w:right w:val="single" w:color="auto" w:sz="4" w:space="0"/>
            </w:tcBorders>
          </w:tcPr>
          <w:p>
            <w:pPr>
              <w:spacing w:line="276" w:lineRule="auto"/>
              <w:rPr>
                <w:rFonts w:ascii="宋体" w:hAnsi="宋体" w:eastAsia="宋体"/>
                <w:szCs w:val="21"/>
              </w:rPr>
            </w:pPr>
          </w:p>
        </w:tc>
      </w:tr>
      <w:tr>
        <w:tblPrEx>
          <w:tblLayout w:type="fixed"/>
          <w:tblCellMar>
            <w:top w:w="0" w:type="dxa"/>
            <w:left w:w="108" w:type="dxa"/>
            <w:bottom w:w="0" w:type="dxa"/>
            <w:right w:w="108" w:type="dxa"/>
          </w:tblCellMar>
        </w:tblPrEx>
        <w:trPr>
          <w:trHeight w:val="285" w:hRule="atLeast"/>
        </w:trPr>
        <w:tc>
          <w:tcPr>
            <w:tcW w:w="1129" w:type="dxa"/>
            <w:tcBorders>
              <w:top w:val="nil"/>
              <w:left w:val="single" w:color="auto" w:sz="4" w:space="0"/>
              <w:bottom w:val="single" w:color="auto" w:sz="4" w:space="0"/>
              <w:right w:val="single" w:color="auto" w:sz="4" w:space="0"/>
            </w:tcBorders>
            <w:shd w:val="clear" w:color="auto" w:fill="auto"/>
            <w:vAlign w:val="center"/>
          </w:tcPr>
          <w:p>
            <w:pPr>
              <w:spacing w:line="276" w:lineRule="auto"/>
              <w:rPr>
                <w:rFonts w:ascii="宋体" w:hAnsi="宋体" w:eastAsia="宋体"/>
                <w:szCs w:val="21"/>
              </w:rPr>
            </w:pPr>
            <w:r>
              <w:rPr>
                <w:rFonts w:hint="eastAsia" w:ascii="宋体" w:hAnsi="宋体" w:eastAsia="宋体"/>
                <w:szCs w:val="21"/>
              </w:rPr>
              <w:t>成本基准</w:t>
            </w:r>
          </w:p>
        </w:tc>
        <w:tc>
          <w:tcPr>
            <w:tcW w:w="1985" w:type="dxa"/>
            <w:tcBorders>
              <w:top w:val="nil"/>
              <w:left w:val="nil"/>
              <w:bottom w:val="single" w:color="auto" w:sz="4" w:space="0"/>
              <w:right w:val="single" w:color="auto" w:sz="4" w:space="0"/>
            </w:tcBorders>
            <w:shd w:val="clear" w:color="auto" w:fill="auto"/>
            <w:vAlign w:val="bottom"/>
          </w:tcPr>
          <w:p>
            <w:pPr>
              <w:spacing w:line="276" w:lineRule="auto"/>
              <w:rPr>
                <w:rFonts w:ascii="宋体" w:hAnsi="宋体" w:eastAsia="宋体"/>
                <w:szCs w:val="21"/>
              </w:rPr>
            </w:pPr>
            <w:r>
              <w:rPr>
                <w:rFonts w:hint="eastAsia" w:ascii="宋体" w:hAnsi="宋体" w:eastAsia="宋体"/>
                <w:szCs w:val="21"/>
              </w:rPr>
              <w:t>7.3制定预算</w:t>
            </w:r>
          </w:p>
        </w:tc>
        <w:tc>
          <w:tcPr>
            <w:tcW w:w="1985" w:type="dxa"/>
            <w:tcBorders>
              <w:top w:val="nil"/>
              <w:left w:val="nil"/>
              <w:bottom w:val="single" w:color="auto" w:sz="4" w:space="0"/>
              <w:right w:val="single" w:color="auto" w:sz="4" w:space="0"/>
            </w:tcBorders>
          </w:tcPr>
          <w:p>
            <w:pPr>
              <w:spacing w:line="276" w:lineRule="auto"/>
              <w:rPr>
                <w:rFonts w:ascii="宋体" w:hAnsi="宋体" w:eastAsia="宋体"/>
                <w:szCs w:val="21"/>
              </w:rPr>
            </w:pPr>
          </w:p>
        </w:tc>
        <w:tc>
          <w:tcPr>
            <w:tcW w:w="3685" w:type="dxa"/>
            <w:tcBorders>
              <w:top w:val="nil"/>
              <w:left w:val="nil"/>
              <w:bottom w:val="single" w:color="auto" w:sz="4" w:space="0"/>
              <w:right w:val="single" w:color="auto" w:sz="4" w:space="0"/>
            </w:tcBorders>
          </w:tcPr>
          <w:p>
            <w:pPr>
              <w:spacing w:line="276" w:lineRule="auto"/>
              <w:rPr>
                <w:rFonts w:ascii="宋体" w:hAnsi="宋体" w:eastAsia="宋体"/>
                <w:szCs w:val="21"/>
              </w:rPr>
            </w:pPr>
          </w:p>
        </w:tc>
      </w:tr>
    </w:tbl>
    <w:p>
      <w:pPr>
        <w:pStyle w:val="5"/>
        <w:numPr>
          <w:ilvl w:val="0"/>
          <w:numId w:val="1"/>
        </w:numPr>
        <w:jc w:val="left"/>
      </w:pPr>
      <w:r>
        <w:rPr>
          <w:rFonts w:hint="eastAsia"/>
        </w:rPr>
        <w:t>人员配置管理计划与人力资源管理计划的区别。</w:t>
      </w:r>
    </w:p>
    <w:p>
      <w:pPr>
        <w:spacing w:line="360" w:lineRule="auto"/>
        <w:ind w:firstLine="422" w:firstLineChars="175"/>
        <w:rPr>
          <w:rFonts w:ascii="宋体" w:hAnsi="宋体" w:eastAsia="宋体"/>
          <w:sz w:val="24"/>
          <w:szCs w:val="24"/>
        </w:rPr>
      </w:pPr>
      <w:r>
        <w:rPr>
          <w:rFonts w:hint="eastAsia" w:ascii="宋体" w:hAnsi="宋体" w:eastAsia="宋体"/>
          <w:b/>
          <w:sz w:val="24"/>
          <w:szCs w:val="24"/>
        </w:rPr>
        <w:t>人员配备管理计划</w:t>
      </w:r>
      <w:r>
        <w:rPr>
          <w:rFonts w:hint="eastAsia" w:ascii="宋体" w:hAnsi="宋体" w:eastAsia="宋体"/>
          <w:sz w:val="24"/>
          <w:szCs w:val="24"/>
        </w:rPr>
        <w:t>（包括人员招募、资源日历、人员遣散计划、培训需要、认可与奖励、合规性、安全）</w:t>
      </w:r>
      <w:r>
        <w:rPr>
          <w:rFonts w:hint="eastAsia" w:ascii="宋体" w:hAnsi="宋体" w:eastAsia="宋体"/>
          <w:b/>
          <w:sz w:val="24"/>
          <w:szCs w:val="24"/>
        </w:rPr>
        <w:t>是人力资源管理计划的内容之一</w:t>
      </w:r>
      <w:r>
        <w:rPr>
          <w:rFonts w:hint="eastAsia" w:ascii="宋体" w:hAnsi="宋体" w:eastAsia="宋体"/>
          <w:sz w:val="24"/>
          <w:szCs w:val="24"/>
        </w:rPr>
        <w:t>。后者才提供关于如何定义、配备、管理及最终遣散项目人力资源的指南。至少包括：角色和职责（角色、职权、职责、能力）；项目组织图；人员配备管理计划。</w:t>
      </w:r>
    </w:p>
    <w:p>
      <w:pPr>
        <w:pStyle w:val="5"/>
        <w:numPr>
          <w:ilvl w:val="0"/>
          <w:numId w:val="1"/>
        </w:numPr>
        <w:jc w:val="left"/>
      </w:pPr>
      <w:r>
        <w:rPr>
          <w:rFonts w:hint="eastAsia"/>
        </w:rPr>
        <w:t>挣值管理名词释义</w:t>
      </w:r>
    </w:p>
    <w:tbl>
      <w:tblPr>
        <w:tblStyle w:val="8"/>
        <w:tblW w:w="97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5"/>
        <w:gridCol w:w="3245"/>
        <w:gridCol w:w="3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5" w:type="dxa"/>
          </w:tcPr>
          <w:p>
            <w:pPr>
              <w:jc w:val="center"/>
              <w:rPr>
                <w:b/>
              </w:rPr>
            </w:pPr>
            <w:r>
              <w:rPr>
                <w:rFonts w:hint="eastAsia"/>
                <w:b/>
              </w:rPr>
              <w:t>名称</w:t>
            </w:r>
          </w:p>
        </w:tc>
        <w:tc>
          <w:tcPr>
            <w:tcW w:w="3245" w:type="dxa"/>
          </w:tcPr>
          <w:p>
            <w:pPr>
              <w:jc w:val="center"/>
              <w:rPr>
                <w:b/>
              </w:rPr>
            </w:pPr>
            <w:r>
              <w:rPr>
                <w:rFonts w:hint="eastAsia"/>
                <w:b/>
              </w:rPr>
              <w:t>含义</w:t>
            </w:r>
          </w:p>
        </w:tc>
        <w:tc>
          <w:tcPr>
            <w:tcW w:w="3246" w:type="dxa"/>
          </w:tcPr>
          <w:p>
            <w:pPr>
              <w:jc w:val="center"/>
              <w:rPr>
                <w:b/>
              </w:rPr>
            </w:pPr>
            <w:r>
              <w:rPr>
                <w:rFonts w:hint="eastAsia"/>
                <w:b/>
              </w:rPr>
              <w:t>计算方式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5" w:type="dxa"/>
          </w:tcPr>
          <w:p>
            <w:r>
              <w:rPr>
                <w:rFonts w:hint="eastAsia"/>
              </w:rPr>
              <w:t>EV挣值</w:t>
            </w:r>
          </w:p>
        </w:tc>
        <w:tc>
          <w:tcPr>
            <w:tcW w:w="3245" w:type="dxa"/>
          </w:tcPr>
          <w:p>
            <w:r>
              <w:rPr>
                <w:rFonts w:hint="eastAsia"/>
              </w:rPr>
              <w:t>实际完成工作量×计划单价</w:t>
            </w:r>
          </w:p>
        </w:tc>
        <w:tc>
          <w:tcPr>
            <w:tcW w:w="32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5" w:type="dxa"/>
          </w:tcPr>
          <w:p>
            <w:r>
              <w:rPr>
                <w:rFonts w:hint="eastAsia"/>
              </w:rPr>
              <w:t>PV计划价值</w:t>
            </w:r>
          </w:p>
        </w:tc>
        <w:tc>
          <w:tcPr>
            <w:tcW w:w="3245" w:type="dxa"/>
          </w:tcPr>
          <w:p>
            <w:r>
              <w:rPr>
                <w:rFonts w:hint="eastAsia"/>
              </w:rPr>
              <w:t>计划完成工作量×计划单价</w:t>
            </w:r>
          </w:p>
        </w:tc>
        <w:tc>
          <w:tcPr>
            <w:tcW w:w="32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5" w:type="dxa"/>
          </w:tcPr>
          <w:p>
            <w:r>
              <w:rPr>
                <w:rFonts w:hint="eastAsia"/>
              </w:rPr>
              <w:t>AC实际成本</w:t>
            </w:r>
          </w:p>
        </w:tc>
        <w:tc>
          <w:tcPr>
            <w:tcW w:w="3245" w:type="dxa"/>
          </w:tcPr>
          <w:p>
            <w:r>
              <w:rPr>
                <w:rFonts w:hint="eastAsia"/>
              </w:rPr>
              <w:t>实际完成工作量×实际单价</w:t>
            </w:r>
          </w:p>
        </w:tc>
        <w:tc>
          <w:tcPr>
            <w:tcW w:w="32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5" w:type="dxa"/>
          </w:tcPr>
          <w:p>
            <w:r>
              <w:rPr>
                <w:rFonts w:hint="eastAsia"/>
              </w:rPr>
              <w:t>BAC完工预算</w:t>
            </w:r>
          </w:p>
        </w:tc>
        <w:tc>
          <w:tcPr>
            <w:tcW w:w="3245" w:type="dxa"/>
          </w:tcPr>
          <w:p>
            <w:r>
              <w:rPr>
                <w:rFonts w:hint="eastAsia"/>
              </w:rPr>
              <w:t>整个项目成本基准</w:t>
            </w:r>
          </w:p>
        </w:tc>
        <w:tc>
          <w:tcPr>
            <w:tcW w:w="3246" w:type="dxa"/>
          </w:tcPr>
          <w:p/>
        </w:tc>
      </w:tr>
    </w:tbl>
    <w:p/>
    <w:p>
      <w:pPr>
        <w:pStyle w:val="5"/>
        <w:numPr>
          <w:ilvl w:val="0"/>
          <w:numId w:val="1"/>
        </w:numPr>
        <w:jc w:val="left"/>
      </w:pPr>
      <w:r>
        <w:rPr>
          <w:rFonts w:hint="eastAsia"/>
        </w:rPr>
        <w:t>挣值计算汇总表</w:t>
      </w:r>
    </w:p>
    <w:p>
      <w:pPr>
        <w:spacing w:line="360" w:lineRule="auto"/>
        <w:rPr>
          <w:rFonts w:ascii="宋体" w:hAnsi="宋体" w:eastAsia="宋体"/>
          <w:sz w:val="24"/>
          <w:szCs w:val="24"/>
        </w:rPr>
      </w:pPr>
      <w:r>
        <w:drawing>
          <wp:inline distT="0" distB="0" distL="0" distR="0">
            <wp:extent cx="6210300" cy="78511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rcRect l="13544" t="9008" r="10607" b="16252"/>
                    <a:stretch>
                      <a:fillRect/>
                    </a:stretch>
                  </pic:blipFill>
                  <pic:spPr>
                    <a:xfrm>
                      <a:off x="0" y="0"/>
                      <a:ext cx="6213543" cy="7855693"/>
                    </a:xfrm>
                    <a:prstGeom prst="rect">
                      <a:avLst/>
                    </a:prstGeom>
                    <a:ln>
                      <a:noFill/>
                    </a:ln>
                  </pic:spPr>
                </pic:pic>
              </a:graphicData>
            </a:graphic>
          </wp:inline>
        </w:drawing>
      </w:r>
    </w:p>
    <w:sectPr>
      <w:headerReference r:id="rId3" w:type="default"/>
      <w:footerReference r:id="rId4" w:type="default"/>
      <w:pgSz w:w="11906" w:h="16838"/>
      <w:pgMar w:top="1440" w:right="1080" w:bottom="1440" w:left="108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swiss"/>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rFonts w:hint="eastAsia"/>
        <w:bCs/>
      </w:rPr>
      <w:t>第</w:t>
    </w:r>
    <w:r>
      <w:rPr>
        <w:bCs/>
      </w:rPr>
      <w:fldChar w:fldCharType="begin"/>
    </w:r>
    <w:r>
      <w:rPr>
        <w:bCs/>
      </w:rPr>
      <w:instrText xml:space="preserve">PAGE  \* Arabic  \* MERGEFORMAT</w:instrText>
    </w:r>
    <w:r>
      <w:rPr>
        <w:bCs/>
      </w:rPr>
      <w:fldChar w:fldCharType="separate"/>
    </w:r>
    <w:r>
      <w:rPr>
        <w:bCs/>
        <w:lang w:val="zh-CN"/>
      </w:rPr>
      <w:t>5</w:t>
    </w:r>
    <w:r>
      <w:rPr>
        <w:bCs/>
      </w:rPr>
      <w:fldChar w:fldCharType="end"/>
    </w:r>
    <w:r>
      <w:rPr>
        <w:rFonts w:hint="eastAsia"/>
        <w:bCs/>
      </w:rPr>
      <w:t>页</w:t>
    </w:r>
    <w:r>
      <w:rPr>
        <w:lang w:val="zh-CN"/>
      </w:rPr>
      <w:t xml:space="preserve"> </w:t>
    </w:r>
    <w:r>
      <w:rPr>
        <w:bCs/>
      </w:rPr>
      <w:t>/</w:t>
    </w:r>
    <w:r>
      <w:rPr>
        <w:rFonts w:hint="eastAsia"/>
        <w:bCs/>
      </w:rPr>
      <w:t>共</w:t>
    </w:r>
    <w:r>
      <w:rPr>
        <w:lang w:val="zh-CN"/>
      </w:rPr>
      <w:t xml:space="preserve"> </w:t>
    </w:r>
    <w:r>
      <w:rPr>
        <w:bCs/>
      </w:rPr>
      <w:fldChar w:fldCharType="begin"/>
    </w:r>
    <w:r>
      <w:rPr>
        <w:bCs/>
      </w:rPr>
      <w:instrText xml:space="preserve">NUMPAGES  \* Arabic  \* MERGEFORMAT</w:instrText>
    </w:r>
    <w:r>
      <w:rPr>
        <w:bCs/>
      </w:rPr>
      <w:fldChar w:fldCharType="separate"/>
    </w:r>
    <w:r>
      <w:rPr>
        <w:bCs/>
        <w:lang w:val="zh-CN"/>
      </w:rPr>
      <w:t>14</w:t>
    </w:r>
    <w:r>
      <w:rPr>
        <w:bCs/>
      </w:rPr>
      <w:fldChar w:fldCharType="end"/>
    </w:r>
    <w:r>
      <w:rPr>
        <w:rFonts w:hint="eastAsia"/>
        <w:bCs/>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b/>
        <w:bCs/>
      </w:rPr>
      <w:t>PMBOK第五版-易混淆知识点总结</w:t>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32B6D"/>
    <w:multiLevelType w:val="multilevel"/>
    <w:tmpl w:val="05832B6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1FA6511"/>
    <w:multiLevelType w:val="multilevel"/>
    <w:tmpl w:val="71FA651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76E876B3"/>
    <w:multiLevelType w:val="multilevel"/>
    <w:tmpl w:val="76E876B3"/>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F75"/>
    <w:rsid w:val="00036AD5"/>
    <w:rsid w:val="00036DE8"/>
    <w:rsid w:val="00050272"/>
    <w:rsid w:val="00056325"/>
    <w:rsid w:val="000616D5"/>
    <w:rsid w:val="00063B07"/>
    <w:rsid w:val="000704E8"/>
    <w:rsid w:val="00072DFE"/>
    <w:rsid w:val="00082B81"/>
    <w:rsid w:val="00085B7E"/>
    <w:rsid w:val="00093D7D"/>
    <w:rsid w:val="000A01AC"/>
    <w:rsid w:val="000A225B"/>
    <w:rsid w:val="000B003A"/>
    <w:rsid w:val="000C443F"/>
    <w:rsid w:val="000D07B2"/>
    <w:rsid w:val="000E16E5"/>
    <w:rsid w:val="000E61A2"/>
    <w:rsid w:val="000F0088"/>
    <w:rsid w:val="0013037D"/>
    <w:rsid w:val="00130891"/>
    <w:rsid w:val="0014115A"/>
    <w:rsid w:val="001520D0"/>
    <w:rsid w:val="001620A8"/>
    <w:rsid w:val="00164BAA"/>
    <w:rsid w:val="001702C8"/>
    <w:rsid w:val="00175B76"/>
    <w:rsid w:val="0017792B"/>
    <w:rsid w:val="001A40C7"/>
    <w:rsid w:val="001B3486"/>
    <w:rsid w:val="001C159D"/>
    <w:rsid w:val="001C6DFA"/>
    <w:rsid w:val="001D4686"/>
    <w:rsid w:val="00202CB7"/>
    <w:rsid w:val="00203791"/>
    <w:rsid w:val="00213977"/>
    <w:rsid w:val="00230710"/>
    <w:rsid w:val="002476E9"/>
    <w:rsid w:val="002526B4"/>
    <w:rsid w:val="00252C2A"/>
    <w:rsid w:val="00281F75"/>
    <w:rsid w:val="00282342"/>
    <w:rsid w:val="00287468"/>
    <w:rsid w:val="002B4BCC"/>
    <w:rsid w:val="002B59A0"/>
    <w:rsid w:val="002C1AA1"/>
    <w:rsid w:val="002C453C"/>
    <w:rsid w:val="002D2668"/>
    <w:rsid w:val="00310E04"/>
    <w:rsid w:val="00334ABE"/>
    <w:rsid w:val="00364685"/>
    <w:rsid w:val="00386AAD"/>
    <w:rsid w:val="003A4D23"/>
    <w:rsid w:val="003C0439"/>
    <w:rsid w:val="003C0B14"/>
    <w:rsid w:val="00400B43"/>
    <w:rsid w:val="0040759C"/>
    <w:rsid w:val="00424C5B"/>
    <w:rsid w:val="00446410"/>
    <w:rsid w:val="004602F3"/>
    <w:rsid w:val="00464D08"/>
    <w:rsid w:val="00482B55"/>
    <w:rsid w:val="004B357F"/>
    <w:rsid w:val="004D52F8"/>
    <w:rsid w:val="004E36EB"/>
    <w:rsid w:val="005142AF"/>
    <w:rsid w:val="00516231"/>
    <w:rsid w:val="005417B7"/>
    <w:rsid w:val="00541CC7"/>
    <w:rsid w:val="00577045"/>
    <w:rsid w:val="0058098E"/>
    <w:rsid w:val="0058525E"/>
    <w:rsid w:val="00587F10"/>
    <w:rsid w:val="0059115E"/>
    <w:rsid w:val="005950FB"/>
    <w:rsid w:val="005A3E9B"/>
    <w:rsid w:val="005A6406"/>
    <w:rsid w:val="005B13A1"/>
    <w:rsid w:val="005E25BB"/>
    <w:rsid w:val="005E69A8"/>
    <w:rsid w:val="005E7731"/>
    <w:rsid w:val="005F70FF"/>
    <w:rsid w:val="005F7153"/>
    <w:rsid w:val="00600DBD"/>
    <w:rsid w:val="0061077C"/>
    <w:rsid w:val="0063333A"/>
    <w:rsid w:val="00634C8D"/>
    <w:rsid w:val="00635437"/>
    <w:rsid w:val="00642549"/>
    <w:rsid w:val="00660089"/>
    <w:rsid w:val="00692654"/>
    <w:rsid w:val="00696CD4"/>
    <w:rsid w:val="0069724A"/>
    <w:rsid w:val="006A057D"/>
    <w:rsid w:val="006A35FE"/>
    <w:rsid w:val="006A62EB"/>
    <w:rsid w:val="006A70A8"/>
    <w:rsid w:val="006C1114"/>
    <w:rsid w:val="006C3254"/>
    <w:rsid w:val="006D49F7"/>
    <w:rsid w:val="006D4C1B"/>
    <w:rsid w:val="006F1100"/>
    <w:rsid w:val="00701F35"/>
    <w:rsid w:val="007143C3"/>
    <w:rsid w:val="00721B1D"/>
    <w:rsid w:val="0072601B"/>
    <w:rsid w:val="00726620"/>
    <w:rsid w:val="00743D84"/>
    <w:rsid w:val="00757EDD"/>
    <w:rsid w:val="007749EF"/>
    <w:rsid w:val="00784D84"/>
    <w:rsid w:val="007A50B5"/>
    <w:rsid w:val="007A7489"/>
    <w:rsid w:val="007B1B52"/>
    <w:rsid w:val="007D6C95"/>
    <w:rsid w:val="007D7E60"/>
    <w:rsid w:val="007E478E"/>
    <w:rsid w:val="007E4792"/>
    <w:rsid w:val="007E5C0F"/>
    <w:rsid w:val="007F0476"/>
    <w:rsid w:val="007F077F"/>
    <w:rsid w:val="0081008E"/>
    <w:rsid w:val="008124C9"/>
    <w:rsid w:val="00815692"/>
    <w:rsid w:val="008231AD"/>
    <w:rsid w:val="0085438F"/>
    <w:rsid w:val="0087461D"/>
    <w:rsid w:val="00880A87"/>
    <w:rsid w:val="00883A8B"/>
    <w:rsid w:val="008845D6"/>
    <w:rsid w:val="00884E97"/>
    <w:rsid w:val="008953DB"/>
    <w:rsid w:val="008A25CA"/>
    <w:rsid w:val="008A5543"/>
    <w:rsid w:val="008A7EB8"/>
    <w:rsid w:val="008C15BF"/>
    <w:rsid w:val="008C44FB"/>
    <w:rsid w:val="008D4142"/>
    <w:rsid w:val="008D68C6"/>
    <w:rsid w:val="008E6734"/>
    <w:rsid w:val="008F2174"/>
    <w:rsid w:val="008F3F5E"/>
    <w:rsid w:val="009017E8"/>
    <w:rsid w:val="00922703"/>
    <w:rsid w:val="00922AFA"/>
    <w:rsid w:val="009236D9"/>
    <w:rsid w:val="00933492"/>
    <w:rsid w:val="0094165B"/>
    <w:rsid w:val="00953C2C"/>
    <w:rsid w:val="00965F94"/>
    <w:rsid w:val="009A0A09"/>
    <w:rsid w:val="009A54A9"/>
    <w:rsid w:val="009C50E1"/>
    <w:rsid w:val="009D5EEC"/>
    <w:rsid w:val="009E44E5"/>
    <w:rsid w:val="009F1AEF"/>
    <w:rsid w:val="009F5EC4"/>
    <w:rsid w:val="00A04845"/>
    <w:rsid w:val="00A05CA6"/>
    <w:rsid w:val="00A06DC2"/>
    <w:rsid w:val="00A2725D"/>
    <w:rsid w:val="00A41014"/>
    <w:rsid w:val="00A470CC"/>
    <w:rsid w:val="00A50C6F"/>
    <w:rsid w:val="00A858EF"/>
    <w:rsid w:val="00A85D1D"/>
    <w:rsid w:val="00A85EB4"/>
    <w:rsid w:val="00AA0247"/>
    <w:rsid w:val="00AA5812"/>
    <w:rsid w:val="00AC0191"/>
    <w:rsid w:val="00AC21BC"/>
    <w:rsid w:val="00AC23EA"/>
    <w:rsid w:val="00AF17C4"/>
    <w:rsid w:val="00B1570F"/>
    <w:rsid w:val="00B219F9"/>
    <w:rsid w:val="00B222D2"/>
    <w:rsid w:val="00B2399E"/>
    <w:rsid w:val="00B26389"/>
    <w:rsid w:val="00B33F38"/>
    <w:rsid w:val="00B60947"/>
    <w:rsid w:val="00B74BB5"/>
    <w:rsid w:val="00B84B85"/>
    <w:rsid w:val="00B8528A"/>
    <w:rsid w:val="00B87491"/>
    <w:rsid w:val="00BA17E5"/>
    <w:rsid w:val="00BA392E"/>
    <w:rsid w:val="00BA4AA6"/>
    <w:rsid w:val="00BA4FE1"/>
    <w:rsid w:val="00BC6AFB"/>
    <w:rsid w:val="00BD2E61"/>
    <w:rsid w:val="00BF2273"/>
    <w:rsid w:val="00C134E7"/>
    <w:rsid w:val="00C21BDA"/>
    <w:rsid w:val="00C23738"/>
    <w:rsid w:val="00C3010B"/>
    <w:rsid w:val="00C31E59"/>
    <w:rsid w:val="00C362C1"/>
    <w:rsid w:val="00C36B55"/>
    <w:rsid w:val="00C5487C"/>
    <w:rsid w:val="00C577F5"/>
    <w:rsid w:val="00C57A49"/>
    <w:rsid w:val="00C66277"/>
    <w:rsid w:val="00C76E9E"/>
    <w:rsid w:val="00C971C4"/>
    <w:rsid w:val="00CA0527"/>
    <w:rsid w:val="00CA3CE6"/>
    <w:rsid w:val="00CE5909"/>
    <w:rsid w:val="00CF3447"/>
    <w:rsid w:val="00D2364D"/>
    <w:rsid w:val="00D36B0E"/>
    <w:rsid w:val="00D5535A"/>
    <w:rsid w:val="00D55888"/>
    <w:rsid w:val="00D640BE"/>
    <w:rsid w:val="00D6731E"/>
    <w:rsid w:val="00D92350"/>
    <w:rsid w:val="00DD5756"/>
    <w:rsid w:val="00E034EA"/>
    <w:rsid w:val="00E1340E"/>
    <w:rsid w:val="00E17981"/>
    <w:rsid w:val="00E439DE"/>
    <w:rsid w:val="00E61F5F"/>
    <w:rsid w:val="00E629F1"/>
    <w:rsid w:val="00E636EF"/>
    <w:rsid w:val="00E7491A"/>
    <w:rsid w:val="00E82F6E"/>
    <w:rsid w:val="00E96E8F"/>
    <w:rsid w:val="00EB04D7"/>
    <w:rsid w:val="00EB24A9"/>
    <w:rsid w:val="00EE0EEB"/>
    <w:rsid w:val="00EE2EB1"/>
    <w:rsid w:val="00EF38C8"/>
    <w:rsid w:val="00EF5C0F"/>
    <w:rsid w:val="00EF6278"/>
    <w:rsid w:val="00F0190E"/>
    <w:rsid w:val="00F07C76"/>
    <w:rsid w:val="00F3153B"/>
    <w:rsid w:val="00F439CA"/>
    <w:rsid w:val="00F46327"/>
    <w:rsid w:val="00F53336"/>
    <w:rsid w:val="00F547BD"/>
    <w:rsid w:val="00F54D08"/>
    <w:rsid w:val="00F722A3"/>
    <w:rsid w:val="00F750EE"/>
    <w:rsid w:val="00F81EDC"/>
    <w:rsid w:val="00F82BC8"/>
    <w:rsid w:val="00F82F5F"/>
    <w:rsid w:val="00F850B3"/>
    <w:rsid w:val="00F8689F"/>
    <w:rsid w:val="00F94135"/>
    <w:rsid w:val="00FA1DB9"/>
    <w:rsid w:val="00FC3073"/>
    <w:rsid w:val="00FE2620"/>
    <w:rsid w:val="471E0B69"/>
    <w:rsid w:val="604F0458"/>
    <w:rsid w:val="70D016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spacing w:before="0" w:beforeAutospacing="1" w:after="0" w:afterAutospacing="1"/>
      <w:ind w:left="0" w:right="0"/>
      <w:jc w:val="left"/>
    </w:pPr>
    <w:rPr>
      <w:kern w:val="0"/>
      <w:sz w:val="24"/>
      <w:lang w:val="en-US" w:eastAsia="zh-CN" w:bidi="ar"/>
    </w:rPr>
  </w:style>
  <w:style w:type="paragraph" w:styleId="5">
    <w:name w:val="Title"/>
    <w:basedOn w:val="1"/>
    <w:next w:val="1"/>
    <w:link w:val="12"/>
    <w:qFormat/>
    <w:uiPriority w:val="10"/>
    <w:pPr>
      <w:spacing w:before="240" w:after="60"/>
      <w:jc w:val="center"/>
      <w:outlineLvl w:val="0"/>
    </w:pPr>
    <w:rPr>
      <w:rFonts w:asciiTheme="majorHAnsi" w:hAnsiTheme="majorHAnsi" w:eastAsiaTheme="majorEastAsia" w:cstheme="majorBidi"/>
      <w:b/>
      <w:bCs/>
      <w:sz w:val="32"/>
      <w:szCs w:val="32"/>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页眉 字符"/>
    <w:basedOn w:val="6"/>
    <w:link w:val="3"/>
    <w:uiPriority w:val="99"/>
    <w:rPr>
      <w:sz w:val="18"/>
      <w:szCs w:val="18"/>
    </w:rPr>
  </w:style>
  <w:style w:type="character" w:customStyle="1" w:styleId="10">
    <w:name w:val="页脚 字符"/>
    <w:basedOn w:val="6"/>
    <w:link w:val="2"/>
    <w:qFormat/>
    <w:uiPriority w:val="99"/>
    <w:rPr>
      <w:sz w:val="18"/>
      <w:szCs w:val="18"/>
    </w:rPr>
  </w:style>
  <w:style w:type="paragraph" w:styleId="11">
    <w:name w:val="List Paragraph"/>
    <w:basedOn w:val="1"/>
    <w:qFormat/>
    <w:uiPriority w:val="34"/>
    <w:pPr>
      <w:ind w:firstLine="420" w:firstLineChars="200"/>
    </w:pPr>
  </w:style>
  <w:style w:type="character" w:customStyle="1" w:styleId="12">
    <w:name w:val="标题 字符"/>
    <w:basedOn w:val="6"/>
    <w:link w:val="5"/>
    <w:qFormat/>
    <w:uiPriority w:val="10"/>
    <w:rPr>
      <w:rFonts w:asciiTheme="majorHAnsi" w:hAnsiTheme="majorHAnsi" w:eastAsiaTheme="majorEastAsia" w:cstheme="majorBidi"/>
      <w:b/>
      <w:bCs/>
      <w:sz w:val="32"/>
      <w:szCs w:val="32"/>
    </w:rPr>
  </w:style>
  <w:style w:type="character" w:customStyle="1" w:styleId="13">
    <w:name w:val="font11"/>
    <w:basedOn w:val="6"/>
    <w:uiPriority w:val="0"/>
    <w:rPr>
      <w:rFonts w:hint="eastAsia" w:ascii="宋体" w:hAnsi="宋体" w:eastAsia="宋体" w:cs="宋体"/>
      <w:color w:val="000000"/>
      <w:sz w:val="22"/>
      <w:szCs w:val="22"/>
      <w:u w:val="none"/>
    </w:rPr>
  </w:style>
  <w:style w:type="character" w:customStyle="1" w:styleId="14">
    <w:name w:val="font01"/>
    <w:basedOn w:val="6"/>
    <w:uiPriority w:val="0"/>
    <w:rPr>
      <w:rFonts w:hint="eastAsia" w:ascii="宋体" w:hAnsi="宋体" w:eastAsia="宋体" w:cs="宋体"/>
      <w:b/>
      <w:color w:val="FF0000"/>
      <w:sz w:val="22"/>
      <w:szCs w:val="22"/>
      <w:u w:val="non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2F20D9-2229-4DA3-AA88-98907CFEE299}">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1505</Words>
  <Characters>8579</Characters>
  <Lines>71</Lines>
  <Paragraphs>20</Paragraphs>
  <ScaleCrop>false</ScaleCrop>
  <LinksUpToDate>false</LinksUpToDate>
  <CharactersWithSpaces>10064</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2016-08-05T13:57:00Z</dcterms:created>
  <dc:creator>岳富聪</dc:creator>
  <cp:lastModifiedBy>安仔</cp:lastModifiedBy>
  <dcterms:modified xsi:type="dcterms:W3CDTF">2017-11-07T12:26:29Z</dcterms:modified>
  <cp:revision>298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