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200"/>
        <w:jc w:val="center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44"/>
          <w:szCs w:val="44"/>
        </w:rPr>
        <w:t>云盘检查阶段性优化总结</w:t>
      </w:r>
    </w:p>
    <w:p>
      <w:pPr>
        <w:spacing w:after="400"/>
        <w:jc w:val="center"/>
        <w:rPr/>
      </w:pPr>
      <w:r>
        <w:rPr>
          <w:rFonts w:hint="eastAsia" w:ascii="微软雅黑" w:hAnsi="微软雅黑" w:eastAsia="微软雅黑" w:cs="微软雅黑"/>
          <w:i/>
          <w:iCs/>
          <w:color w:val="595959"/>
          <w:sz w:val="22"/>
          <w:szCs w:val="22"/>
        </w:rPr>
        <w:t>—— 服务器升级 · PSD 反馈闭环 · 规则迭代 ——</w:t>
      </w:r>
    </w:p>
    <w:p>
      <w:pPr>
        <w:pStyle w:val="000003"/>
        <w:spacing w:before="300" w:after="20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32"/>
          <w:szCs w:val="32"/>
        </w:rPr>
        <w:t>一、基础设施升级：测试服务器上线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  <w:b/>
          <w:bCs/>
        </w:rPr>
        <w:t>硬件升级：</w:t>
      </w:r>
      <w:r>
        <w:rPr>
          <w:rFonts w:hint="eastAsia" w:ascii="微软雅黑" w:hAnsi="微软雅黑" w:eastAsia="微软雅黑" w:cs="微软雅黑"/>
        </w:rPr>
        <w:t>切换到配置更高的测试服务器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  <w:b/>
          <w:bCs/>
        </w:rPr>
        <w:t>效率提升：</w:t>
      </w:r>
      <w:r>
        <w:rPr>
          <w:rFonts w:hint="eastAsia" w:ascii="微软雅黑" w:hAnsi="微软雅黑" w:eastAsia="微软雅黑" w:cs="微软雅黑"/>
        </w:rPr>
        <w:t xml:space="preserve">单批次检测耗时由 </w:t>
      </w:r>
      <w:r>
        <w:rPr>
          <w:rFonts w:hint="eastAsia" w:ascii="微软雅黑" w:hAnsi="微软雅黑" w:eastAsia="微软雅黑" w:cs="微软雅黑"/>
          <w:b/>
          <w:bCs/>
          <w:color w:val="C00000"/>
        </w:rPr>
        <w:t>160 分钟 → 12 分钟</w:t>
      </w:r>
      <w:r>
        <w:rPr>
          <w:rFonts w:hint="eastAsia" w:ascii="微软雅黑" w:hAnsi="微软雅黑" w:eastAsia="微软雅黑" w:cs="微软雅黑"/>
        </w:rPr>
        <w:t xml:space="preserve">，效率提升 </w:t>
      </w:r>
      <w:r>
        <w:rPr>
          <w:rFonts w:hint="eastAsia" w:ascii="微软雅黑" w:hAnsi="微软雅黑" w:eastAsia="微软雅黑" w:cs="微软雅黑"/>
          <w:b/>
          <w:bCs/>
          <w:color w:val="C00000"/>
        </w:rPr>
        <w:t>至少 10 倍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  <w:b/>
          <w:bCs/>
        </w:rPr>
        <w:t>意义：</w:t>
      </w:r>
      <w:r>
        <w:rPr>
          <w:rFonts w:hint="eastAsia" w:ascii="微软雅黑" w:hAnsi="微软雅黑" w:eastAsia="微软雅黑" w:cs="微软雅黑"/>
        </w:rPr>
        <w:t>为后续高频次回归验证、规则迭代提供了算力基础，大幅缩短反馈闭环</w:t>
      </w:r>
    </w:p>
    <w:p>
      <w:pPr>
        <w:pStyle w:val="000003"/>
        <w:spacing w:before="300" w:after="20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32"/>
          <w:szCs w:val="32"/>
        </w:rPr>
        <w:t>二、反馈来源：双轨制质量监控</w:t>
      </w:r>
    </w:p>
    <w:p>
      <w:pPr>
        <w:pStyle w:val="00000a"/>
        <w:numPr>
          <w:ilvl w:val="0"/>
          <w:numId w:val="2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  <w:b/>
          <w:bCs/>
        </w:rPr>
        <w:t>内部自检：</w:t>
      </w:r>
      <w:r>
        <w:rPr>
          <w:rFonts w:hint="eastAsia" w:ascii="微软雅黑" w:hAnsi="微软雅黑" w:eastAsia="微软雅黑" w:cs="微软雅黑"/>
        </w:rPr>
        <w:t>每日主动抽查检测结果，识别明显偏差案例</w:t>
      </w:r>
    </w:p>
    <w:p>
      <w:pPr>
        <w:pStyle w:val="00000a"/>
        <w:numPr>
          <w:ilvl w:val="0"/>
          <w:numId w:val="2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  <w:b/>
          <w:bCs/>
        </w:rPr>
        <w:t>PSD 反馈：</w:t>
      </w:r>
      <w:r>
        <w:rPr>
          <w:rFonts w:hint="eastAsia" w:ascii="微软雅黑" w:hAnsi="微软雅黑" w:eastAsia="微软雅黑" w:cs="微软雅黑"/>
        </w:rPr>
        <w:t>对接 PSD 侧判定结论，聚焦"判定符合"背后的规则缺口</w:t>
      </w:r>
    </w:p>
    <w:p>
      <w:pPr>
        <w:spacing w:before="80" w:after="80" w:line="340"/>
        <w:rPr/>
      </w:pPr>
      <w:r>
        <w:rPr>
          <w:rFonts w:hint="eastAsia" w:ascii="微软雅黑" w:hAnsi="微软雅黑" w:eastAsia="微软雅黑" w:cs="微软雅黑"/>
        </w:rPr>
        <w:t xml:space="preserve">基于两条通道汇总的问题，我们完成了以下 </w:t>
      </w:r>
      <w:r>
        <w:rPr>
          <w:rFonts w:hint="eastAsia" w:ascii="微软雅黑" w:hAnsi="微软雅黑" w:eastAsia="微软雅黑" w:cs="微软雅黑"/>
          <w:b/>
          <w:bCs/>
        </w:rPr>
        <w:t>7 项规则改进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Fonts w:hint="eastAsia" w:ascii="微软雅黑" w:hAnsi="微软雅黑" w:eastAsia="微软雅黑" w:cs="微软雅黑"/>
          <w:b/>
          <w:bCs/>
        </w:rPr>
        <w:t>调优方向确认</w:t>
      </w:r>
      <w:r>
        <w:rPr>
          <w:rFonts w:hint="eastAsia" w:ascii="微软雅黑" w:hAnsi="微软雅黑" w:eastAsia="微软雅黑" w:cs="微软雅黑"/>
        </w:rPr>
        <w:t>。</w:t>
      </w:r>
    </w:p>
    <w:p>
      <w:pPr>
        <w:pStyle w:val="000003"/>
        <w:spacing w:before="300" w:after="20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32"/>
          <w:szCs w:val="32"/>
        </w:rPr>
        <w:t>三、已完成的规则改进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800"/>
        <w:gridCol w:w="3800"/>
        <w:gridCol w:w="3200"/>
      </w:tblGrid>
      <w:tr>
        <w:trPr>
          <w:tblHeader/>
        </w:trPr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反馈场景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PSD 判定符合的原因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改进动作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服务启动判定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客户合同已写明具体服务内容，完成任意一项即为服务启动；聊天记录为客户确认凭证（转卖房产 = 服务启动）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已按此规则更新判定逻辑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授权委托书识别（希腊团聚项目）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香港公证 + 海牙认证（Apostille）POA，第三页写明委托人为 "Mr. Deng Shikai s/o CAO Qingming and GUAN Xiaoxiao"，其中关晓晓为项目办理人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新增规则：客户名称 + 办理人 中英文名 组合匹配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泰国精英签青铜卡转款凭证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泰币 650000 已符合投资金额标准，凭证无需强制体现客户姓名；且金额已脱敏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更新规则：不再强制客户姓名匹配，且后续不比对金额数字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美国银行个户项目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账户类材料属客户隐私，可能核心材料未直接提供给文案（如开户成功后银行直接邮件联系客户）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更新规则：成功留底中识别到客户账户信息 / 开通 / 转款凭证即为符合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新加坡银行个户项目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同上，递交后银行直接与客户联系，文案侧无直接材料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更新规则：递交留底中识别到开户信息表 / 核心个人文件等即为符合</w:t>
            </w:r>
          </w:p>
        </w:tc>
      </w:tr>
      <w:tr>
        <w:trPr/>
        <w:tc>
          <w:tcPr>
            <w:tcW w:w="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家属关系识别（叶春燕 / 周小宝 小白条案例）</w:t>
            </w:r>
          </w:p>
        </w:tc>
        <w:tc>
          <w:tcPr>
            <w:tcW w:w="3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入境激活小白条文件名为「先生小白条」，说明周小宝为叶春燕丈夫；递交留底-个人资料已上传夫妻证明文件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新增规则：结合当前批次多进展文件整体分析 + 文件内容关键词识别</w:t>
            </w:r>
          </w:p>
        </w:tc>
      </w:tr>
    </w:tbl>
    <w:p>
      <w:pPr>
        <w:pStyle w:val="000003"/>
        <w:spacing w:before="300" w:after="20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32"/>
          <w:szCs w:val="32"/>
        </w:rPr>
        <w:t>四、已识别但仍在处理的边界问题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现状</w:t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  <w:rPr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处理策略</w:t>
            </w:r>
          </w:p>
        </w:tc>
      </w:tr>
      <w:tr>
        <w:trPr/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施进军 - 香港资本投资者入境计划 - 完成投资 - 自选进展，其中一份 PDF 为加密文件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检测异常，曾导致核对判断为"不符合"</w:t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已改为：识别不了的加密文件排除到整体判断之外，根据其他文件综合判断</w:t>
            </w:r>
          </w:p>
        </w:tc>
      </w:tr>
      <w:tr>
        <w:trPr/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留底显示为土耳其语的文件、无英文</w:t>
            </w:r>
          </w:p>
        </w:tc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AI 目前原生仅支持中英文识别，未能识别</w:t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line="320"/>
              <w:rPr/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待适配：土耳其语（拉丁语系）需要额外做多语言识别扩展</w:t>
            </w:r>
          </w:p>
        </w:tc>
      </w:tr>
    </w:tbl>
    <w:p>
      <w:pPr>
        <w:pStyle w:val="000003"/>
        <w:spacing w:before="300" w:after="20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32"/>
          <w:szCs w:val="32"/>
        </w:rPr>
        <w:t>五、调优思路总结</w:t>
      </w:r>
    </w:p>
    <w:p>
      <w:pPr>
        <w:spacing w:before="80" w:after="80" w:line="340"/>
        <w:rPr/>
      </w:pPr>
      <w:r>
        <w:rPr>
          <w:rFonts w:hint="eastAsia" w:ascii="微软雅黑" w:hAnsi="微软雅黑" w:eastAsia="微软雅黑" w:cs="微软雅黑"/>
        </w:rPr>
        <w:t xml:space="preserve">我们的整体调优遵循 </w:t>
      </w:r>
      <w:r>
        <w:rPr>
          <w:rFonts w:hint="eastAsia" w:ascii="微软雅黑" w:hAnsi="微软雅黑" w:eastAsia="微软雅黑" w:cs="微软雅黑"/>
          <w:b/>
          <w:bCs/>
          <w:color w:val="1F4E79"/>
        </w:rPr>
        <w:t>"算力先行 → 双轨反馈 → 规则细化 → 边界补齐"</w:t>
      </w:r>
      <w:r>
        <w:rPr>
          <w:rFonts w:hint="eastAsia" w:ascii="微软雅黑" w:hAnsi="微软雅黑" w:eastAsia="微软雅黑" w:cs="微软雅黑"/>
        </w:rPr>
        <w:t xml:space="preserve"> 的路径：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1. 算力先行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先通过服务器升级把单批次跑批时间打下来，让"改一次规则、跑一轮回归"具备可行性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2. 双轨反馈驱动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内部日检 + PSD 判定反馈，两条通道交叉发现规则盲区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3. 从"单点材料匹配"走向"批次整体分析"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单文件判定 → 多进展、多文件联合判定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名称精确匹配 → 客户名 + 办理人 中英文组合匹配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金额 / 姓名硬校验 → 按项目场景放宽（隐私类、脱敏类）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4. 尊重业务真实场景，弱化不合理的硬约束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银行个户类项目承认"文案侧无直接材料"的客观现实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脱敏数据不再参与数值比对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5. 异常样本降级处理，避免污染整体结论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加密 / 不可识别文件排除出判定池，靠其他材料兜底</w:t>
      </w:r>
    </w:p>
    <w:p>
      <w:pPr>
        <w:pStyle w:val="000005"/>
        <w:spacing w:before="180" w:after="120"/>
        <w:rPr/>
      </w:pPr>
      <w:r>
        <w:rPr>
          <w:rFonts w:hint="eastAsia" w:ascii="微软雅黑" w:hAnsi="微软雅黑" w:eastAsia="微软雅黑" w:cs="微软雅黑"/>
          <w:b/>
          <w:bCs/>
          <w:color w:val="2E75B6"/>
          <w:sz w:val="22"/>
          <w:szCs w:val="22"/>
        </w:rPr>
        <w:t>6. 持续拓展识别能力边界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增加文件内容关键词提取</w:t>
      </w:r>
    </w:p>
    <w:p>
      <w:pPr>
        <w:pStyle w:val="00000a"/>
        <w:numPr>
          <w:ilvl w:val="0"/>
          <w:numId w:val="1"/>
        </w:numPr>
        <w:spacing w:before="40" w:after="40" w:line="340"/>
        <w:rPr/>
      </w:pPr>
      <w:r>
        <w:rPr>
          <w:rFonts w:hint="eastAsia" w:ascii="微软雅黑" w:hAnsi="微软雅黑" w:eastAsia="微软雅黑" w:cs="微软雅黑"/>
        </w:rPr>
        <w:t>规划多语言（土耳其语等小语种）适配</w:t>
      </w:r>
    </w:p>
    <w:p>
      <w:pPr>
        <w:pBdr>
          <w:top w:val="single" w:color="2E75B6" w:sz="6" w:space="8"/>
        </w:pBdr>
        <w:spacing w:before="400" w:after="120"/>
        <w:rPr/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</w:rPr>
        <w:t>一句话总结</w:t>
      </w:r>
    </w:p>
    <w:p>
      <w:pPr>
        <w:spacing w:before="80" w:after="80" w:line="340"/>
        <w:rPr/>
      </w:pPr>
      <w:r>
        <w:rPr>
          <w:rFonts w:hint="eastAsia" w:ascii="微软雅黑" w:hAnsi="微软雅黑" w:eastAsia="微软雅黑" w:cs="微软雅黑"/>
          <w:b/>
          <w:bCs/>
          <w:color w:val="C00000"/>
        </w:rPr>
        <w:t>服务器升级带来的 10 倍效率</w:t>
      </w:r>
      <w:r>
        <w:rPr>
          <w:rFonts w:hint="eastAsia" w:ascii="微软雅黑" w:hAnsi="微软雅黑" w:eastAsia="微软雅黑" w:cs="微软雅黑"/>
        </w:rPr>
        <w:t xml:space="preserve"> 是这一轮优化的前提，让我们能把 PSD 每一条反馈都快速转化为规则更新，并通过每日自检验证效果，形成 </w:t>
      </w:r>
      <w:r>
        <w:rPr>
          <w:rFonts w:hint="eastAsia" w:ascii="微软雅黑" w:hAnsi="微软雅黑" w:eastAsia="微软雅黑" w:cs="微软雅黑"/>
          <w:b/>
          <w:bCs/>
        </w:rPr>
        <w:t>"提速 → 反馈 → 迭代 → 验证"</w:t>
      </w:r>
      <w:r>
        <w:rPr>
          <w:rFonts w:hint="eastAsia" w:ascii="微软雅黑" w:hAnsi="微软雅黑" w:eastAsia="微软雅黑" w:cs="微软雅黑"/>
        </w:rPr>
        <w:t xml:space="preserve"> 的良性闭环。</w:t>
      </w:r>
    </w:p>
    <w:sectPr>
      <w:headerReference r:id="rId6" w:type="default"/>
      <w:footerReference r:id="rId7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  <w:rPr/>
      </w:pPr>
      <w:r>
        <w:rPr>
          <w:rStyle w:val="000010"/>
        </w:rPr>
        <w:endnoteRef/>
      </w:r>
      <w:r>
        <w:rPr/>
        <w:continuationSeparator/>
      </w:r>
    </w:p>
  </w:endnote>
  <w:endnote w:type="separator" w:id="1">
    <w:p>
      <w:pPr>
        <w:spacing w:after="0" w:line="240" w:lineRule="auto"/>
        <w:rPr/>
      </w:pPr>
      <w:r>
        <w:rPr>
          <w:rStyle w:val="000010"/>
        </w:rPr>
        <w:endnoteRef/>
      </w:r>
      <w:r>
        <w:rPr/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  <w:rPr/>
    </w:pPr>
    <w:r>
      <w:rPr>
        <w:rFonts w:hint="eastAsia" w:ascii="微软雅黑" w:hAnsi="微软雅黑" w:eastAsia="微软雅黑" w:cs="微软雅黑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rFonts w:hint="eastAsia" w:ascii="微软雅黑" w:hAnsi="微软雅黑" w:eastAsia="微软雅黑" w:cs="微软雅黑"/>
        <w:color w:val="808080"/>
        <w:sz w:val="18"/>
        <w:szCs w:val="18"/>
      </w:rPr>
      <w:t xml:space="preserve"> 页 / 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rFonts w:hint="eastAsia" w:ascii="微软雅黑" w:hAnsi="微软雅黑" w:eastAsia="微软雅黑" w:cs="微软雅黑"/>
        <w:color w:val="808080"/>
        <w:sz w:val="18"/>
        <w:szCs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  <w:rPr/>
      </w:pPr>
      <w:r>
        <w:rPr>
          <w:rStyle w:val="00000d"/>
        </w:rPr>
        <w:footnoteRef/>
      </w:r>
      <w:r>
        <w:rPr/>
        <w:continuationSeparator/>
      </w:r>
    </w:p>
  </w:footnote>
  <w:footnote w:type="separator" w:id="1">
    <w:p>
      <w:pPr>
        <w:spacing w:after="0" w:line="240" w:lineRule="auto"/>
        <w:rPr/>
      </w:pPr>
      <w:r>
        <w:rPr>
          <w:rStyle w:val="00000d"/>
        </w:rPr>
        <w:footnoteRef/>
      </w: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rPr/>
    </w:pPr>
    <w:r>
      <w:rPr>
        <w:rFonts w:hint="eastAsia" w:ascii="微软雅黑" w:hAnsi="微软雅黑" w:eastAsia="微软雅黑" w:cs="微软雅黑"/>
        <w:color w:val="808080"/>
        <w:sz w:val="18"/>
        <w:szCs w:val="18"/>
      </w:rPr>
      <w:t>云盘检查阶段性优化总结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hint="eastAsia" w:ascii="微软雅黑" w:hAnsi="微软雅黑" w:eastAsia="微软雅黑" w:cs="微软雅黑"/>
        <w:sz w:val="22"/>
        <w:szCs w:val="22"/>
      </w:rPr>
    </w:rPrDefault>
    <w:pPrDefault/>
  </w:docDefaults>
  <w:style w:type="character" w:styleId="00000b">
    <w:name w:val="Hyperlink"/>
    <w:basedOn w:val="00000c"/>
    <w:uiPriority w:val="99"/>
    <w:unhideWhenUsed/>
    <w:rPr>
      <w:color w:val="0563C1"/>
      <w:u w:val="single"/>
    </w:rPr>
  </w:style>
  <w:style w:type="paragraph" w:styleId="000001">
    <w:name w:val="Title"/>
    <w:basedOn w:val="000002"/>
    <w:next w:val="000002"/>
    <w:qFormat/>
    <w:rPr>
      <w:sz w:val="56"/>
      <w:szCs w:val="56"/>
    </w:rPr>
  </w:style>
  <w:style w:type="paragraph" w:styleId="000009">
    <w:name w:val="Strong"/>
    <w:basedOn w:val="000002"/>
    <w:next w:val="000002"/>
    <w:qFormat/>
    <w:rPr>
      <w:b/>
      <w:bCs/>
    </w:rPr>
  </w:style>
  <w:style w:type="paragraph" w:styleId="000004">
    <w:name w:val="Heading 2"/>
    <w:basedOn w:val="000002"/>
    <w:next w:val="000002"/>
    <w:qFormat/>
    <w:rPr>
      <w:color w:val="2E74B5"/>
      <w:sz w:val="26"/>
      <w:szCs w:val="26"/>
    </w:rPr>
  </w:style>
  <w:style w:type="paragraph" w:styleId="000005">
    <w:name w:val="Heading 3"/>
    <w:basedOn w:val="000002"/>
    <w:next w:val="000002"/>
    <w:qFormat/>
    <w:rPr>
      <w:color w:val="1F4D78"/>
      <w:sz w:val="24"/>
      <w:szCs w:val="24"/>
    </w:rPr>
  </w:style>
  <w:style w:type="paragraph" w:styleId="000011">
    <w:name w:val="endnote text"/>
    <w:basedOn w:val="000002"/>
    <w:link w:val="000012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000007">
    <w:name w:val="Heading 5"/>
    <w:basedOn w:val="000002"/>
    <w:next w:val="000002"/>
    <w:qFormat/>
    <w:rPr>
      <w:color w:val="2E74B5"/>
    </w:rPr>
  </w:style>
  <w:style w:type="paragraph" w:styleId="00000e">
    <w:name w:val="footnote text"/>
    <w:basedOn w:val="000002"/>
    <w:link w:val="00000f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000003">
    <w:name w:val="Heading 1"/>
    <w:basedOn w:val="000002"/>
    <w:next w:val="000002"/>
    <w:qFormat/>
    <w:rPr>
      <w:color w:val="2E74B5"/>
      <w:sz w:val="32"/>
      <w:szCs w:val="32"/>
    </w:rPr>
  </w:style>
  <w:style w:type="paragraph" w:styleId="000008">
    <w:name w:val="Heading 6"/>
    <w:basedOn w:val="000002"/>
    <w:next w:val="000002"/>
    <w:qFormat/>
    <w:rPr>
      <w:color w:val="1F4D78"/>
    </w:rPr>
  </w:style>
  <w:style w:type="paragraph" w:styleId="000006">
    <w:name w:val="Heading 4"/>
    <w:basedOn w:val="000002"/>
    <w:next w:val="000002"/>
    <w:qFormat/>
    <w:rPr>
      <w:i/>
      <w:iCs/>
      <w:color w:val="2E74B5"/>
    </w:rPr>
  </w:style>
  <w:style w:type="character" w:styleId="000010">
    <w:name w:val="endnote reference"/>
    <w:basedOn w:val="00000c"/>
    <w:uiPriority w:val="99"/>
    <w:semiHidden/>
    <w:unhideWhenUsed/>
    <w:rPr>
      <w:vertAlign w:val="superscript"/>
    </w:rPr>
  </w:style>
  <w:style w:type="character" w:styleId="00000d">
    <w:name w:val="footnote reference"/>
    <w:basedOn w:val="00000c"/>
    <w:uiPriority w:val="99"/>
    <w:semiHidden/>
    <w:unhideWhenUsed/>
    <w:rPr>
      <w:vertAlign w:val="superscript"/>
    </w:rPr>
  </w:style>
  <w:style w:type="character" w:styleId="00000f">
    <w:name w:val="Footnote Text Char"/>
    <w:basedOn w:val="00000c"/>
    <w:link w:val="00000e"/>
    <w:uiPriority w:val="99"/>
    <w:semiHidden/>
    <w:unhideWhenUsed/>
    <w:rPr>
      <w:sz w:val="20"/>
      <w:szCs w:val="20"/>
    </w:rPr>
  </w:style>
  <w:style w:type="paragraph" w:styleId="00000a">
    <w:name w:val="List Paragraph"/>
    <w:basedOn w:val="000002"/>
    <w:qFormat/>
  </w:style>
  <w:style w:type="character" w:styleId="000012">
    <w:name w:val="Endnote Text Char"/>
    <w:basedOn w:val="00000c"/>
    <w:link w:val="000011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numbering" Target="numbering.xml" /><Relationship Id="rId6" Type="http://schemas.openxmlformats.org/officeDocument/2006/relationships/header" Target="header1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4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2026-07-20T22:26:34Z</dcterms:created>
  <dcterms:modified xsi:type="dcterms:W3CDTF">2026-07-20T22:26:34Z</dcterms:modified>
</cp:coreProperties>
</file>