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等线"/>
          <w:b/>
          <w:sz w:val="40"/>
        </w:rPr>
        <w:t>云盘留底检测系统工作汇报</w:t>
      </w:r>
    </w:p>
    <w:p>
      <w:pPr>
        <w:spacing w:after="40"/>
        <w:jc w:val="center"/>
      </w:pPr>
      <w:r>
        <w:rPr>
          <w:rFonts w:ascii="Calibri" w:hAnsi="Calibri" w:eastAsia="等线"/>
          <w:b w:val="0"/>
          <w:color w:val="595959"/>
          <w:sz w:val="24"/>
        </w:rPr>
        <w:t>—— 系统能力 · 阶段性优化成果 · 运行成效与规划 ——</w:t>
      </w:r>
    </w:p>
    <w:p>
      <w:pPr>
        <w:spacing w:after="280"/>
        <w:jc w:val="center"/>
      </w:pPr>
      <w:r>
        <w:rPr>
          <w:rFonts w:ascii="Calibri" w:hAnsi="Calibri" w:eastAsia="等线"/>
          <w:b w:val="0"/>
          <w:color w:val="595959"/>
          <w:sz w:val="22"/>
        </w:rPr>
        <w:t>汇报人：【姓名】　　2026 年 7 月</w:t>
      </w:r>
    </w:p>
    <w:p>
      <w:pPr>
        <w:spacing w:before="240" w:after="120"/>
      </w:pPr>
      <w:r>
        <w:rPr>
          <w:rFonts w:ascii="Calibri" w:hAnsi="Calibri" w:eastAsia="等线"/>
          <w:b/>
          <w:color w:val="1F3B63"/>
          <w:sz w:val="28"/>
        </w:rPr>
        <w:t>一、背景与业务痛点</w:t>
      </w:r>
    </w:p>
    <w:p>
      <w:pPr>
        <w:spacing w:after="80"/>
        <w:ind w:firstLine="440"/>
      </w:pPr>
      <w:r>
        <w:rPr>
          <w:rFonts w:ascii="Calibri" w:hAnsi="Calibri" w:eastAsia="等线"/>
          <w:b w:val="0"/>
          <w:sz w:val="22"/>
        </w:rPr>
        <w:t>按公司与 PSD 业务标准，客户服务的每个关键进展（签约、递案、获批、开户、完成投资等）都必须“留底”——在云盘中留存能证明该项服务确已启动或发生的材料。材料形式繁杂：合同、受理回执、聊天记录、转款凭证、公证文件、外文材料等，此前靠人工逐份打开核对。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量大：</w:t>
      </w:r>
      <w:r>
        <w:rPr>
          <w:rFonts w:ascii="Calibri" w:hAnsi="Calibri" w:eastAsia="等线"/>
          <w:b w:val="0"/>
          <w:sz w:val="22"/>
        </w:rPr>
        <w:t>文件量大、格式杂，人工逐份核对耗时长，成本高；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标准不一：</w:t>
      </w:r>
      <w:r>
        <w:rPr>
          <w:rFonts w:ascii="Calibri" w:hAnsi="Calibri" w:eastAsia="等线"/>
          <w:b w:val="0"/>
          <w:sz w:val="22"/>
        </w:rPr>
        <w:t>判定口径依赖个人经验，松紧不一，结论难以复核；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易漏检：</w:t>
      </w:r>
      <w:r>
        <w:rPr>
          <w:rFonts w:ascii="Calibri" w:hAnsi="Calibri" w:eastAsia="等线"/>
          <w:b w:val="0"/>
          <w:sz w:val="22"/>
        </w:rPr>
        <w:t>业务量增长后容易漏检，合规风险后置暴露。</w:t>
      </w:r>
    </w:p>
    <w:p>
      <w:pPr>
        <w:spacing w:after="80"/>
        <w:ind w:firstLine="440"/>
      </w:pPr>
      <w:r>
        <w:rPr>
          <w:rFonts w:ascii="Calibri" w:hAnsi="Calibri" w:eastAsia="等线"/>
          <w:b w:val="0"/>
          <w:sz w:val="22"/>
        </w:rPr>
        <w:t>云盘留底检测系统的目标：把留底检测从“人工核对”升级为“AI 自动判定”——标准统一、全程留痕、结果可复核。</w:t>
      </w:r>
    </w:p>
    <w:p>
      <w:pPr>
        <w:spacing w:before="240" w:after="120"/>
      </w:pPr>
      <w:r>
        <w:rPr>
          <w:rFonts w:ascii="Calibri" w:hAnsi="Calibri" w:eastAsia="等线"/>
          <w:b/>
          <w:color w:val="1F3B63"/>
          <w:sz w:val="28"/>
        </w:rPr>
        <w:t>二、系统是什么</w:t>
      </w:r>
    </w:p>
    <w:p>
      <w:pPr>
        <w:spacing w:after="80"/>
        <w:ind w:firstLine="440"/>
      </w:pPr>
      <w:r>
        <w:rPr>
          <w:rFonts w:ascii="Calibri" w:hAnsi="Calibri" w:eastAsia="等线"/>
          <w:b w:val="0"/>
          <w:sz w:val="22"/>
        </w:rPr>
        <w:t>一句话：业务方把「客户 + 项目 + 进展 + 云盘文件链接」批量提交给系统，系统自动完成下载、文字识别（OCR）、AI 按公司留底标准逐份判定，并给出整批“符合 / 部分符合 / 不符合”的总体结论与理由。</w:t>
      </w:r>
    </w:p>
    <w:p>
      <w:pPr>
        <w:spacing w:after="80"/>
        <w:ind w:firstLine="440"/>
      </w:pPr>
      <w:r>
        <w:rPr>
          <w:rFonts w:ascii="Calibri" w:hAnsi="Calibri" w:eastAsia="等线"/>
          <w:b w:val="0"/>
          <w:sz w:val="22"/>
        </w:rPr>
        <w:t>处理流程：批量提交（秒级受理）→ 后台排队异步处理 → OCR 文字识别 → AI 逐份判定 → 识别文本脱敏存档 → 生成批次总报告 → 业务方按批次号查询结果。同一进展下同一文件再次提交时自动复用历史判定，不重复识别、不重复计费。</w:t>
      </w:r>
    </w:p>
    <w:p>
      <w:pPr>
        <w:spacing w:before="80" w:after="80"/>
      </w:pPr>
      <w:r>
        <w:rPr>
          <w:rFonts w:ascii="Calibri" w:hAnsi="Calibri" w:eastAsia="等线"/>
          <w:b/>
          <w:color w:val="C00000"/>
          <w:sz w:val="22"/>
          <w:highlight w:val="yellow"/>
        </w:rPr>
        <w:t>【截图 1：业务审核提交页】</w:t>
      </w:r>
      <w:r>
        <w:rPr>
          <w:rFonts w:ascii="Calibri" w:hAnsi="Calibri" w:eastAsia="等线"/>
          <w:b w:val="0"/>
          <w:color w:val="595959"/>
          <w:sz w:val="18"/>
        </w:rPr>
        <w:t xml:space="preserve">　系统「业务审核」tab，框选客户/项目/进展 + 文件链接提交表单区域</w:t>
      </w:r>
    </w:p>
    <w:p>
      <w:pPr>
        <w:spacing w:before="80" w:after="80"/>
      </w:pPr>
      <w:r>
        <w:rPr>
          <w:rFonts w:ascii="Calibri" w:hAnsi="Calibri" w:eastAsia="等线"/>
          <w:b/>
          <w:color w:val="C00000"/>
          <w:sz w:val="22"/>
          <w:highlight w:val="yellow"/>
        </w:rPr>
        <w:t>【截图 2：批次结果页】</w:t>
      </w:r>
      <w:r>
        <w:rPr>
          <w:rFonts w:ascii="Calibri" w:hAnsi="Calibri" w:eastAsia="等线"/>
          <w:b w:val="0"/>
          <w:color w:val="595959"/>
          <w:sz w:val="18"/>
        </w:rPr>
        <w:t xml:space="preserve">　含单文件判定列表（结论/符合度/理由）与整批总体报告</w:t>
      </w:r>
    </w:p>
    <w:p>
      <w:pPr>
        <w:spacing w:before="240" w:after="120"/>
      </w:pPr>
      <w:r>
        <w:rPr>
          <w:rFonts w:ascii="Calibri" w:hAnsi="Calibri" w:eastAsia="等线"/>
          <w:b/>
          <w:color w:val="1F3B63"/>
          <w:sz w:val="28"/>
        </w:rPr>
        <w:t>三、核心功能</w:t>
      </w:r>
    </w:p>
    <w:p>
      <w:pPr>
        <w:spacing w:before="120" w:after="60"/>
      </w:pPr>
      <w:r>
        <w:rPr>
          <w:rFonts w:ascii="Calibri" w:hAnsi="Calibri" w:eastAsia="等线"/>
          <w:b/>
          <w:color w:val="000000"/>
          <w:sz w:val="24"/>
        </w:rPr>
        <w:t>1. 业务审核（主线，与业务系统对接）</w:t>
      </w:r>
    </w:p>
    <w:p>
      <w:pPr>
        <w:pStyle w:val="ListBullet"/>
        <w:spacing w:after="60"/>
      </w:pPr>
      <w:r>
        <w:rPr>
          <w:rFonts w:ascii="Calibri" w:hAnsi="Calibri" w:eastAsia="等线"/>
          <w:b w:val="0"/>
          <w:sz w:val="22"/>
        </w:rPr>
        <w:t>云盘/OSS 文件链接批量提交，秒级返回批次号，检测在后台异步完成；文件链接过期自动刷新；</w:t>
      </w:r>
    </w:p>
    <w:p>
      <w:pPr>
        <w:pStyle w:val="ListBullet"/>
        <w:spacing w:after="60"/>
      </w:pPr>
      <w:r>
        <w:rPr>
          <w:rFonts w:ascii="Calibri" w:hAnsi="Calibri" w:eastAsia="等线"/>
          <w:b w:val="0"/>
          <w:sz w:val="22"/>
        </w:rPr>
        <w:t>结果含每份文件的判定结论、符合度评分（0–100）、判定理由、关键点，以及整批总体结论。</w:t>
      </w:r>
    </w:p>
    <w:p>
      <w:pPr>
        <w:spacing w:before="120" w:after="60"/>
      </w:pPr>
      <w:r>
        <w:rPr>
          <w:rFonts w:ascii="Calibri" w:hAnsi="Calibri" w:eastAsia="等线"/>
          <w:b/>
          <w:color w:val="000000"/>
          <w:sz w:val="24"/>
        </w:rPr>
        <w:t>2. 快速检测（自助工具）</w:t>
      </w:r>
    </w:p>
    <w:p>
      <w:pPr>
        <w:pStyle w:val="ListBullet"/>
        <w:spacing w:after="60"/>
      </w:pPr>
      <w:r>
        <w:rPr>
          <w:rFonts w:ascii="Calibri" w:hAnsi="Calibri" w:eastAsia="等线"/>
          <w:b w:val="0"/>
          <w:sz w:val="22"/>
        </w:rPr>
        <w:t>运营/文案本地上传或粘贴链接、自定义判定要求，即传即测，用于零散核查与规则验证。</w:t>
      </w:r>
    </w:p>
    <w:p>
      <w:pPr>
        <w:spacing w:before="120" w:after="60"/>
      </w:pPr>
      <w:r>
        <w:rPr>
          <w:rFonts w:ascii="Calibri" w:hAnsi="Calibri" w:eastAsia="等线"/>
          <w:b/>
          <w:color w:val="000000"/>
          <w:sz w:val="24"/>
        </w:rPr>
        <w:t>3. 审核任务管理后台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检索：</w:t>
      </w:r>
      <w:r>
        <w:rPr>
          <w:rFonts w:ascii="Calibri" w:hAnsi="Calibri" w:eastAsia="等线"/>
          <w:b w:val="0"/>
          <w:sz w:val="22"/>
        </w:rPr>
        <w:t>批次检索：按状态、客户、项目、进展、日期、总体结论筛选，支持“仅看有失败文件”；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详情：</w:t>
      </w:r>
      <w:r>
        <w:rPr>
          <w:rFonts w:ascii="Calibri" w:hAnsi="Calibri" w:eastAsia="等线"/>
          <w:b w:val="0"/>
          <w:sz w:val="22"/>
        </w:rPr>
        <w:t>批次详情：客户/办理人/项目/进展/判定标准/总体结论全量展示，逐文件可查判定理由与识别文本；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纠错机制：</w:t>
      </w:r>
      <w:r>
        <w:rPr>
          <w:rFonts w:ascii="Calibri" w:hAnsi="Calibri" w:eastAsia="等线"/>
          <w:b w:val="0"/>
          <w:sz w:val="22"/>
        </w:rPr>
        <w:t>单批重审；判定口径调整后可“按新规则批量重判”（不重新识别原件，成本低）；必要时批量重审。</w:t>
      </w:r>
    </w:p>
    <w:p>
      <w:pPr>
        <w:spacing w:before="80" w:after="80"/>
      </w:pPr>
      <w:r>
        <w:rPr>
          <w:rFonts w:ascii="Calibri" w:hAnsi="Calibri" w:eastAsia="等线"/>
          <w:b/>
          <w:color w:val="C00000"/>
          <w:sz w:val="22"/>
          <w:highlight w:val="yellow"/>
        </w:rPr>
        <w:t>【截图 3：管理后台-批次列表】</w:t>
      </w:r>
      <w:r>
        <w:rPr>
          <w:rFonts w:ascii="Calibri" w:hAnsi="Calibri" w:eastAsia="等线"/>
          <w:b w:val="0"/>
          <w:color w:val="595959"/>
          <w:sz w:val="18"/>
        </w:rPr>
        <w:t xml:space="preserve">　审核任务管理页（/archive-admin），含筛选区与批次列表</w:t>
      </w:r>
    </w:p>
    <w:p>
      <w:pPr>
        <w:spacing w:before="80" w:after="80"/>
      </w:pPr>
      <w:r>
        <w:rPr>
          <w:rFonts w:ascii="Calibri" w:hAnsi="Calibri" w:eastAsia="等线"/>
          <w:b/>
          <w:color w:val="C00000"/>
          <w:sz w:val="22"/>
          <w:highlight w:val="yellow"/>
        </w:rPr>
        <w:t>【截图 4：批次详情弹窗】</w:t>
      </w:r>
      <w:r>
        <w:rPr>
          <w:rFonts w:ascii="Calibri" w:hAnsi="Calibri" w:eastAsia="等线"/>
          <w:b w:val="0"/>
          <w:color w:val="595959"/>
          <w:sz w:val="18"/>
        </w:rPr>
        <w:t xml:space="preserve">　管理后台点任一批次「详情」，展示批次全量信息 + 文件表</w:t>
      </w:r>
    </w:p>
    <w:p>
      <w:pPr>
        <w:spacing w:before="80" w:after="80"/>
      </w:pPr>
      <w:r>
        <w:rPr>
          <w:rFonts w:ascii="Calibri" w:hAnsi="Calibri" w:eastAsia="等线"/>
          <w:b/>
          <w:color w:val="C00000"/>
          <w:sz w:val="22"/>
          <w:highlight w:val="yellow"/>
        </w:rPr>
        <w:t>【截图 5：单文件详情】</w:t>
      </w:r>
      <w:r>
        <w:rPr>
          <w:rFonts w:ascii="Calibri" w:hAnsi="Calibri" w:eastAsia="等线"/>
          <w:b w:val="0"/>
          <w:color w:val="595959"/>
          <w:sz w:val="18"/>
        </w:rPr>
        <w:t xml:space="preserve">　批次详情中点某文件，展示判定理由、关键点与脱敏识别文本</w:t>
      </w:r>
    </w:p>
    <w:p>
      <w:pPr>
        <w:spacing w:before="240" w:after="120"/>
      </w:pPr>
      <w:r>
        <w:rPr>
          <w:rFonts w:ascii="Calibri" w:hAnsi="Calibri" w:eastAsia="等线"/>
          <w:b/>
          <w:color w:val="1F3B63"/>
          <w:sz w:val="28"/>
        </w:rPr>
        <w:t>四、智能判定标准：PSD 业务标准固化进 AI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核心口径：</w:t>
      </w:r>
      <w:r>
        <w:rPr>
          <w:rFonts w:ascii="Calibri" w:hAnsi="Calibri" w:eastAsia="等线"/>
          <w:b w:val="0"/>
          <w:sz w:val="22"/>
        </w:rPr>
        <w:t>留底的本质是“证明该进展对应的服务确已启动或发生”，不要求必须是官方回执类关键件；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证据认定：</w:t>
      </w:r>
      <w:r>
        <w:rPr>
          <w:rFonts w:ascii="Calibri" w:hAnsi="Calibri" w:eastAsia="等线"/>
          <w:b w:val="0"/>
          <w:sz w:val="22"/>
        </w:rPr>
        <w:t>官方文件（批复函/受理回执/递交确认）或软证据组合（服务合同 + 聊天记录/邮件/确认截图）任一即可；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三级判定：</w:t>
      </w:r>
      <w:r>
        <w:rPr>
          <w:rFonts w:ascii="Calibri" w:hAnsi="Calibri" w:eastAsia="等线"/>
          <w:b w:val="0"/>
          <w:sz w:val="22"/>
        </w:rPr>
        <w:t>符合 / 部分符合 / 不符合三级结论 + 符合度评分 + 判定理由；只有辅助附件判“部分符合”，完全无服务痕迹判“不符合”；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业务规则示例：</w:t>
      </w:r>
      <w:r>
        <w:rPr>
          <w:rFonts w:ascii="Calibri" w:hAnsi="Calibri" w:eastAsia="等线"/>
          <w:b w:val="0"/>
          <w:sz w:val="22"/>
        </w:rPr>
        <w:t>转款凭证以金额币种为准、不强制体现客户姓名；银行开户类核心材料属客户隐私，识别到账户/开户/转款凭证任一即算符合；进展阶段错配最多判“部分符合”不硬性否决；单份文件加密或识别失败只影响该文件、不拖垮整批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异常兜底：</w:t>
      </w:r>
      <w:r>
        <w:rPr>
          <w:rFonts w:ascii="Calibri" w:hAnsi="Calibri" w:eastAsia="等线"/>
          <w:b w:val="0"/>
          <w:sz w:val="22"/>
        </w:rPr>
        <w:t>扫描件无有效文字时自动标记“无文字”，不参与总体判定，避免误判。</w:t>
      </w:r>
    </w:p>
    <w:p>
      <w:pPr>
        <w:spacing w:before="240" w:after="120"/>
      </w:pPr>
      <w:r>
        <w:rPr>
          <w:rFonts w:ascii="Calibri" w:hAnsi="Calibri" w:eastAsia="等线"/>
          <w:b/>
          <w:color w:val="1F3B63"/>
          <w:sz w:val="28"/>
        </w:rPr>
        <w:t>五、阶段性优化成果：提速 · 反馈闭环 · 规则迭代</w:t>
      </w:r>
    </w:p>
    <w:p>
      <w:pPr>
        <w:spacing w:before="120" w:after="60"/>
      </w:pPr>
      <w:r>
        <w:rPr>
          <w:rFonts w:ascii="Calibri" w:hAnsi="Calibri" w:eastAsia="等线"/>
          <w:b/>
          <w:color w:val="000000"/>
          <w:sz w:val="24"/>
        </w:rPr>
        <w:t>5.1 基础设施升级，效率提升 10 倍</w:t>
      </w:r>
    </w:p>
    <w:p>
      <w:pPr>
        <w:spacing w:after="80"/>
        <w:ind w:firstLine="440"/>
      </w:pPr>
      <w:r>
        <w:rPr>
          <w:rFonts w:ascii="Calibri" w:hAnsi="Calibri" w:eastAsia="等线"/>
          <w:b w:val="0"/>
          <w:sz w:val="22"/>
        </w:rPr>
        <w:t>切换到更高配置服务器后，单批次检测耗时由 160 分钟降至 12 分钟，效率提升至少 10 倍，让“改一次规则、当天跑一轮回归验证”成为常态，大幅缩短反馈闭环。</w:t>
      </w:r>
    </w:p>
    <w:p>
      <w:pPr>
        <w:spacing w:before="120" w:after="60"/>
      </w:pPr>
      <w:r>
        <w:rPr>
          <w:rFonts w:ascii="Calibri" w:hAnsi="Calibri" w:eastAsia="等线"/>
          <w:b/>
          <w:color w:val="000000"/>
          <w:sz w:val="24"/>
        </w:rPr>
        <w:t>5.2 双轨制质量监控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内部自检：</w:t>
      </w:r>
      <w:r>
        <w:rPr>
          <w:rFonts w:ascii="Calibri" w:hAnsi="Calibri" w:eastAsia="等线"/>
          <w:b w:val="0"/>
          <w:sz w:val="22"/>
        </w:rPr>
        <w:t>每日主动抽查检测结果，识别明显偏差案例；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PSD 反馈：</w:t>
      </w:r>
      <w:r>
        <w:rPr>
          <w:rFonts w:ascii="Calibri" w:hAnsi="Calibri" w:eastAsia="等线"/>
          <w:b w:val="0"/>
          <w:sz w:val="22"/>
        </w:rPr>
        <w:t>对接 PSD 侧判定结论，聚焦“判定符合”背后的规则缺口。</w:t>
      </w:r>
    </w:p>
    <w:p>
      <w:pPr>
        <w:spacing w:before="120" w:after="60"/>
      </w:pPr>
      <w:r>
        <w:rPr>
          <w:rFonts w:ascii="Calibri" w:hAnsi="Calibri" w:eastAsia="等线"/>
          <w:b/>
          <w:color w:val="000000"/>
          <w:sz w:val="24"/>
        </w:rPr>
        <w:t>5.3 已完成的规则改进（典型案例）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</w:tcPr>
          <w:p>
            <w:r/>
            <w:r>
              <w:rPr>
                <w:rFonts w:ascii="Calibri" w:hAnsi="Calibri" w:eastAsia="等线"/>
                <w:b/>
                <w:sz w:val="18"/>
              </w:rPr>
              <w:t>#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等线"/>
                <w:b/>
                <w:sz w:val="18"/>
              </w:rPr>
              <w:t>反馈场景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等线"/>
                <w:b/>
                <w:sz w:val="18"/>
              </w:rPr>
              <w:t>PSD 判定符合的原因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等线"/>
                <w:b/>
                <w:sz w:val="18"/>
              </w:rPr>
              <w:t>改进动作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服务启动判定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客户合同已写明具体服务内容，完成任意一项即为服务启动；聊天记录为客户确认凭证（转卖房产 = 服务启动）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已按此规则更新判定逻辑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授权委托书识别（希腊团聚项目）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香港公证 + 海牙认证 POA，第三页委托人信息中含项目办理人（关晓晓）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新增规则：客户名称 + 办理人中英文名组合匹配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泰国精英签青铜卡转款凭证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泰币 650000 已符合投资金额标准，凭证无需强制体现客户姓名；且金额已脱敏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更新规则：不再强制客户姓名匹配，后续不比对金额数字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美国银行个户项目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账户类材料属客户隐私，核心材料可能未直接提供给文案（开户成功后银行直接邮件联系客户）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更新规则：成功留底中识别到客户账户信息/开通/转款凭证即为符合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新加坡银行个户项目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同上，递交后银行直接与客户联系，文案侧无直接材料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更新规则：递交留底中识别到开户信息表/核心个人文件等即为符合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家属关系识别（叶春燕/周小宝小白条案例）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入境激活小白条文件名为「先生小白条」，说明周小宝为叶春燕丈夫；递交留底已上传夫妻证明文件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新增规则：结合当前批次多进展文件整体分析 + 文件内容关键词识别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 w:eastAsia="等线"/>
          <w:b/>
          <w:color w:val="000000"/>
          <w:sz w:val="24"/>
        </w:rPr>
        <w:t>5.4 已识别的边界问题与对策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608"/>
          </w:tcPr>
          <w:p>
            <w:r/>
            <w:r>
              <w:rPr>
                <w:rFonts w:ascii="Calibri" w:hAnsi="Calibri" w:eastAsia="等线"/>
                <w:b/>
                <w:sz w:val="18"/>
              </w:rPr>
              <w:t>场景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等线"/>
                <w:b/>
                <w:sz w:val="18"/>
              </w:rPr>
              <w:t>现状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/>
                <w:sz w:val="18"/>
              </w:rPr>
              <w:t>处理策略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加密 PDF（如香港资本投资者入境计划-完成投资批次）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曾导致整批误判为“不符合”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已改为：识别不了的加密文件排除出整体判断，由其他文件综合兜底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土耳其语等小语种文件（无英文）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AI 目前原生支持中英文，未能识别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待适配：规划多语言识别扩展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 w:eastAsia="等线"/>
          <w:b/>
          <w:color w:val="000000"/>
          <w:sz w:val="24"/>
        </w:rPr>
        <w:t>5.5 调优路径</w:t>
      </w:r>
    </w:p>
    <w:p>
      <w:pPr>
        <w:spacing w:after="80"/>
        <w:ind w:firstLine="440"/>
      </w:pPr>
      <w:r>
        <w:rPr>
          <w:rFonts w:ascii="Calibri" w:hAnsi="Calibri" w:eastAsia="等线"/>
          <w:b w:val="0"/>
          <w:sz w:val="22"/>
        </w:rPr>
        <w:t>整体遵循“算力先行 → 双轨反馈 → 规则细化 → 边界补齐”：单文件判定升级为多进展、多文件联合判定；名称精确匹配升级为客户名 + 办理人中英文组合匹配；金额/姓名硬校验按项目场景放宽；异常样本降级处理，避免污染整体结论。</w:t>
      </w:r>
    </w:p>
    <w:p>
      <w:pPr>
        <w:spacing w:after="80"/>
        <w:ind w:firstLine="440"/>
      </w:pPr>
      <w:r>
        <w:rPr>
          <w:rFonts w:ascii="Calibri" w:hAnsi="Calibri" w:eastAsia="等线"/>
          <w:b w:val="0"/>
          <w:sz w:val="22"/>
        </w:rPr>
        <w:t>一句话总结：10 倍提速让每一条 PSD 反馈都能快速转化为规则更新，并通过每日自检验证效果，形成“提速 → 反馈 → 迭代 → 验证”的良性闭环。</w:t>
      </w:r>
    </w:p>
    <w:p>
      <w:pPr>
        <w:spacing w:before="240" w:after="120"/>
      </w:pPr>
      <w:r>
        <w:rPr>
          <w:rFonts w:ascii="Calibri" w:hAnsi="Calibri" w:eastAsia="等线"/>
          <w:b/>
          <w:color w:val="1F3B63"/>
          <w:sz w:val="28"/>
        </w:rPr>
        <w:t>六、技术保障与安全合规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稳定：</w:t>
      </w:r>
      <w:r>
        <w:rPr>
          <w:rFonts w:ascii="Calibri" w:hAnsi="Calibri" w:eastAsia="等线"/>
          <w:b w:val="0"/>
          <w:sz w:val="22"/>
        </w:rPr>
        <w:t>队列化异步架构：提交即回、后台排队处理，集中提交不宕机；任务状态全部落库，服务重启不丢任务；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降本：</w:t>
      </w:r>
      <w:r>
        <w:rPr>
          <w:rFonts w:ascii="Calibri" w:hAnsi="Calibri" w:eastAsia="等线"/>
          <w:b w:val="0"/>
          <w:sz w:val="22"/>
        </w:rPr>
        <w:t>历史结果复用 + 按新规则重判不重新识别原件，AI 调用量与成本可控；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可观测：</w:t>
      </w:r>
      <w:r>
        <w:rPr>
          <w:rFonts w:ascii="Calibri" w:hAnsi="Calibri" w:eastAsia="等线"/>
          <w:b w:val="0"/>
          <w:sz w:val="22"/>
        </w:rPr>
        <w:t>事件流、接口请求记录、外部接口记录、AI 调用记录四类台账，每次判定可追溯、可复盘；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安全：</w:t>
      </w:r>
      <w:r>
        <w:rPr>
          <w:rFonts w:ascii="Calibri" w:hAnsi="Calibri" w:eastAsia="等线"/>
          <w:b w:val="0"/>
          <w:sz w:val="22"/>
        </w:rPr>
        <w:t>识别文本脱敏后入库；文件走云盘临时签名链接、处理完即删，服务器不长期留存原件；业务接口由网络层隔离。</w:t>
      </w:r>
    </w:p>
    <w:p>
      <w:pPr>
        <w:spacing w:before="80" w:after="80"/>
      </w:pPr>
      <w:r>
        <w:rPr>
          <w:rFonts w:ascii="Calibri" w:hAnsi="Calibri" w:eastAsia="等线"/>
          <w:b/>
          <w:color w:val="C00000"/>
          <w:sz w:val="22"/>
          <w:highlight w:val="yellow"/>
        </w:rPr>
        <w:t>【截图 6：事件流页】</w:t>
      </w:r>
      <w:r>
        <w:rPr>
          <w:rFonts w:ascii="Calibri" w:hAnsi="Calibri" w:eastAsia="等线"/>
          <w:b w:val="0"/>
          <w:color w:val="595959"/>
          <w:sz w:val="18"/>
        </w:rPr>
        <w:t xml:space="preserve">　侧边栏「事件流」（/events），展示批次/文件/worker 事件台账</w:t>
      </w:r>
    </w:p>
    <w:p>
      <w:pPr>
        <w:spacing w:before="80" w:after="80"/>
      </w:pPr>
      <w:r>
        <w:rPr>
          <w:rFonts w:ascii="Calibri" w:hAnsi="Calibri" w:eastAsia="等线"/>
          <w:b/>
          <w:color w:val="C00000"/>
          <w:sz w:val="22"/>
          <w:highlight w:val="yellow"/>
        </w:rPr>
        <w:t>【截图 7：AI 调用记录页】</w:t>
      </w:r>
      <w:r>
        <w:rPr>
          <w:rFonts w:ascii="Calibri" w:hAnsi="Calibri" w:eastAsia="等线"/>
          <w:b w:val="0"/>
          <w:color w:val="595959"/>
          <w:sz w:val="18"/>
        </w:rPr>
        <w:t xml:space="preserve">　侧边栏「AI 调用记录」（/ai-api-calls），展示每次 AI 判定留痕</w:t>
      </w:r>
    </w:p>
    <w:p>
      <w:pPr>
        <w:spacing w:before="80" w:after="80"/>
      </w:pPr>
      <w:r>
        <w:rPr>
          <w:rFonts w:ascii="Calibri" w:hAnsi="Calibri" w:eastAsia="等线"/>
          <w:b/>
          <w:color w:val="C00000"/>
          <w:sz w:val="22"/>
          <w:highlight w:val="yellow"/>
        </w:rPr>
        <w:t>【截图 8（可选）：在线接口文档】</w:t>
      </w:r>
      <w:r>
        <w:rPr>
          <w:rFonts w:ascii="Calibri" w:hAnsi="Calibri" w:eastAsia="等线"/>
          <w:b w:val="0"/>
          <w:color w:val="595959"/>
          <w:sz w:val="18"/>
        </w:rPr>
        <w:t xml:space="preserve">　服务地址 /docs（Swagger），体现系统对外开放对接能力</w:t>
      </w:r>
    </w:p>
    <w:p>
      <w:pPr>
        <w:spacing w:before="240" w:after="120"/>
      </w:pPr>
      <w:r>
        <w:rPr>
          <w:rFonts w:ascii="Calibri" w:hAnsi="Calibri" w:eastAsia="等线"/>
          <w:b/>
          <w:color w:val="1F3B63"/>
          <w:sz w:val="28"/>
        </w:rPr>
        <w:t>七、运行成效</w:t>
      </w:r>
    </w:p>
    <w:p>
      <w:pPr>
        <w:spacing w:after="80"/>
        <w:ind w:firstLine="440"/>
      </w:pPr>
      <w:r>
        <w:rPr>
          <w:rFonts w:ascii="Calibri" w:hAnsi="Calibri" w:eastAsia="等线"/>
          <w:b w:val="0"/>
          <w:sz w:val="22"/>
        </w:rPr>
        <w:t>以下数据从生产环境统计后填入：</w:t>
      </w:r>
    </w:p>
    <w:p>
      <w:pPr>
        <w:pStyle w:val="ListBullet"/>
        <w:spacing w:after="60"/>
      </w:pPr>
      <w:r>
        <w:rPr>
          <w:rFonts w:ascii="Calibri" w:hAnsi="Calibri" w:eastAsia="等线"/>
          <w:b w:val="0"/>
          <w:sz w:val="22"/>
        </w:rPr>
        <w:t>累计检测：【数据：批次 __ 批 / 文件 __ 份】；</w:t>
      </w:r>
    </w:p>
    <w:p>
      <w:pPr>
        <w:pStyle w:val="ListBullet"/>
        <w:spacing w:after="60"/>
      </w:pPr>
      <w:r>
        <w:rPr>
          <w:rFonts w:ascii="Calibri" w:hAnsi="Calibri" w:eastAsia="等线"/>
          <w:b w:val="0"/>
          <w:sz w:val="22"/>
        </w:rPr>
        <w:t>总体结论分布：符合【数据：__%】、部分符合【数据：__%】、不符合【数据：__%】；</w:t>
      </w:r>
    </w:p>
    <w:p>
      <w:pPr>
        <w:pStyle w:val="ListBullet"/>
        <w:spacing w:after="60"/>
      </w:pPr>
      <w:r>
        <w:rPr>
          <w:rFonts w:ascii="Calibri" w:hAnsi="Calibri" w:eastAsia="等线"/>
          <w:b w:val="0"/>
          <w:sz w:val="22"/>
        </w:rPr>
        <w:t>历史结果复用率【数据：__%】，单批次平均耗时约【数据：__】分钟；</w:t>
      </w:r>
    </w:p>
    <w:p>
      <w:pPr>
        <w:pStyle w:val="ListBullet"/>
        <w:spacing w:after="60"/>
      </w:pPr>
      <w:r>
        <w:rPr>
          <w:rFonts w:ascii="Calibri" w:hAnsi="Calibri" w:eastAsia="等线"/>
          <w:b w:val="0"/>
          <w:sz w:val="22"/>
        </w:rPr>
        <w:t>内部自检 + PSD 反馈累计推动规则改进【数据：__】项。</w:t>
      </w:r>
    </w:p>
    <w:p>
      <w:pPr>
        <w:spacing w:before="80" w:after="80"/>
      </w:pPr>
      <w:r>
        <w:rPr>
          <w:rFonts w:ascii="Calibri" w:hAnsi="Calibri" w:eastAsia="等线"/>
          <w:b/>
          <w:color w:val="C00000"/>
          <w:sz w:val="22"/>
          <w:highlight w:val="yellow"/>
        </w:rPr>
        <w:t>【数据占位说明】</w:t>
      </w:r>
      <w:r>
        <w:rPr>
          <w:rFonts w:ascii="Calibri" w:hAnsi="Calibri" w:eastAsia="等线"/>
          <w:b w:val="0"/>
          <w:color w:val="595959"/>
          <w:sz w:val="18"/>
        </w:rPr>
        <w:t xml:space="preserve">　以上【数据：…】处请用生产库统计替换（批次数/文件数/结论分布/复用率/平均耗时）</w:t>
      </w:r>
    </w:p>
    <w:p>
      <w:pPr>
        <w:spacing w:before="240" w:after="120"/>
      </w:pPr>
      <w:r>
        <w:rPr>
          <w:rFonts w:ascii="Calibri" w:hAnsi="Calibri" w:eastAsia="等线"/>
          <w:b/>
          <w:color w:val="1F3B63"/>
          <w:sz w:val="28"/>
        </w:rPr>
        <w:t>八、后续规划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进展包滚动总报告：</w:t>
      </w:r>
      <w:r>
        <w:rPr>
          <w:rFonts w:ascii="Calibri" w:hAnsi="Calibri" w:eastAsia="等线"/>
          <w:b w:val="0"/>
          <w:sz w:val="22"/>
        </w:rPr>
        <w:t>同一客户同一进展多版本留痕，随材料补充自动更新总体结论；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多语言扩展：</w:t>
      </w:r>
      <w:r>
        <w:rPr>
          <w:rFonts w:ascii="Calibri" w:hAnsi="Calibri" w:eastAsia="等线"/>
          <w:b w:val="0"/>
          <w:sz w:val="22"/>
        </w:rPr>
        <w:t>适配土耳其语等小语种材料，拓展识别能力边界；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客户档案联动：</w:t>
      </w:r>
      <w:r>
        <w:rPr>
          <w:rFonts w:ascii="Calibri" w:hAnsi="Calibri" w:eastAsia="等线"/>
          <w:b w:val="0"/>
          <w:sz w:val="22"/>
        </w:rPr>
        <w:t>检测完成的识别文本自动沉淀为客户结构化档案（只补空字段、不覆盖人工数据）；</w:t>
      </w:r>
    </w:p>
    <w:p>
      <w:pPr>
        <w:pStyle w:val="ListBullet"/>
        <w:spacing w:after="60"/>
      </w:pPr>
      <w:r>
        <w:rPr>
          <w:rFonts w:ascii="Calibri" w:hAnsi="Calibri" w:eastAsia="等线"/>
          <w:b/>
          <w:sz w:val="22"/>
        </w:rPr>
        <w:t>自动回写：</w:t>
      </w:r>
      <w:r>
        <w:rPr>
          <w:rFonts w:ascii="Calibri" w:hAnsi="Calibri" w:eastAsia="等线"/>
          <w:b w:val="0"/>
          <w:sz w:val="22"/>
        </w:rPr>
        <w:t>检测结果自动回写业务系统，减少人工查询环节。</w:t>
      </w:r>
    </w:p>
    <w:p>
      <w:r>
        <w:br w:type="page"/>
      </w:r>
    </w:p>
    <w:p>
      <w:pPr>
        <w:spacing w:before="240" w:after="120"/>
      </w:pPr>
      <w:r>
        <w:rPr>
          <w:rFonts w:ascii="Calibri" w:hAnsi="Calibri" w:eastAsia="等线"/>
          <w:b/>
          <w:color w:val="1F3B63"/>
          <w:sz w:val="28"/>
        </w:rPr>
        <w:t>附录：截图清单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47"/>
          </w:tcPr>
          <w:p>
            <w:r/>
            <w:r>
              <w:rPr>
                <w:rFonts w:ascii="Calibri" w:hAnsi="Calibri" w:eastAsia="等线"/>
                <w:b/>
                <w:sz w:val="18"/>
              </w:rPr>
              <w:t>编号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/>
                <w:sz w:val="18"/>
              </w:rPr>
              <w:t>截图内容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等线"/>
                <w:b/>
                <w:sz w:val="18"/>
              </w:rPr>
              <w:t>截取位置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截图 1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业务审核提交页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系统首页「业务审核」tab（提交表单区域）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截图 2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批次结果页（单文件判定 + 总体报告）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提交后的批次结果轮询页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截图 3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管理后台-批次列表（含筛选区）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侧边栏「审核任务管理」（/archive-admin）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截图 4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批次详情弹窗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管理后台点任一批次「详情」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截图 5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单文件详情（判定理由 + 关键点）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批次详情弹窗中点某文件「详情」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截图 6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事件流页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侧边栏「事件流」（/events）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截图 7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AI 调用记录页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侧边栏「AI 调用记录」（/ai-api-calls）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截图 8（可选）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在线接口文档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等线"/>
                <w:b w:val="0"/>
                <w:sz w:val="18"/>
              </w:rPr>
              <w:t>服务地址 /docs（Swagger UI）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