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9FD069" w14:textId="77777777">
      <w:pPr>
        <w:pStyle w:val="836"/>
        <w:pBdr/>
        <w:spacing w:after="74" w:afterAutospacing="0" w:before="0" w:beforeAutospacing="0"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Natural Language Processing</w:t>
      </w:r>
      <w:r>
        <w:rPr>
          <w:rFonts w:ascii="IBM Plex Serif" w:hAnsi="IBM Plex Serif" w:eastAsia="IBM Plex Serif" w:cs="IBM Plex Serif"/>
          <w:sz w:val="40"/>
          <w:szCs w:val="40"/>
          <w:lang w:val="en-US"/>
        </w:rPr>
        <w:t xml:space="preserve"> (AI</w:t>
      </w:r>
      <w:r>
        <w:rPr>
          <w:rFonts w:ascii="IBM Plex Serif" w:hAnsi="IBM Plex Serif" w:eastAsia="IBM Plex Serif" w:cs="IBM Plex Serif"/>
          <w:sz w:val="40"/>
          <w:szCs w:val="40"/>
          <w:lang w:val="en-US"/>
        </w:rPr>
        <w:t xml:space="preserve">408</w:t>
      </w:r>
      <w:r>
        <w:rPr>
          <w:rFonts w:ascii="IBM Plex Serif" w:hAnsi="IBM Plex Serif" w:eastAsia="IBM Plex Serif" w:cs="IBM Plex Serif"/>
          <w:sz w:val="40"/>
          <w:szCs w:val="40"/>
          <w:lang w:val="en-US"/>
        </w:rPr>
        <w:t xml:space="preserve">DV01)</w:t>
      </w:r>
      <w:r>
        <w:rPr>
          <w:rFonts w:ascii="IBM Plex Serif" w:hAnsi="IBM Plex Serif" w:eastAsia="IBM Plex Serif" w:cs="IBM Plex Serif"/>
          <w:sz w:val="40"/>
          <w:szCs w:val="40"/>
          <w:lang w:val="en-US"/>
        </w:rPr>
      </w:r>
    </w:p>
    <w:p w14:paraId="7F048EEA" w14:textId="00863956">
      <w:pPr>
        <w:pStyle w:val="836"/>
        <w:pBdr/>
        <w:spacing w:after="74" w:afterAutospacing="0" w:before="0" w:beforeAutospacing="0"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Bài tập thực hành cá nhân</w:t>
      </w:r>
      <w:r>
        <w:rPr>
          <w:rFonts w:ascii="IBM Plex Serif" w:hAnsi="IBM Plex Serif" w:eastAsia="IBM Plex Serif" w:cs="IBM Plex Serif"/>
          <w:sz w:val="40"/>
          <w:szCs w:val="40"/>
          <w:lang w:val="en-US"/>
        </w:rPr>
        <w:t xml:space="preserve"> – Tuần 0</w:t>
      </w:r>
      <w:r>
        <w:rPr>
          <w:rFonts w:ascii="IBM Plex Serif" w:hAnsi="IBM Plex Serif" w:eastAsia="IBM Plex Serif" w:cs="IBM Plex Serif"/>
          <w:sz w:val="40"/>
          <w:szCs w:val="40"/>
          <w:lang w:val="en-US"/>
        </w:rPr>
        <w:t xml:space="preserve">2</w:t>
      </w:r>
      <w:r>
        <w:rPr>
          <w:rFonts w:ascii="IBM Plex Serif" w:hAnsi="IBM Plex Serif" w:eastAsia="IBM Plex Serif" w:cs="IBM Plex Serif"/>
          <w:sz w:val="40"/>
          <w:szCs w:val="40"/>
          <w:lang w:val="en-US"/>
        </w:rPr>
      </w:r>
    </w:p>
    <w:tbl>
      <w:tblPr>
        <w:tblStyle w:val="855"/>
        <w:tblW w:w="5000" w:type="pct"/>
        <w:tblBorders/>
        <w:tblLayout w:type="fixed"/>
        <w:tblLook w:val="04A0" w:firstRow="1" w:lastRow="0" w:firstColumn="1" w:lastColumn="0" w:noHBand="0" w:noVBand="1"/>
      </w:tblPr>
      <w:tblGrid>
        <w:gridCol w:w="2529"/>
        <w:gridCol w:w="6497"/>
      </w:tblGrid>
      <w:tr>
        <w:trPr/>
        <w:tc>
          <w:tcPr>
            <w:tcBorders/>
            <w:tcW w:w="2529" w:type="dxa"/>
          </w:tcPr>
          <w:p w14:paraId="5E82A682" w14:textId="12497A81">
            <w:pPr>
              <w:pBdr/>
              <w:spacing w:after="74" w:afterAutospacing="0" w:before="0" w:beforeAutospacing="0"/>
              <w:ind/>
              <w:jc w:val="left"/>
              <w:rPr>
                <w:rFonts w:ascii="IBM Plex Serif" w:hAnsi="IBM Plex Serif" w:cs="IBM Plex Serif"/>
                <w:b/>
                <w:bCs/>
              </w:rPr>
            </w:pPr>
            <w:r>
              <w:rPr>
                <w:rFonts w:ascii="IBM Plex Serif" w:hAnsi="IBM Plex Serif" w:eastAsia="IBM Plex Serif" w:cs="IBM Plex Serif"/>
                <w:b/>
                <w:bCs/>
              </w:rPr>
              <w:t xml:space="preserve">Name</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p>
        </w:tc>
        <w:tc>
          <w:tcPr>
            <w:tcBorders/>
            <w:tcW w:w="6497" w:type="dxa"/>
          </w:tcPr>
          <w:p w14:paraId="553ABCCD" w14:textId="77777777">
            <w:pPr>
              <w:pBdr/>
              <w:spacing w:after="74" w:afterAutospacing="0" w:before="0" w:beforeAutospacing="0"/>
              <w:ind/>
              <w:jc w:val="left"/>
              <w:rPr>
                <w:rFonts w:ascii="IBM Plex Serif" w:hAnsi="IBM Plex Serif" w:cs="IBM Plex Serif"/>
                <w:b w:val="0"/>
                <w:bCs w:val="0"/>
              </w:rPr>
            </w:pPr>
            <w:r>
              <w:rPr>
                <w:rFonts w:ascii="IBM Plex Serif" w:hAnsi="IBM Plex Serif" w:eastAsia="IBM Plex Serif" w:cs="IBM Plex Serif"/>
                <w:b w:val="0"/>
                <w:bCs w:val="0"/>
              </w:rPr>
              <w:t xml:space="preserve">Nguyễn </w:t>
            </w:r>
            <w:r>
              <w:rPr>
                <w:rFonts w:ascii="IBM Plex Serif" w:hAnsi="IBM Plex Serif" w:eastAsia="IBM Plex Serif" w:cs="IBM Plex Serif"/>
                <w:b w:val="0"/>
                <w:bCs w:val="0"/>
              </w:rPr>
              <w:t xml:space="preserve">Phúc </w:t>
            </w:r>
            <w:r>
              <w:rPr>
                <w:rFonts w:ascii="IBM Plex Serif" w:hAnsi="IBM Plex Serif" w:eastAsia="IBM Plex Serif" w:cs="IBM Plex Serif"/>
                <w:b w:val="0"/>
                <w:bCs w:val="0"/>
              </w:rPr>
              <w:t xml:space="preserve">Minh </w:t>
            </w:r>
            <w:r>
              <w:rPr>
                <w:rFonts w:ascii="IBM Plex Serif" w:hAnsi="IBM Plex Serif" w:eastAsia="IBM Plex Serif" w:cs="IBM Plex Serif"/>
                <w:b w:val="0"/>
                <w:bCs w:val="0"/>
              </w:rPr>
              <w:t xml:space="preserve">Châ</w:t>
            </w:r>
            <w:r>
              <w:rPr>
                <w:rFonts w:ascii="IBM Plex Serif" w:hAnsi="IBM Plex Serif" w:eastAsia="IBM Plex Serif" w:cs="IBM Plex Serif"/>
                <w:b w:val="0"/>
                <w:bCs w:val="0"/>
              </w:rPr>
              <w:t xml:space="preserve">u</w:t>
            </w:r>
            <w:r>
              <w:rPr>
                <w:rFonts w:ascii="IBM Plex Serif" w:hAnsi="IBM Plex Serif" w:eastAsia="IBM Plex Serif" w:cs="IBM Plex Serif"/>
                <w:b w:val="0"/>
                <w:bCs w:val="0"/>
              </w:rPr>
            </w:r>
            <w:r>
              <w:rPr>
                <w:rFonts w:ascii="IBM Plex Serif" w:hAnsi="IBM Plex Serif" w:cs="IBM Plex Serif"/>
                <w:b w:val="0"/>
                <w:bCs w:val="0"/>
              </w:rPr>
            </w:r>
          </w:p>
        </w:tc>
      </w:tr>
      <w:tr>
        <w:trPr/>
        <w:tc>
          <w:tcPr>
            <w:tcBorders/>
            <w:tcW w:w="2529" w:type="dxa"/>
          </w:tcPr>
          <w:p w14:paraId="016DA79B" w14:textId="4F26E68C">
            <w:pPr>
              <w:pBdr/>
              <w:spacing w:after="74" w:afterAutospacing="0" w:before="0" w:beforeAutospacing="0"/>
              <w:ind w:hanging="360" w:left="360"/>
              <w:jc w:val="left"/>
              <w:rPr>
                <w:rFonts w:ascii="IBM Plex Serif" w:hAnsi="IBM Plex Serif" w:cs="IBM Plex Serif"/>
                <w:b/>
                <w:bCs/>
              </w:rPr>
            </w:pPr>
            <w:r>
              <w:rPr>
                <w:rFonts w:ascii="IBM Plex Serif" w:hAnsi="IBM Plex Serif" w:eastAsia="IBM Plex Serif" w:cs="IBM Plex Serif"/>
                <w:b/>
                <w:bCs/>
              </w:rPr>
              <w:t xml:space="preserve">Student ID</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p>
        </w:tc>
        <w:tc>
          <w:tcPr>
            <w:tcBorders/>
            <w:tcW w:w="6497" w:type="dxa"/>
          </w:tcPr>
          <w:p w14:paraId="66C38587" w14:textId="77777777">
            <w:pPr>
              <w:pBdr/>
              <w:spacing w:after="74" w:afterAutospacing="0" w:before="0" w:beforeAutospacing="0"/>
              <w:ind/>
              <w:jc w:val="left"/>
              <w:rPr>
                <w:rFonts w:ascii="IBM Plex Serif" w:hAnsi="IBM Plex Serif" w:cs="IBM Plex Serif"/>
                <w:b w:val="0"/>
                <w:bCs w:val="0"/>
              </w:rPr>
            </w:pPr>
            <w:r>
              <w:rPr>
                <w:rFonts w:ascii="IBM Plex Serif" w:hAnsi="IBM Plex Serif" w:eastAsia="IBM Plex Serif" w:cs="IBM Plex Serif"/>
                <w:b w:val="0"/>
                <w:bCs w:val="0"/>
              </w:rPr>
              <w:t xml:space="preserve">22302421</w:t>
            </w:r>
            <w:r>
              <w:rPr>
                <w:rFonts w:ascii="IBM Plex Serif" w:hAnsi="IBM Plex Serif" w:eastAsia="IBM Plex Serif" w:cs="IBM Plex Serif"/>
                <w:b w:val="0"/>
                <w:bCs w:val="0"/>
              </w:rPr>
            </w:r>
            <w:r>
              <w:rPr>
                <w:rFonts w:ascii="IBM Plex Serif" w:hAnsi="IBM Plex Serif" w:eastAsia="IBM Plex Serif" w:cs="IBM Plex Serif"/>
                <w:b w:val="0"/>
                <w:bCs w:val="0"/>
              </w:rPr>
            </w:r>
          </w:p>
        </w:tc>
      </w:tr>
      <w:tr>
        <w:trPr>
          <w:trHeight w:val="347"/>
        </w:trPr>
        <w:tc>
          <w:tcPr>
            <w:tcBorders/>
            <w:tcW w:w="2529" w:type="dxa"/>
          </w:tcPr>
          <w:p w14:paraId="237AA542" w14:textId="68D78A2A">
            <w:pPr>
              <w:pBdr/>
              <w:spacing w:after="74" w:afterAutospacing="0" w:before="0" w:beforeAutospacing="0"/>
              <w:ind/>
              <w:jc w:val="left"/>
              <w:rPr>
                <w:rFonts w:ascii="IBM Plex Serif" w:hAnsi="IBM Plex Serif" w:cs="IBM Plex Serif"/>
                <w:b/>
                <w:bCs/>
              </w:rPr>
            </w:pPr>
            <w:r>
              <w:rPr>
                <w:rFonts w:ascii="IBM Plex Serif" w:hAnsi="IBM Plex Serif" w:eastAsia="IBM Plex Serif" w:cs="IBM Plex Serif"/>
                <w:b/>
                <w:bCs/>
              </w:rPr>
              <w:t xml:space="preserve">Deadline:</w:t>
            </w:r>
            <w:r>
              <w:rPr>
                <w:rFonts w:ascii="IBM Plex Serif" w:hAnsi="IBM Plex Serif" w:eastAsia="IBM Plex Serif" w:cs="IBM Plex Serif"/>
                <w:b/>
                <w:bCs/>
              </w:rPr>
            </w:r>
          </w:p>
        </w:tc>
        <w:tc>
          <w:tcPr>
            <w:tcBorders/>
            <w:tcW w:w="6497" w:type="dxa"/>
          </w:tcPr>
          <w:p w14:paraId="332287B4" w14:textId="71B31A49">
            <w:pPr>
              <w:pBdr/>
              <w:spacing w:after="74" w:afterAutospacing="0" w:before="0" w:beforeAutospacing="0"/>
              <w:ind/>
              <w:jc w:val="left"/>
              <w:rPr>
                <w:rFonts w:ascii="IBM Plex Serif" w:hAnsi="IBM Plex Serif" w:cs="IBM Plex Serif"/>
                <w:b w:val="0"/>
                <w:bCs w:val="0"/>
              </w:rPr>
            </w:pPr>
            <w:r>
              <w:rPr>
                <w:rFonts w:ascii="IBM Plex Serif" w:hAnsi="IBM Plex Serif" w:eastAsia="IBM Plex Serif" w:cs="IBM Plex Serif"/>
                <w:b w:val="0"/>
                <w:bCs w:val="0"/>
              </w:rPr>
              <w:t xml:space="preserve">23/</w:t>
            </w:r>
            <w:r>
              <w:rPr>
                <w:rFonts w:ascii="IBM Plex Serif" w:hAnsi="IBM Plex Serif" w:eastAsia="IBM Plex Serif" w:cs="IBM Plex Serif"/>
                <w:b w:val="0"/>
                <w:bCs w:val="0"/>
              </w:rPr>
              <w:t xml:space="preserve">03/</w:t>
            </w:r>
            <w:r>
              <w:rPr>
                <w:rFonts w:ascii="IBM Plex Serif" w:hAnsi="IBM Plex Serif" w:eastAsia="IBM Plex Serif" w:cs="IBM Plex Serif"/>
                <w:b w:val="0"/>
                <w:bCs w:val="0"/>
              </w:rPr>
              <w:t xml:space="preserve">2026 </w:t>
            </w:r>
            <w:r>
              <w:rPr>
                <w:rFonts w:ascii="IBM Plex Serif" w:hAnsi="IBM Plex Serif" w:eastAsia="IBM Plex Serif" w:cs="IBM Plex Serif"/>
                <w:b w:val="0"/>
                <w:bCs w:val="0"/>
                <w:lang w:val="en-US"/>
              </w:rPr>
              <w:t xml:space="preserve">- </w:t>
            </w:r>
            <w:r>
              <w:rPr>
                <w:rFonts w:ascii="IBM Plex Serif" w:hAnsi="IBM Plex Serif" w:eastAsia="IBM Plex Serif" w:cs="IBM Plex Serif"/>
                <w:b w:val="0"/>
                <w:bCs w:val="0"/>
                <w:lang w:val="en-US"/>
              </w:rPr>
              <w:t xml:space="preserve">3</w:t>
            </w:r>
            <w:r>
              <w:rPr>
                <w:rFonts w:ascii="IBM Plex Serif" w:hAnsi="IBM Plex Serif" w:eastAsia="IBM Plex Serif" w:cs="IBM Plex Serif"/>
                <w:b w:val="0"/>
                <w:bCs w:val="0"/>
                <w:lang w:val="en-US"/>
              </w:rPr>
              <w:t xml:space="preserve">0/</w:t>
            </w:r>
            <w:r>
              <w:rPr>
                <w:rFonts w:ascii="IBM Plex Serif" w:hAnsi="IBM Plex Serif" w:eastAsia="IBM Plex Serif" w:cs="IBM Plex Serif"/>
                <w:b w:val="0"/>
                <w:bCs w:val="0"/>
                <w:lang w:val="en-US"/>
              </w:rPr>
              <w:t xml:space="preserve">03/</w:t>
            </w:r>
            <w:r>
              <w:rPr>
                <w:rFonts w:ascii="IBM Plex Serif" w:hAnsi="IBM Plex Serif" w:eastAsia="IBM Plex Serif" w:cs="IBM Plex Serif"/>
                <w:b w:val="0"/>
                <w:bCs w:val="0"/>
                <w:lang w:val="en-US"/>
              </w:rPr>
              <w:t xml:space="preserve">2026</w:t>
            </w:r>
            <w:r>
              <w:rPr>
                <w:rFonts w:ascii="IBM Plex Serif" w:hAnsi="IBM Plex Serif" w:eastAsia="IBM Plex Serif" w:cs="IBM Plex Serif"/>
                <w:b w:val="0"/>
                <w:bCs w:val="0"/>
              </w:rPr>
            </w:r>
            <w:r>
              <w:rPr>
                <w:rFonts w:ascii="IBM Plex Serif" w:hAnsi="IBM Plex Serif" w:eastAsia="IBM Plex Serif" w:cs="IBM Plex Serif"/>
                <w:b w:val="0"/>
                <w:bCs w:val="0"/>
              </w:rPr>
            </w:r>
          </w:p>
        </w:tc>
      </w:tr>
      <w:tr>
        <w:trPr/>
        <w:tc>
          <w:tcPr>
            <w:tcBorders/>
            <w:tcW w:w="2529" w:type="dxa"/>
          </w:tcPr>
          <w:p w14:paraId="3E7B310C" w14:textId="34C08987">
            <w:pPr>
              <w:pBdr/>
              <w:spacing w:after="74" w:afterAutospacing="0" w:before="0" w:beforeAutospacing="0"/>
              <w:ind/>
              <w:jc w:val="left"/>
              <w:rPr>
                <w:rFonts w:ascii="IBM Plex Serif" w:hAnsi="IBM Plex Serif" w:cs="IBM Plex Serif"/>
                <w:b/>
                <w:bCs/>
              </w:rPr>
            </w:pPr>
            <w:r>
              <w:rPr>
                <w:rFonts w:ascii="IBM Plex Serif" w:hAnsi="IBM Plex Serif" w:eastAsia="IBM Plex Serif" w:cs="IBM Plex Serif"/>
                <w:b/>
                <w:bCs/>
              </w:rPr>
              <w:t xml:space="preserve">File name format:</w:t>
            </w:r>
            <w:r>
              <w:rPr>
                <w:rFonts w:ascii="IBM Plex Serif" w:hAnsi="IBM Plex Serif" w:eastAsia="IBM Plex Serif" w:cs="IBM Plex Serif"/>
                <w:b/>
                <w:bCs/>
              </w:rPr>
            </w:r>
          </w:p>
        </w:tc>
        <w:tc>
          <w:tcPr>
            <w:tcBorders/>
            <w:tcW w:w="6497" w:type="dxa"/>
          </w:tcPr>
          <w:p w14:paraId="171563D7" w14:textId="7EDE43D9">
            <w:pPr>
              <w:pBdr/>
              <w:spacing w:after="74" w:afterAutospacing="0" w:before="0" w:beforeAutospacing="0"/>
              <w:ind/>
              <w:jc w:val="left"/>
              <w:rPr>
                <w:rFonts w:ascii="IBM Plex Serif" w:hAnsi="IBM Plex Serif" w:cs="IBM Plex Serif"/>
                <w:b/>
                <w:bCs/>
              </w:rPr>
            </w:pPr>
            <w:r>
              <w:rPr>
                <w:rFonts w:ascii="IBM Plex Serif" w:hAnsi="IBM Plex Serif" w:eastAsia="IBM Plex Serif" w:cs="IBM Plex Serif"/>
              </w:rPr>
              <w:t xml:space="preserve">A</w:t>
            </w:r>
            <w:r>
              <w:rPr>
                <w:rFonts w:ascii="IBM Plex Serif" w:hAnsi="IBM Plex Serif" w:eastAsia="IBM Plex Serif" w:cs="IBM Plex Serif"/>
                <w:lang w:val="en-US"/>
              </w:rPr>
              <w:t xml:space="preserve">I301DV01</w:t>
            </w:r>
            <w:r>
              <w:rPr>
                <w:rFonts w:ascii="IBM Plex Serif" w:hAnsi="IBM Plex Serif" w:eastAsia="IBM Plex Serif" w:cs="IBM Plex Serif"/>
                <w:lang w:val="en-US"/>
              </w:rPr>
              <w:t xml:space="preserve">-</w:t>
            </w:r>
            <w:r>
              <w:rPr>
                <w:rFonts w:ascii="IBM Plex Serif" w:hAnsi="IBM Plex Serif" w:eastAsia="IBM Plex Serif" w:cs="IBM Plex Serif"/>
              </w:rPr>
              <w:t xml:space="preserve">Lab-</w:t>
            </w:r>
            <w:r>
              <w:rPr>
                <w:rFonts w:ascii="IBM Plex Serif" w:hAnsi="IBM Plex Serif" w:eastAsia="IBM Plex Serif" w:cs="IBM Plex Serif"/>
              </w:rPr>
              <w:t xml:space="preserve">02</w:t>
            </w:r>
            <w:r>
              <w:rPr>
                <w:rFonts w:ascii="IBM Plex Serif" w:hAnsi="IBM Plex Serif" w:eastAsia="IBM Plex Serif" w:cs="IBM Plex Serif"/>
              </w:rPr>
              <w:t xml:space="preserve">-</w:t>
            </w:r>
            <w:r>
              <w:rPr>
                <w:rFonts w:ascii="IBM Plex Serif" w:hAnsi="IBM Plex Serif" w:eastAsia="IBM Plex Serif" w:cs="IBM Plex Serif"/>
              </w:rPr>
              <w:t xml:space="preserve">22302421</w:t>
            </w:r>
            <w:r>
              <w:rPr>
                <w:rFonts w:ascii="IBM Plex Serif" w:hAnsi="IBM Plex Serif" w:eastAsia="IBM Plex Serif" w:cs="IBM Plex Serif"/>
              </w:rPr>
              <w:t xml:space="preserve">.pdf</w:t>
            </w:r>
            <w:r>
              <w:rPr>
                <w:rFonts w:ascii="IBM Plex Serif" w:hAnsi="IBM Plex Serif" w:eastAsia="IBM Plex Serif" w:cs="IBM Plex Serif"/>
                <w:b/>
                <w:bCs/>
              </w:rPr>
            </w:r>
          </w:p>
        </w:tc>
      </w:tr>
    </w:tbl>
    <w:p w14:paraId="27E20FB6" w14:textId="4D364DDD">
      <w:pPr>
        <w:pStyle w:val="811"/>
        <w:pBdr/>
        <w:spacing w:after="74" w:afterAutospacing="0" w:before="0" w:beforeAutospacing="0"/>
        <w:ind/>
        <w:jc w:val="left"/>
        <w:rPr>
          <w:rFonts w:ascii="IBM Plex Serif" w:hAnsi="IBM Plex Serif" w:cs="IBM Plex Serif"/>
        </w:rPr>
      </w:pPr>
      <w:r>
        <w:rPr>
          <w:rFonts w:ascii="IBM Plex Serif" w:hAnsi="IBM Plex Serif" w:eastAsia="IBM Plex Serif" w:cs="IBM Plex Serif"/>
          <w:lang w:val="en-US"/>
        </w:rPr>
        <w:t xml:space="preserve">Chuẩn bị</w:t>
      </w:r>
      <w:r>
        <w:rPr>
          <w:rFonts w:ascii="IBM Plex Serif" w:hAnsi="IBM Plex Serif" w:eastAsia="IBM Plex Serif" w:cs="IBM Plex Serif"/>
          <w:lang w:val="en-US"/>
        </w:rPr>
      </w:r>
    </w:p>
    <w:p w14:paraId="3755FBFD" w14:textId="56E3558C">
      <w:pPr>
        <w:pStyle w:val="841"/>
        <w:numPr>
          <w:ilvl w:val="0"/>
          <w:numId w:val="4"/>
        </w:numPr>
        <w:pBdr/>
        <w:spacing w:after="74" w:afterAutospacing="0" w:before="0" w:beforeAutospacing="0"/>
        <w:ind/>
        <w:jc w:val="left"/>
        <w:rPr>
          <w:rFonts w:ascii="IBM Plex Serif" w:hAnsi="IBM Plex Serif" w:cs="IBM Plex Serif"/>
        </w:rPr>
      </w:pPr>
      <w:r>
        <w:rPr>
          <w:rFonts w:ascii="IBM Plex Serif" w:hAnsi="IBM Plex Serif" w:eastAsia="IBM Plex Serif" w:cs="IBM Plex Serif"/>
          <w:lang w:val="en-US"/>
        </w:rPr>
        <w:t xml:space="preserve">Đọc kỹ slide bài giảng</w:t>
      </w:r>
      <w:r>
        <w:rPr>
          <w:rFonts w:ascii="IBM Plex Serif" w:hAnsi="IBM Plex Serif" w:eastAsia="IBM Plex Serif" w:cs="IBM Plex Serif"/>
          <w:lang w:val="en-US"/>
        </w:rPr>
        <w:t xml:space="preserve"> </w:t>
      </w:r>
      <w:r>
        <w:rPr>
          <w:rFonts w:ascii="IBM Plex Serif" w:hAnsi="IBM Plex Serif" w:eastAsia="IBM Plex Serif" w:cs="IBM Plex Serif"/>
          <w:b/>
          <w:lang w:val="en-US"/>
        </w:rPr>
        <w:t xml:space="preserve">Word Tokenization</w:t>
      </w:r>
      <w:r>
        <w:rPr>
          <w:rFonts w:ascii="IBM Plex Serif" w:hAnsi="IBM Plex Serif" w:eastAsia="IBM Plex Serif" w:cs="IBM Plex Serif"/>
          <w:lang w:val="en-US"/>
        </w:rPr>
      </w:r>
    </w:p>
    <w:p w14:paraId="24F697C1" w14:textId="3EE02F68">
      <w:pPr>
        <w:pStyle w:val="841"/>
        <w:numPr>
          <w:ilvl w:val="0"/>
          <w:numId w:val="4"/>
        </w:numPr>
        <w:pBdr/>
        <w:spacing w:after="74" w:afterAutospacing="0" w:before="0" w:beforeAutospacing="0" w:line="240" w:lineRule="auto"/>
        <w:ind/>
        <w:jc w:val="left"/>
        <w:rPr>
          <w:rFonts w:ascii="IBM Plex Serif" w:hAnsi="IBM Plex Serif" w:cs="IBM Plex Serif"/>
        </w:rPr>
      </w:pPr>
      <w:r>
        <w:rPr>
          <w:rFonts w:ascii="IBM Plex Serif" w:hAnsi="IBM Plex Serif" w:eastAsia="IBM Plex Serif" w:cs="IBM Plex Serif"/>
          <w:color w:val="034ea2"/>
          <w:szCs w:val="24"/>
          <w:lang w:val="en-US" w:eastAsia="en-US"/>
        </w:rPr>
        <w:t xml:space="preserve">[1] </w:t>
      </w:r>
      <w:r>
        <w:rPr>
          <w:rFonts w:ascii="IBM Plex Serif" w:hAnsi="IBM Plex Serif" w:eastAsia="IBM Plex Serif" w:cs="IBM Plex Serif"/>
          <w:color w:val="c00000"/>
          <w:szCs w:val="24"/>
          <w:lang w:val="en-US" w:eastAsia="en-US"/>
        </w:rPr>
        <w:t xml:space="preserve">Chapter 2</w:t>
      </w:r>
      <w:r>
        <w:rPr>
          <w:rFonts w:ascii="IBM Plex Serif" w:hAnsi="IBM Plex Serif" w:eastAsia="IBM Plex Serif" w:cs="IBM Plex Serif"/>
          <w:color w:val="034ea2"/>
          <w:szCs w:val="24"/>
          <w:lang w:val="en-US" w:eastAsia="en-US"/>
        </w:rPr>
        <w:t xml:space="preserve">. Dan Jurafsky and James H. Martin, </w:t>
      </w:r>
      <w:r>
        <w:rPr>
          <w:rFonts w:ascii="IBM Plex Serif" w:hAnsi="IBM Plex Serif" w:eastAsia="IBM Plex Serif" w:cs="IBM Plex Serif"/>
          <w:i/>
          <w:iCs/>
          <w:color w:val="c00000"/>
          <w:szCs w:val="24"/>
          <w:lang w:val="en-US" w:eastAsia="en-US"/>
        </w:rPr>
        <w:t xml:space="preserve">Speech and Language Processing</w:t>
      </w:r>
      <w:r>
        <w:rPr>
          <w:rFonts w:ascii="IBM Plex Serif" w:hAnsi="IBM Plex Serif" w:eastAsia="IBM Plex Serif" w:cs="IBM Plex Serif"/>
          <w:color w:val="c00000"/>
          <w:szCs w:val="24"/>
          <w:lang w:val="en-US" w:eastAsia="en-US"/>
        </w:rPr>
        <w:t xml:space="preserve">, 3rd ed</w:t>
      </w:r>
      <w:r>
        <w:rPr>
          <w:rFonts w:ascii="IBM Plex Serif" w:hAnsi="IBM Plex Serif" w:eastAsia="IBM Plex Serif" w:cs="IBM Plex Serif"/>
          <w:color w:val="034ea2"/>
          <w:szCs w:val="24"/>
          <w:lang w:val="en-US" w:eastAsia="en-US"/>
        </w:rPr>
        <w:t xml:space="preserve">. Pearson, 2026.</w:t>
      </w:r>
      <w:r>
        <w:rPr>
          <w:rFonts w:ascii="IBM Plex Serif" w:hAnsi="IBM Plex Serif" w:eastAsia="IBM Plex Serif" w:cs="IBM Plex Serif"/>
          <w:lang w:val="en-US"/>
        </w:rPr>
      </w:r>
    </w:p>
    <w:p w14:paraId="0C185A0E" w14:textId="0ADB0D35">
      <w:pPr>
        <w:pStyle w:val="841"/>
        <w:numPr>
          <w:ilvl w:val="0"/>
          <w:numId w:val="4"/>
        </w:numPr>
        <w:pBdr/>
        <w:spacing w:after="74" w:afterAutospacing="0" w:before="0" w:beforeAutospacing="0" w:line="240" w:lineRule="auto"/>
        <w:ind/>
        <w:jc w:val="left"/>
        <w:rPr>
          <w:rFonts w:ascii="IBM Plex Serif" w:hAnsi="IBM Plex Serif" w:cs="IBM Plex Serif"/>
        </w:rPr>
      </w:pPr>
      <w:r>
        <w:rPr>
          <w:rFonts w:ascii="IBM Plex Serif" w:hAnsi="IBM Plex Serif" w:eastAsia="IBM Plex Serif" w:cs="IBM Plex Serif"/>
          <w:color w:val="034ea2"/>
          <w:szCs w:val="24"/>
          <w:lang w:val="en-US" w:eastAsia="en-US"/>
        </w:rPr>
        <w:t xml:space="preserve">[3] </w:t>
      </w:r>
      <w:r>
        <w:rPr>
          <w:rFonts w:ascii="IBM Plex Serif" w:hAnsi="IBM Plex Serif" w:eastAsia="IBM Plex Serif" w:cs="IBM Plex Serif"/>
          <w:color w:val="c00000"/>
          <w:szCs w:val="24"/>
          <w:lang w:val="en-US" w:eastAsia="en-US"/>
        </w:rPr>
        <w:t xml:space="preserve">Chapter 2</w:t>
      </w:r>
      <w:r>
        <w:rPr>
          <w:rFonts w:ascii="IBM Plex Serif" w:hAnsi="IBM Plex Serif" w:eastAsia="IBM Plex Serif" w:cs="IBM Plex Serif"/>
          <w:color w:val="034ea2"/>
          <w:szCs w:val="24"/>
          <w:lang w:val="en-US" w:eastAsia="en-US"/>
        </w:rPr>
        <w:t xml:space="preserve">. Jay Alammar and Maarten Grootendorst, </w:t>
      </w:r>
      <w:r>
        <w:rPr>
          <w:rFonts w:ascii="IBM Plex Serif" w:hAnsi="IBM Plex Serif" w:eastAsia="IBM Plex Serif" w:cs="IBM Plex Serif"/>
          <w:i/>
          <w:iCs/>
          <w:color w:val="c00000"/>
          <w:szCs w:val="24"/>
          <w:lang w:val="en-US" w:eastAsia="en-US"/>
        </w:rPr>
        <w:t xml:space="preserve">Hands-On Large Language Models</w:t>
      </w:r>
      <w:r>
        <w:rPr>
          <w:rFonts w:ascii="IBM Plex Serif" w:hAnsi="IBM Plex Serif" w:eastAsia="IBM Plex Serif" w:cs="IBM Plex Serif"/>
          <w:color w:val="034ea2"/>
          <w:szCs w:val="24"/>
          <w:lang w:val="en-US" w:eastAsia="en-US"/>
        </w:rPr>
        <w:t xml:space="preserve">. O’Reilly, 2024.</w:t>
      </w:r>
      <w:r>
        <w:rPr>
          <w:rFonts w:ascii="IBM Plex Serif" w:hAnsi="IBM Plex Serif" w:eastAsia="IBM Plex Serif" w:cs="IBM Plex Serif"/>
          <w:lang w:val="en-US"/>
        </w:rPr>
      </w:r>
    </w:p>
    <w:p w14:paraId="1536F717" w14:textId="3942A1CE">
      <w:pPr>
        <w:pStyle w:val="811"/>
        <w:pBdr/>
        <w:spacing w:after="74" w:afterAutospacing="0" w:before="0" w:beforeAutospacing="0"/>
        <w:ind/>
        <w:jc w:val="left"/>
        <w:rPr>
          <w:rFonts w:ascii="IBM Plex Serif" w:hAnsi="IBM Plex Serif" w:cs="IBM Plex Serif"/>
        </w:rPr>
      </w:pPr>
      <w:r>
        <w:rPr>
          <w:rFonts w:ascii="IBM Plex Serif" w:hAnsi="IBM Plex Serif" w:eastAsia="IBM Plex Serif" w:cs="IBM Plex Serif"/>
          <w:lang w:val="en-US"/>
        </w:rPr>
        <w:t xml:space="preserve">Câu hỏi lý thuyế</w:t>
      </w:r>
      <w:r>
        <w:rPr>
          <w:rFonts w:ascii="IBM Plex Serif" w:hAnsi="IBM Plex Serif" w:eastAsia="IBM Plex Serif" w:cs="IBM Plex Serif"/>
          <w:lang w:val="en-US"/>
        </w:rPr>
        <w:t xml:space="preserve">t</w:t>
      </w:r>
      <w:r>
        <w:rPr>
          <w:rFonts w:ascii="IBM Plex Serif" w:hAnsi="IBM Plex Serif" w:eastAsia="IBM Plex Serif" w:cs="IBM Plex Serif"/>
          <w:lang w:val="en-US"/>
        </w:rPr>
      </w:r>
    </w:p>
    <w:p w14:paraId="4C462B42" w14:textId="77777777">
      <w:pPr>
        <w:pStyle w:val="825"/>
        <w:pBdr/>
        <w:spacing w:after="74" w:afterAutospacing="0" w:before="0" w:beforeAutospacing="0"/>
        <w:ind/>
        <w:jc w:val="left"/>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p>
    <w:p w14:paraId="2F3239D7" w14:textId="7D1B77F9">
      <w:pPr>
        <w:pBdr/>
        <w:spacing w:after="74" w:afterAutospacing="0" w:before="0" w:beforeAutospacing="0"/>
        <w:ind w:firstLine="720"/>
        <w:jc w:val="left"/>
        <w:rPr>
          <w:rFonts w:ascii="IBM Plex Serif" w:hAnsi="IBM Plex Serif" w:eastAsia="IBM Plex Serif" w:cs="IBM Plex Serif"/>
          <w:highlight w:val="none"/>
          <w:lang w:val="en-US"/>
        </w:rPr>
      </w:pPr>
      <w:r>
        <w:rPr>
          <w:rFonts w:ascii="IBM Plex Serif" w:hAnsi="IBM Plex Serif" w:eastAsia="IBM Plex Serif" w:cs="IBM Plex Serif"/>
          <w:lang w:val="en-US"/>
        </w:rPr>
        <w:t xml:space="preserve">Tại sao phương pháp phân đoạn thành "token con" (subword tokens) lại có ưu điểm hơn so với phân đoạn theo "từ" (word tokens) hoặc "ký tự" (character tokens)</w:t>
      </w:r>
      <w:r>
        <w:rPr>
          <w:rFonts w:ascii="IBM Plex Serif" w:hAnsi="IBM Plex Serif" w:eastAsia="IBM Plex Serif" w:cs="IBM Plex Serif"/>
          <w:lang w:val="en-US"/>
        </w:rPr>
        <w:t xml:space="preserve">?</w:t>
      </w:r>
      <w:r>
        <w:rPr>
          <w:rFonts w:ascii="IBM Plex Serif" w:hAnsi="IBM Plex Serif" w:eastAsia="IBM Plex Serif" w:cs="IBM Plex Serif"/>
          <w:highlight w:val="none"/>
          <w:lang w:val="en-US"/>
        </w:rPr>
      </w:r>
    </w:p>
    <w:p w14:paraId="687C6F4D">
      <w:pPr>
        <w:pBdr/>
        <w:spacing w:after="74" w:afterAutospacing="0" w:before="0" w:beforeAutospacing="0"/>
        <w:ind w:firstLine="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r>
    </w:p>
    <w:p w14:paraId="0C115393">
      <w:pPr>
        <w:pBdr/>
        <w:spacing w:after="74" w:afterAutospacing="0" w:before="0" w:beforeAutospacing="0"/>
        <w:ind w:firstLine="720"/>
        <w:jc w:val="left"/>
        <w:rPr/>
      </w:pPr>
      <w:r>
        <w:rPr>
          <w:rFonts w:ascii="IBM Plex Serif" w:hAnsi="IBM Plex Serif" w:eastAsia="IBM Plex Serif" w:cs="IBM Plex Serif"/>
          <w:highlight w:val="none"/>
          <w:lang w:val="en-US"/>
        </w:rPr>
        <w:t xml:space="preserve">Phương pháp phân đoạn thành </w:t>
      </w:r>
      <w:r>
        <w:rPr>
          <w:rFonts w:ascii="IBM Plex Serif" w:hAnsi="IBM Plex Serif" w:eastAsia="IBM Plex Serif" w:cs="IBM Plex Serif"/>
          <w:b/>
          <w:bCs/>
          <w:highlight w:val="none"/>
          <w:lang w:val="en-US"/>
        </w:rPr>
        <w:t xml:space="preserve">token con (subword tokens)</w:t>
      </w:r>
      <w:r>
        <w:rPr>
          <w:rFonts w:ascii="IBM Plex Serif" w:hAnsi="IBM Plex Serif" w:eastAsia="IBM Plex Serif" w:cs="IBM Plex Serif"/>
          <w:highlight w:val="none"/>
          <w:lang w:val="en-US"/>
        </w:rPr>
        <w:t xml:space="preserve"> được coi là giải pháp tối ưu và cân bằng giữa phân đoạn theo từ và theo ký tự trong các mô hình ngôn ngữ hiện đại vì những lý do sau</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69905F50">
      <w:pPr>
        <w:pStyle w:val="841"/>
        <w:numPr>
          <w:ilvl w:val="0"/>
          <w:numId w:val="23"/>
        </w:numPr>
        <w:pBdr/>
        <w:spacing w:after="74" w:afterAutospacing="0" w:before="0" w:beforeAutospacing="0"/>
        <w:ind/>
        <w:jc w:val="left"/>
        <w:rPr>
          <w:rFonts w:ascii="IBM Plex Serif" w:hAnsi="IBM Plex Serif" w:eastAsia="IBM Plex Serif" w:cs="IBM Plex Serif"/>
          <w:b/>
          <w:bCs/>
          <w:highlight w:val="none"/>
        </w:rPr>
      </w:pPr>
      <w:r>
        <w:rPr>
          <w:rFonts w:ascii="IBM Plex Serif" w:hAnsi="IBM Plex Serif" w:eastAsia="IBM Plex Serif" w:cs="IBM Plex Serif"/>
          <w:b/>
          <w:bCs/>
          <w:highlight w:val="none"/>
          <w:lang w:val="en-US"/>
        </w:rPr>
        <w:t xml:space="preserve">Ưu điểm so với phân đoạn theo từ (Word tokens)</w:t>
      </w:r>
      <w:r>
        <w:rPr>
          <w:rFonts w:ascii="IBM Plex Serif" w:hAnsi="IBM Plex Serif" w:eastAsia="IBM Plex Serif" w:cs="IBM Plex Serif"/>
          <w:b/>
          <w:bCs/>
          <w:highlight w:val="none"/>
          <w:lang w:val="en-US"/>
        </w:rPr>
      </w:r>
    </w:p>
    <w:p w14:paraId="1DCD4D25">
      <w:pPr>
        <w:pStyle w:val="841"/>
        <w:numPr>
          <w:ilvl w:val="1"/>
          <w:numId w:val="35"/>
        </w:numPr>
        <w:pBdr/>
        <w:spacing w:after="74" w:afterAutospacing="0" w:before="0" w:beforeAutospacing="0"/>
        <w:ind/>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Giải quyết vấn đề từ lạ (Out-of-Vocabulary - OOV):</w:t>
      </w:r>
      <w:r>
        <w:rPr>
          <w:rFonts w:ascii="IBM Plex Serif" w:hAnsi="IBM Plex Serif" w:eastAsia="IBM Plex Serif" w:cs="IBM Plex Serif"/>
          <w:highlight w:val="none"/>
          <w:lang w:val="en-US"/>
        </w:rPr>
        <w:t xml:space="preserve"> </w:t>
        <w:br/>
        <w:tab/>
        <w:t xml:space="preserve">Nhược điểm lớn nhất của phân đoạn theo từ</w:t>
      </w:r>
      <w:r>
        <w:rPr>
          <w:rFonts w:ascii="IBM Plex Serif" w:hAnsi="IBM Plex Serif" w:eastAsia="IBM Plex Serif" w:cs="IBM Plex Serif"/>
          <w:highlight w:val="none"/>
          <w:lang w:val="en-US"/>
        </w:rPr>
        <w:t xml:space="preserve"> l</w:t>
      </w:r>
      <w:r>
        <w:rPr>
          <w:rFonts w:ascii="IBM Plex Serif" w:hAnsi="IBM Plex Serif" w:eastAsia="IBM Plex Serif" w:cs="IBM Plex Serif"/>
          <w:highlight w:val="none"/>
          <w:lang w:val="en-US"/>
        </w:rPr>
        <w:t xml:space="preserve">à</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t xml:space="preserve">c</w:t>
      </w:r>
      <w:r>
        <w:rPr>
          <w:rFonts w:ascii="IBM Plex Serif" w:hAnsi="IBM Plex Serif" w:eastAsia="IBM Plex Serif" w:cs="IBM Plex Serif"/>
          <w:highlight w:val="none"/>
          <w:lang w:val="en-US"/>
        </w:rPr>
        <w:t xml:space="preserve">ác mô hình dựa trên từ không thể xử lý những từ mới không xuất hiện trong tập huấn luyện, </w:t>
      </w:r>
      <w:r>
        <w:rPr>
          <w:rFonts w:ascii="IBM Plex Serif" w:hAnsi="IBM Plex Serif" w:eastAsia="IBM Plex Serif" w:cs="IBM Plex Serif"/>
          <w:highlight w:val="none"/>
          <w:lang w:val="en-US"/>
        </w:rPr>
        <w:t xml:space="preserve">m</w:t>
      </w:r>
      <w:r>
        <w:rPr>
          <w:rFonts w:ascii="IBM Plex Serif" w:hAnsi="IBM Plex Serif" w:eastAsia="IBM Plex Serif" w:cs="IBM Plex Serif"/>
          <w:highlight w:val="none"/>
          <w:lang w:val="en-US"/>
        </w:rPr>
        <w:t xml:space="preserve">à thường phải thay thế chúng bằng token đặc biệt </w:t>
      </w:r>
      <w:r>
        <w:rPr>
          <w:rFonts w:ascii="IBM Plex Serif" w:hAnsi="IBM Plex Serif" w:eastAsia="IBM Plex Serif" w:cs="IBM Plex Serif"/>
          <w:highlight w:val="lightGray"/>
          <w:lang w:val="en-US"/>
        </w:rPr>
        <w:t xml:space="preserve">&lt;UNK&gt;</w:t>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t xml:space="preserve">T</w:t>
      </w:r>
      <w:r>
        <w:rPr>
          <w:rFonts w:ascii="IBM Plex Serif" w:hAnsi="IBM Plex Serif" w:eastAsia="IBM Plex Serif" w:cs="IBM Plex Serif"/>
          <w:highlight w:val="none"/>
          <w:lang w:val="en-US"/>
        </w:rPr>
        <w:t xml:space="preserve">oken con giải quyết điều này bằng cách chia các từ lạ thành các mảnh nhỏ hơn đã tồn tại trong từ vựng (</w:t>
      </w:r>
      <w:r>
        <w:rPr>
          <w:rFonts w:ascii="IBM Plex Serif" w:hAnsi="IBM Plex Serif" w:eastAsia="IBM Plex Serif" w:cs="IBM Plex Serif"/>
          <w:b/>
          <w:bCs/>
          <w:highlight w:val="none"/>
          <w:lang w:val="en-US"/>
        </w:rPr>
        <w:t xml:space="preserve">ví dụ: </w:t>
      </w:r>
      <w:r>
        <w:rPr>
          <w:rFonts w:ascii="IBM Plex Serif" w:hAnsi="IBM Plex Serif" w:eastAsia="IBM Plex Serif" w:cs="IBM Plex Serif"/>
          <w:b/>
          <w:bCs/>
          <w:i/>
          <w:iCs/>
          <w:highlight w:val="none"/>
          <w:lang w:val="en-US"/>
        </w:rPr>
        <w:t xml:space="preserve">"lower"</w:t>
      </w:r>
      <w:r>
        <w:rPr>
          <w:rFonts w:ascii="IBM Plex Serif" w:hAnsi="IBM Plex Serif" w:eastAsia="IBM Plex Serif" w:cs="IBM Plex Serif"/>
          <w:highlight w:val="none"/>
          <w:lang w:val="en-US"/>
        </w:rPr>
        <w:t xml:space="preserve"> có thể được tách thành </w:t>
      </w:r>
      <w:r>
        <w:rPr>
          <w:rFonts w:ascii="IBM Plex Serif" w:hAnsi="IBM Plex Serif" w:eastAsia="IBM Plex Serif" w:cs="IBM Plex Serif"/>
          <w:b/>
          <w:bCs/>
          <w:i/>
          <w:iCs/>
          <w:highlight w:val="none"/>
          <w:lang w:val="en-US"/>
        </w:rPr>
        <w:t xml:space="preserve">"low"</w:t>
      </w:r>
      <w:r>
        <w:rPr>
          <w:rFonts w:ascii="IBM Plex Serif" w:hAnsi="IBM Plex Serif" w:eastAsia="IBM Plex Serif" w:cs="IBM Plex Serif"/>
          <w:highlight w:val="none"/>
          <w:lang w:val="en-US"/>
        </w:rPr>
        <w:t xml:space="preserve"> và </w:t>
      </w:r>
      <w:r>
        <w:rPr>
          <w:rFonts w:ascii="IBM Plex Serif" w:hAnsi="IBM Plex Serif" w:eastAsia="IBM Plex Serif" w:cs="IBM Plex Serif"/>
          <w:b/>
          <w:bCs/>
          <w:i/>
          <w:iCs/>
          <w:highlight w:val="none"/>
          <w:lang w:val="en-US"/>
        </w:rPr>
        <w:t xml:space="preserve">"er"</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40B7608A">
      <w:pPr>
        <w:pStyle w:val="841"/>
        <w:numPr>
          <w:ilvl w:val="1"/>
          <w:numId w:val="35"/>
        </w:numPr>
        <w:pBdr/>
        <w:spacing w:after="74" w:afterAutospacing="0" w:before="0" w:beforeAutospacing="0"/>
        <w:ind/>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u w:val="none"/>
          <w:lang w:val="en-US"/>
        </w:rPr>
        <w:t xml:space="preserve">Giảm </w:t>
      </w:r>
      <w:r>
        <w:rPr>
          <w:rFonts w:ascii="IBM Plex Serif" w:hAnsi="IBM Plex Serif" w:eastAsia="IBM Plex Serif" w:cs="IBM Plex Serif"/>
          <w:b/>
          <w:bCs/>
          <w:highlight w:val="none"/>
          <w:lang w:val="en-US"/>
        </w:rPr>
        <w:t xml:space="preserve">sự dư thừa và tăng tính biểu đạt của từ vựng: </w:t>
        <w:br/>
        <w:tab/>
      </w:r>
      <w:r>
        <w:rPr>
          <w:rFonts w:ascii="IBM Plex Serif" w:hAnsi="IBM Plex Serif" w:eastAsia="IBM Plex Serif" w:cs="IBM Plex Serif"/>
          <w:highlight w:val="none"/>
          <w:lang w:val="en-US"/>
        </w:rPr>
        <w:t xml:space="preserve">Phân đoạn theo từ dẫn đến việc từ vựng </w:t>
      </w:r>
      <w:r>
        <w:rPr>
          <w:rFonts w:ascii="IBM Plex Serif" w:hAnsi="IBM Plex Serif" w:eastAsia="IBM Plex Serif" w:cs="IBM Plex Serif"/>
          <w:b w:val="0"/>
          <w:bCs w:val="0"/>
          <w:i w:val="0"/>
          <w:iCs w:val="0"/>
          <w:highlight w:val="none"/>
          <w:lang w:val="en-US"/>
        </w:rPr>
        <w:t xml:space="preserve">chứa nhiều từ có gốc giống nhau nhưng hậu tố khác nhau</w:t>
      </w:r>
      <w:r>
        <w:rPr>
          <w:rFonts w:ascii="IBM Plex Serif" w:hAnsi="IBM Plex Serif" w:eastAsia="IBM Plex Serif" w:cs="IBM Plex Serif"/>
          <w:b/>
          <w:bCs/>
          <w:i/>
          <w:iCs/>
          <w:highlight w:val="none"/>
          <w:lang w:val="en-US"/>
        </w:rPr>
        <w:t xml:space="preserve"> </w:t>
      </w:r>
      <w:r>
        <w:rPr>
          <w:rFonts w:ascii="IBM Plex Serif" w:hAnsi="IBM Plex Serif" w:eastAsia="IBM Plex Serif" w:cs="IBM Plex Serif"/>
          <w:highlight w:val="none"/>
          <w:lang w:val="en-US"/>
        </w:rPr>
        <w:t xml:space="preserve">(như </w:t>
      </w:r>
      <w:r>
        <w:rPr>
          <w:rFonts w:ascii="IBM Plex Serif" w:hAnsi="IBM Plex Serif" w:eastAsia="IBM Plex Serif" w:cs="IBM Plex Serif"/>
          <w:b/>
          <w:bCs/>
          <w:i/>
          <w:iCs/>
          <w:highlight w:val="none"/>
          <w:lang w:val="en-US"/>
        </w:rPr>
        <w:t xml:space="preserve">"apology"</w:t>
      </w:r>
      <w:r>
        <w:rPr>
          <w:rFonts w:ascii="IBM Plex Serif" w:hAnsi="IBM Plex Serif" w:eastAsia="IBM Plex Serif" w:cs="IBM Plex Serif"/>
          <w:highlight w:val="none"/>
          <w:lang w:val="en-US"/>
        </w:rPr>
        <w:t xml:space="preserve">, </w:t>
      </w:r>
      <w:r>
        <w:rPr>
          <w:rFonts w:ascii="IBM Plex Serif" w:hAnsi="IBM Plex Serif" w:eastAsia="IBM Plex Serif" w:cs="IBM Plex Serif"/>
          <w:b/>
          <w:bCs/>
          <w:i/>
          <w:iCs/>
          <w:highlight w:val="none"/>
          <w:lang w:val="en-US"/>
        </w:rPr>
        <w:t xml:space="preserve">"apologize"</w:t>
      </w:r>
      <w:r>
        <w:rPr>
          <w:rFonts w:ascii="IBM Plex Serif" w:hAnsi="IBM Plex Serif" w:eastAsia="IBM Plex Serif" w:cs="IBM Plex Serif"/>
          <w:highlight w:val="none"/>
          <w:lang w:val="en-US"/>
        </w:rPr>
        <w:t xml:space="preserve">, </w:t>
      </w:r>
      <w:r>
        <w:rPr>
          <w:rFonts w:ascii="IBM Plex Serif" w:hAnsi="IBM Plex Serif" w:eastAsia="IBM Plex Serif" w:cs="IBM Plex Serif"/>
          <w:b/>
          <w:bCs/>
          <w:i/>
          <w:iCs/>
          <w:highlight w:val="none"/>
          <w:lang w:val="en-US"/>
        </w:rPr>
        <w:t xml:space="preserve">"apologetic"</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t xml:space="preserve">. Token con cho phép mô hình học các thành phần mang nghĩa (hình vị) như tiền tố và hậu tố, giúp từ vựng gọn nhẹ nhưng vẫn diễn đạt được nhiều biến thể từ khác nhau</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347695D2">
      <w:pPr>
        <w:pStyle w:val="841"/>
        <w:numPr>
          <w:ilvl w:val="1"/>
          <w:numId w:val="35"/>
        </w:numPr>
        <w:pBdr/>
        <w:spacing w:after="74" w:afterAutospacing="0" w:before="0" w:beforeAutospacing="0"/>
        <w:ind/>
        <w:jc w:val="left"/>
        <w:rPr>
          <w:rFonts w:ascii="IBM Plex Serif" w:hAnsi="IBM Plex Serif" w:eastAsia="IBM Plex Serif" w:cs="IBM Plex Serif"/>
          <w:b/>
          <w:bCs/>
          <w:highlight w:val="none"/>
          <w:lang w:val="en-US"/>
        </w:rPr>
      </w:pPr>
      <w:r>
        <w:rPr>
          <w:rFonts w:ascii="IBM Plex Serif" w:hAnsi="IBM Plex Serif" w:eastAsia="IBM Plex Serif" w:cs="IBM Plex Serif"/>
          <w:b/>
          <w:bCs/>
          <w:highlight w:val="none"/>
          <w:lang w:val="en-US"/>
        </w:rPr>
        <w:t xml:space="preserve">Xử lý tốt các ngôn ngữ không có khoảng trắng: </w:t>
        <w:br/>
        <w:tab/>
      </w: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r>
      <w:r>
        <w:rPr>
          <w:rFonts w:ascii="IBM Plex Serif" w:hAnsi="IBM Plex Serif" w:eastAsia="IBM Plex Serif" w:cs="IBM Plex Serif"/>
          <w:highlight w:val="none"/>
          <w:lang w:val="en-US"/>
        </w:rPr>
        <w:t xml:space="preserve">Nhiều ngôn ngữ như tiếng Trung, tiếng Nhật hoặc tiếng Thái không sử dụng khoảng trắng để phân tách từ, khiến việc định nghĩa "từ" một cách chính thức trở nên khó khăn</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
        <w:rPr>
          <w:rFonts w:ascii="IBM Plex Serif" w:hAnsi="IBM Plex Serif" w:eastAsia="IBM Plex Serif" w:cs="IBM Plex Serif"/>
          <w:b/>
          <w:bCs/>
          <w:highlight w:val="none"/>
          <w:lang w:val="en-US"/>
        </w:rPr>
      </w:r>
    </w:p>
    <w:p w14:paraId="63E8D02E">
      <w:pPr>
        <w:pStyle w:val="841"/>
        <w:numPr>
          <w:ilvl w:val="0"/>
          <w:numId w:val="23"/>
        </w:numPr>
        <w:pBdr/>
        <w:spacing w:after="74" w:afterAutospacing="0" w:before="0" w:beforeAutospacing="0"/>
        <w:ind/>
        <w:jc w:val="left"/>
        <w:rPr>
          <w:rFonts w:ascii="IBM Plex Serif" w:hAnsi="IBM Plex Serif" w:eastAsia="IBM Plex Serif" w:cs="IBM Plex Serif"/>
          <w:b/>
          <w:bCs/>
          <w:highlight w:val="none"/>
        </w:rPr>
      </w:pPr>
      <w:r>
        <w:rPr>
          <w:rFonts w:ascii="IBM Plex Serif" w:hAnsi="IBM Plex Serif" w:eastAsia="IBM Plex Serif" w:cs="IBM Plex Serif"/>
          <w:b/>
          <w:bCs/>
          <w:highlight w:val="none"/>
          <w:lang w:val="en-US"/>
        </w:rPr>
      </w:r>
      <w:r>
        <w:rPr>
          <w:rFonts w:ascii="IBM Plex Serif" w:hAnsi="IBM Plex Serif" w:eastAsia="IBM Plex Serif" w:cs="IBM Plex Serif"/>
          <w:b/>
          <w:bCs/>
          <w:highlight w:val="none"/>
          <w:lang w:val="en-US"/>
        </w:rPr>
        <w:t xml:space="preserve">Ưu điểm so với phân đoạn theo ký tự (Character tokens)</w:t>
      </w:r>
      <w:r>
        <w:rPr>
          <w:rFonts w:ascii="IBM Plex Serif" w:hAnsi="IBM Plex Serif" w:eastAsia="IBM Plex Serif" w:cs="IBM Plex Serif"/>
          <w:b/>
          <w:bCs/>
          <w:highlight w:val="none"/>
          <w:lang w:val="en-US"/>
        </w:rPr>
      </w:r>
      <w:r>
        <w:rPr>
          <w:b/>
          <w:bCs/>
        </w:rPr>
      </w:r>
    </w:p>
    <w:p w14:paraId="3DBDEC44">
      <w:pPr>
        <w:pStyle w:val="841"/>
        <w:numPr>
          <w:ilvl w:val="1"/>
          <w:numId w:val="36"/>
        </w:numPr>
        <w:pBdr/>
        <w:spacing w:after="74" w:afterAutospacing="0" w:before="0" w:beforeAutospacing="0"/>
        <w:ind/>
        <w:jc w:val="left"/>
        <w:rPr/>
      </w:pPr>
      <w:r>
        <w:rPr>
          <w:rFonts w:ascii="IBM Plex Serif" w:hAnsi="IBM Plex Serif" w:eastAsia="IBM Plex Serif" w:cs="IBM Plex Serif"/>
          <w:b/>
          <w:bCs/>
          <w:highlight w:val="none"/>
          <w:lang w:val="en-US"/>
        </w:rPr>
        <w:t xml:space="preserve">Hiệu quả về độ dài chuỗi và tài nguyên tính toán: </w:t>
      </w:r>
      <w:r>
        <w:rPr>
          <w:rFonts w:ascii="IBM Plex Serif" w:hAnsi="IBM Plex Serif" w:eastAsia="IBM Plex Serif" w:cs="IBM Plex Serif"/>
          <w:highlight w:val="none"/>
          <w:lang w:val="en-US"/>
        </w:rPr>
        <w:br/>
        <w:tab/>
        <w:t xml:space="preserve">Việc phân đoạn theo ký tự khiến độ dài chuỗi token tăng lên đáng kể (ví dụ: một câu có </w:t>
      </w:r>
      <w:r>
        <w:rPr>
          <w:rFonts w:ascii="IBM Plex Serif" w:hAnsi="IBM Plex Serif" w:eastAsia="IBM Plex Serif" w:cs="IBM Plex Serif"/>
          <w:b/>
          <w:bCs/>
          <w:highlight w:val="none"/>
          <w:u w:val="single"/>
          <w:lang w:val="en-US"/>
        </w:rPr>
        <w:t xml:space="preserve">13 từ</w:t>
      </w:r>
      <w:r>
        <w:rPr>
          <w:rFonts w:ascii="IBM Plex Serif" w:hAnsi="IBM Plex Serif" w:eastAsia="IBM Plex Serif" w:cs="IBM Plex Serif"/>
          <w:highlight w:val="none"/>
          <w:lang w:val="en-US"/>
        </w:rPr>
        <w:t xml:space="preserve"> có thể biến thành </w:t>
      </w:r>
      <w:r>
        <w:rPr>
          <w:rFonts w:ascii="IBM Plex Serif" w:hAnsi="IBM Plex Serif" w:eastAsia="IBM Plex Serif" w:cs="IBM Plex Serif"/>
          <w:b/>
          <w:bCs/>
          <w:highlight w:val="none"/>
          <w:u w:val="single"/>
          <w:lang w:val="en-US"/>
        </w:rPr>
        <w:t xml:space="preserve">81 ký tự</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Điều này làm chậm quá trình huấn luyện và suy luận, đồng thời chiếm dụng nhiều không gian trong "context length" (độ dài ngữ cảnh) hạn chế của các mô hình Transformer.</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Token con giúp nén thông tin hiệu quả hơn, cho phép đưa nhiều nội dung hơn vào một cửa sổ ngữ cảnh</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79DFEB27">
      <w:pPr>
        <w:pStyle w:val="841"/>
        <w:numPr>
          <w:ilvl w:val="1"/>
          <w:numId w:val="36"/>
        </w:numPr>
        <w:pBdr/>
        <w:spacing w:after="74" w:afterAutospacing="0" w:before="0" w:beforeAutospacing="0"/>
        <w:ind/>
        <w:jc w:val="left"/>
        <w:rPr/>
      </w:pPr>
      <w:r>
        <w:rPr>
          <w:rFonts w:ascii="IBM Plex Serif" w:hAnsi="IBM Plex Serif" w:eastAsia="IBM Plex Serif" w:cs="IBM Plex Serif"/>
          <w:b/>
          <w:bCs/>
          <w:highlight w:val="none"/>
          <w:lang w:val="en-US"/>
        </w:rPr>
        <w:t xml:space="preserve">Giảm độ phức tạp của mô hình:</w:t>
      </w:r>
      <w:r>
        <w:rPr>
          <w:rFonts w:ascii="IBM Plex Serif" w:hAnsi="IBM Plex Serif" w:eastAsia="IBM Plex Serif" w:cs="IBM Plex Serif"/>
          <w:highlight w:val="none"/>
          <w:lang w:val="en-US"/>
        </w:rPr>
        <w:t xml:space="preserve"> </w:t>
        <w:br/>
        <w:tab/>
        <w:t xml:space="preserve">Khi sử dụng ký tự, mô hình phải học cách "đánh vần" từng từ trước khi hiểu được ý nghĩa của câu</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Với token con, nhiều từ thông dụng vẫn được giữ nguyên dưới dạng một token duy nhất, giúp mô hình tập trung vào việc học các mối quan hệ cú pháp và ngữ nghĩa phức tạp thay vì chỉ học cấu trúc từ</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5D1C21F8">
      <w:pPr>
        <w:pBdr/>
        <w:spacing w:after="74" w:afterAutospacing="0" w:before="0" w:beforeAutospacing="0"/>
        <w:ind w:firstLine="720"/>
        <w:jc w:val="left"/>
        <w:rPr>
          <w:rFonts w:ascii="IBM Plex Serif" w:hAnsi="IBM Plex Serif" w:cs="IBM Plex Serif"/>
        </w:rPr>
      </w:pPr>
      <w:r>
        <w:rPr>
          <w:rFonts w:ascii="IBM Plex Serif" w:hAnsi="IBM Plex Serif" w:eastAsia="IBM Plex Serif" w:cs="IBM Plex Serif"/>
          <w:highlight w:val="none"/>
          <w:lang w:val="en-US"/>
        </w:rPr>
        <w:t xml:space="preserve">Phương pháp token con cho phép các mô hình ngôn ngữ duy trì một bộ từ vựng có kích thước hợp lý (thường từ 50.000 đến 200.000 token), vừa có khả năng xử lý linh hoạt mọi từ ngữ mới, vừa đảm bảo hiệu suất tính toán cao</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403CB2C2" w14:textId="77777777">
      <w:pPr>
        <w:pStyle w:val="825"/>
        <w:pBdr/>
        <w:spacing w:after="74" w:afterAutospacing="0" w:before="0" w:beforeAutospacing="0"/>
        <w:ind/>
        <w:jc w:val="left"/>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p>
    <w:p w14:paraId="78A5D6C7" w14:textId="5009BBEE">
      <w:pPr>
        <w:pBdr/>
        <w:spacing w:after="74" w:afterAutospacing="0" w:before="0" w:beforeAutospacing="0"/>
        <w:ind w:firstLine="720"/>
        <w:jc w:val="left"/>
        <w:rPr>
          <w:rFonts w:ascii="IBM Plex Serif" w:hAnsi="IBM Plex Serif" w:eastAsia="IBM Plex Serif" w:cs="IBM Plex Serif"/>
          <w:highlight w:val="none"/>
          <w:lang w:val="en-US"/>
        </w:rPr>
      </w:pPr>
      <w:r>
        <w:rPr>
          <w:rFonts w:ascii="IBM Plex Serif" w:hAnsi="IBM Plex Serif" w:eastAsia="IBM Plex Serif" w:cs="IBM Plex Serif"/>
          <w:lang w:val="en-US"/>
        </w:rPr>
        <w:t xml:space="preserve">Các yếu tố chính quyết định cách một bộ tokenizer phân đoạn văn bản đầu vào?</w:t>
      </w:r>
      <w:r>
        <w:rPr>
          <w:rFonts w:ascii="IBM Plex Serif" w:hAnsi="IBM Plex Serif" w:cs="IBM Plex Serif"/>
        </w:rPr>
      </w:r>
    </w:p>
    <w:p w14:paraId="62EF064C">
      <w:pPr>
        <w:pBdr/>
        <w:spacing w:after="74" w:afterAutospacing="0" w:before="0" w:beforeAutospacing="0"/>
        <w:ind w:firstLine="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
        <w:rPr>
          <w:rFonts w:ascii="IBM Plex Serif" w:hAnsi="IBM Plex Serif" w:eastAsia="IBM Plex Serif" w:cs="IBM Plex Serif"/>
          <w:highlight w:val="none"/>
          <w:lang w:val="en-US"/>
        </w:rPr>
      </w:r>
      <w:r>
        <w:rPr>
          <w:rFonts w:ascii="IBM Plex Serif" w:hAnsi="IBM Plex Serif" w:cs="IBM Plex Serif"/>
        </w:rPr>
      </w:r>
    </w:p>
    <w:p w14:paraId="6268D02E">
      <w:pPr>
        <w:pBdr/>
        <w:spacing w:after="74" w:afterAutospacing="0" w:before="0" w:beforeAutospacing="0"/>
        <w:ind w:firstLine="720"/>
        <w:jc w:val="left"/>
        <w:rPr/>
      </w:pPr>
      <w:r>
        <w:rPr>
          <w:rFonts w:ascii="IBM Plex Serif" w:hAnsi="IBM Plex Serif" w:eastAsia="IBM Plex Serif" w:cs="IBM Plex Serif"/>
          <w:highlight w:val="none"/>
          <w:lang w:val="en-US"/>
        </w:rPr>
        <w:t xml:space="preserve">Cách một bộ tokenizer phân đoạn văn bản đầu vào được quyết định bởi ba yếu tố chính sau đây:</w:t>
      </w:r>
      <w:r>
        <w:rPr>
          <w:rFonts w:ascii="IBM Plex Serif" w:hAnsi="IBM Plex Serif" w:eastAsia="IBM Plex Serif" w:cs="IBM Plex Serif"/>
          <w:highlight w:val="none"/>
          <w:lang w:val="en-US"/>
        </w:rPr>
      </w:r>
    </w:p>
    <w:p w14:paraId="3E8FC811">
      <w:pPr>
        <w:pStyle w:val="841"/>
        <w:numPr>
          <w:ilvl w:val="0"/>
          <w:numId w:val="26"/>
        </w:numPr>
        <w:pBdr/>
        <w:spacing w:after="74" w:afterAutospacing="0" w:before="0" w:beforeAutospacing="0"/>
        <w:ind/>
        <w:jc w:val="left"/>
        <w:rPr/>
      </w:pPr>
      <w:r>
        <w:rPr>
          <w:rFonts w:ascii="IBM Plex Serif" w:hAnsi="IBM Plex Serif" w:eastAsia="IBM Plex Serif" w:cs="IBM Plex Serif"/>
          <w:b/>
          <w:bCs/>
          <w:highlight w:val="none"/>
          <w:lang w:val="en-US"/>
        </w:rPr>
        <w:t xml:space="preserve">Phương pháp tách từ (Tokenization Method):</w:t>
      </w:r>
      <w:r>
        <w:rPr>
          <w:rFonts w:ascii="IBM Plex Serif" w:hAnsi="IBM Plex Serif" w:eastAsia="IBM Plex Serif" w:cs="IBM Plex Serif"/>
          <w:highlight w:val="none"/>
          <w:lang w:val="en-US"/>
        </w:rPr>
        <w:t xml:space="preserve"> </w:t>
        <w:br/>
        <w:tab/>
        <w:t xml:space="preserve">Đây là thuật toán cốt lõi được chọn ở giai đoạn thiết kế mô hình</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Các phương pháp phổ biến bao gồm </w:t>
      </w:r>
      <w:r>
        <w:rPr>
          <w:rFonts w:ascii="IBM Plex Serif" w:hAnsi="IBM Plex Serif" w:eastAsia="IBM Plex Serif" w:cs="IBM Plex Serif"/>
          <w:b/>
          <w:bCs/>
          <w:highlight w:val="none"/>
          <w:lang w:val="en-US"/>
        </w:rPr>
        <w:t xml:space="preserve">Byte-Pair Encoding (BPE)</w:t>
      </w:r>
      <w:r>
        <w:rPr>
          <w:rFonts w:ascii="IBM Plex Serif" w:hAnsi="IBM Plex Serif" w:eastAsia="IBM Plex Serif" w:cs="IBM Plex Serif"/>
          <w:highlight w:val="none"/>
          <w:lang w:val="en-US"/>
        </w:rPr>
        <w:t xml:space="preserve"> (thường dùng cho GPT), </w:t>
      </w:r>
      <w:r>
        <w:rPr>
          <w:rFonts w:ascii="IBM Plex Serif" w:hAnsi="IBM Plex Serif" w:eastAsia="IBM Plex Serif" w:cs="IBM Plex Serif"/>
          <w:b/>
          <w:bCs/>
          <w:highlight w:val="none"/>
          <w:lang w:val="en-US"/>
        </w:rPr>
        <w:t xml:space="preserve">WordPiece</w:t>
      </w:r>
      <w:r>
        <w:rPr>
          <w:rFonts w:ascii="IBM Plex Serif" w:hAnsi="IBM Plex Serif" w:eastAsia="IBM Plex Serif" w:cs="IBM Plex Serif"/>
          <w:highlight w:val="none"/>
          <w:lang w:val="en-US"/>
        </w:rPr>
        <w:t xml:space="preserve"> (dùng cho BERT), hoặc </w:t>
      </w:r>
      <w:r>
        <w:rPr>
          <w:rFonts w:ascii="IBM Plex Serif" w:hAnsi="IBM Plex Serif" w:eastAsia="IBM Plex Serif" w:cs="IBM Plex Serif"/>
          <w:b/>
          <w:bCs/>
          <w:highlight w:val="none"/>
          <w:lang w:val="en-US"/>
        </w:rPr>
        <w:t xml:space="preserve">Unigram Language Modeling (ULM)</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Mỗi phương pháp có cách tiếp cận khác nhau để tối ưu hóa tập hợp các token nhằm biểu diễn dữ liệu văn bản một cách hiệu quả nhất</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w:t>
        <w:br/>
        <w:tab/>
        <w:t xml:space="preserve">Ví dụ, BPE dựa trên tần suất xuất hiện của các cặp ký tự liền kề để hợp nhất chúng</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trong khi WordPiece sử dụng phương pháp xác suất (likelihood) để quyết định việc hợp nhất</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0B3112E7">
      <w:pPr>
        <w:pStyle w:val="841"/>
        <w:numPr>
          <w:ilvl w:val="0"/>
          <w:numId w:val="26"/>
        </w:numPr>
        <w:pBdr/>
        <w:spacing w:after="74" w:afterAutospacing="0" w:before="0" w:beforeAutospacing="0"/>
        <w:ind/>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Các tham số thiết kế (Tokenizer Parameters): </w:t>
        <w:br/>
        <w:tab/>
      </w:r>
      <w:r>
        <w:rPr>
          <w:rFonts w:ascii="IBM Plex Serif" w:hAnsi="IBM Plex Serif" w:eastAsia="IBM Plex Serif" w:cs="IBM Plex Serif"/>
          <w:highlight w:val="none"/>
          <w:lang w:val="en-US"/>
        </w:rPr>
        <w:t xml:space="preserve">Sau khi chọn phương pháp, các nhà thiết kế mô hình phải đưa ra các quyết định quan trọng về tham số</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13CFC57A">
      <w:pPr>
        <w:pStyle w:val="841"/>
        <w:numPr>
          <w:ilvl w:val="1"/>
          <w:numId w:val="26"/>
        </w:numPr>
        <w:pBdr/>
        <w:spacing w:after="74" w:afterAutospacing="0" w:before="0" w:beforeAutospacing="0"/>
        <w:ind/>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Kích thước từ vựng (Vocabulary size):</w:t>
      </w:r>
      <w:r>
        <w:rPr>
          <w:rFonts w:ascii="IBM Plex Serif" w:hAnsi="IBM Plex Serif" w:eastAsia="IBM Plex Serif" w:cs="IBM Plex Serif"/>
          <w:highlight w:val="none"/>
          <w:lang w:val="en-US"/>
        </w:rPr>
        <w:t xml:space="preserve"> </w:t>
        <w:br/>
        <w:tab/>
        <w:t xml:space="preserve">Số lượng token tối đa mà bộ tokenizer được phép giữ trong từ vựng (ví dụ: 30.000, 50.000 hoặc lên tới 200.000 token)</w:t>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t xml:space="preserve">. Kích thước lớn giúp biểu diễn văn bản bằng ít token hơn nhưng có thể dẫn đến việc các token hiếm gặp có biểu diễn kém</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2A19847E">
      <w:pPr>
        <w:pStyle w:val="841"/>
        <w:numPr>
          <w:ilvl w:val="1"/>
          <w:numId w:val="26"/>
        </w:numPr>
        <w:pBdr/>
        <w:spacing w:after="74" w:afterAutospacing="0" w:before="0" w:beforeAutospacing="0"/>
        <w:ind/>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Các token đặc biệt (Special tokens):</w:t>
      </w:r>
      <w:r>
        <w:rPr>
          <w:rFonts w:ascii="IBM Plex Serif" w:hAnsi="IBM Plex Serif" w:eastAsia="IBM Plex Serif" w:cs="IBM Plex Serif"/>
          <w:highlight w:val="none"/>
          <w:lang w:val="en-US"/>
        </w:rPr>
        <w:t xml:space="preserve"> </w:t>
        <w:br/>
        <w:tab/>
        <w:t xml:space="preserve">Việc bổ sung các token có vai trò cụ thể như bắt đầu văn bản </w:t>
      </w:r>
      <w:r>
        <w:rPr>
          <w:rFonts w:ascii="IBM Plex Serif" w:hAnsi="IBM Plex Serif" w:eastAsia="IBM Plex Serif" w:cs="IBM Plex Serif"/>
          <w:highlight w:val="lightGray"/>
          <w:lang w:val="en-US"/>
        </w:rPr>
        <w:t xml:space="preserve">(&lt;s&gt;)</w:t>
      </w:r>
      <w:r>
        <w:rPr>
          <w:rFonts w:ascii="IBM Plex Serif" w:hAnsi="IBM Plex Serif" w:eastAsia="IBM Plex Serif" w:cs="IBM Plex Serif"/>
          <w:highlight w:val="none"/>
          <w:lang w:val="en-US"/>
        </w:rPr>
        <w:t xml:space="preserve">, kết thúc văn bản </w:t>
      </w:r>
      <w:r>
        <w:rPr>
          <w:rFonts w:ascii="IBM Plex Serif" w:hAnsi="IBM Plex Serif" w:eastAsia="IBM Plex Serif" w:cs="IBM Plex Serif"/>
          <w:highlight w:val="lightGray"/>
          <w:lang w:val="en-US"/>
        </w:rPr>
        <w:t xml:space="preserve">(&lt;/s&gt;)</w:t>
      </w:r>
      <w:r>
        <w:rPr>
          <w:rFonts w:ascii="IBM Plex Serif" w:hAnsi="IBM Plex Serif" w:eastAsia="IBM Plex Serif" w:cs="IBM Plex Serif"/>
          <w:highlight w:val="none"/>
          <w:lang w:val="en-US"/>
        </w:rPr>
        <w:t xml:space="preserve">, token đệm </w:t>
      </w:r>
      <w:r>
        <w:rPr>
          <w:rFonts w:ascii="IBM Plex Serif" w:hAnsi="IBM Plex Serif" w:eastAsia="IBM Plex Serif" w:cs="IBM Plex Serif"/>
          <w:highlight w:val="lightGray"/>
          <w:lang w:val="en-US"/>
        </w:rPr>
        <w:t xml:space="preserve">([PAD])</w:t>
      </w:r>
      <w:r>
        <w:rPr>
          <w:rFonts w:ascii="IBM Plex Serif" w:hAnsi="IBM Plex Serif" w:eastAsia="IBM Plex Serif" w:cs="IBM Plex Serif"/>
          <w:highlight w:val="none"/>
          <w:lang w:val="en-US"/>
        </w:rPr>
        <w:t xml:space="preserve">, hoặc token dùng cho phân loại </w:t>
      </w:r>
      <w:r>
        <w:rPr>
          <w:rFonts w:ascii="IBM Plex Serif" w:hAnsi="IBM Plex Serif" w:eastAsia="IBM Plex Serif" w:cs="IBM Plex Serif"/>
          <w:highlight w:val="lightGray"/>
          <w:lang w:val="en-US"/>
        </w:rPr>
        <w:t xml:space="preserve">([CLS])</w:t>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29BC57D5">
      <w:pPr>
        <w:pStyle w:val="841"/>
        <w:numPr>
          <w:ilvl w:val="1"/>
          <w:numId w:val="26"/>
        </w:numPr>
        <w:pBdr/>
        <w:spacing w:after="74" w:afterAutospacing="0" w:before="0" w:beforeAutospacing="0"/>
        <w:ind/>
        <w:jc w:val="left"/>
        <w:rPr/>
      </w:pPr>
      <w:r>
        <w:rPr>
          <w:rFonts w:ascii="IBM Plex Serif" w:hAnsi="IBM Plex Serif" w:eastAsia="IBM Plex Serif" w:cs="IBM Plex Serif"/>
          <w:b/>
          <w:bCs/>
          <w:highlight w:val="none"/>
          <w:lang w:val="en-US"/>
        </w:rPr>
        <w:t xml:space="preserve">Xử lý chữ hoa/chữ thường (Capitalization):</w:t>
      </w:r>
      <w:r>
        <w:rPr>
          <w:rFonts w:ascii="IBM Plex Serif" w:hAnsi="IBM Plex Serif" w:eastAsia="IBM Plex Serif" w:cs="IBM Plex Serif"/>
          <w:highlight w:val="none"/>
          <w:lang w:val="en-US"/>
        </w:rPr>
        <w:t xml:space="preserve"> </w:t>
        <w:br/>
        <w:tab/>
        <w:t xml:space="preserve">Quyết định xem có chuyển tất cả về chữ thường </w:t>
      </w:r>
      <w:r>
        <w:rPr>
          <w:rFonts w:ascii="IBM Plex Serif" w:hAnsi="IBM Plex Serif" w:eastAsia="IBM Plex Serif" w:cs="IBM Plex Serif"/>
          <w:b/>
          <w:bCs/>
          <w:highlight w:val="none"/>
          <w:lang w:val="en-US"/>
        </w:rPr>
        <w:t xml:space="preserve">(uncased) </w:t>
      </w:r>
      <w:r>
        <w:rPr>
          <w:rFonts w:ascii="IBM Plex Serif" w:hAnsi="IBM Plex Serif" w:eastAsia="IBM Plex Serif" w:cs="IBM Plex Serif"/>
          <w:highlight w:val="none"/>
          <w:lang w:val="en-US"/>
        </w:rPr>
        <w:t xml:space="preserve">hay giữ nguyên sự khác biệt </w:t>
      </w:r>
      <w:r>
        <w:rPr>
          <w:rFonts w:ascii="IBM Plex Serif" w:hAnsi="IBM Plex Serif" w:eastAsia="IBM Plex Serif" w:cs="IBM Plex Serif"/>
          <w:b/>
          <w:bCs/>
          <w:highlight w:val="none"/>
          <w:lang w:val="en-US"/>
        </w:rPr>
        <w:t xml:space="preserve">(cased)</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Việc giữ nguyên chữ hoa chữ thường thường tốt hơn vì nó chứa đựng thông tin ngữ nghĩa quan trọng</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20D911FB">
      <w:pPr>
        <w:pStyle w:val="841"/>
        <w:numPr>
          <w:ilvl w:val="0"/>
          <w:numId w:val="26"/>
        </w:numPr>
        <w:pBdr/>
        <w:spacing w:after="74" w:afterAutospacing="0" w:before="0" w:beforeAutospacing="0"/>
        <w:ind/>
        <w:jc w:val="left"/>
        <w:rPr/>
      </w:pPr>
      <w:r>
        <w:rPr>
          <w:rFonts w:ascii="IBM Plex Serif" w:hAnsi="IBM Plex Serif" w:eastAsia="IBM Plex Serif" w:cs="IBM Plex Serif"/>
          <w:b/>
          <w:bCs/>
          <w:highlight w:val="none"/>
          <w:lang w:val="en-US"/>
        </w:rPr>
        <w:t xml:space="preserve">Tập dữ liệu huấn luyện (Training Dataset): </w:t>
        <w:br/>
        <w:tab/>
      </w:r>
      <w:r>
        <w:rPr>
          <w:rFonts w:ascii="IBM Plex Serif" w:hAnsi="IBM Plex Serif" w:eastAsia="IBM Plex Serif" w:cs="IBM Plex Serif"/>
          <w:highlight w:val="none"/>
          <w:lang w:val="en-US"/>
        </w:rPr>
        <w:t xml:space="preserve">Bộ tokenizer cần được huấn luyện trên một tập dữ liệu cụ thể để thiết lập từ vựng tối ưu</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Ngay cả khi sử dụng cùng một phương pháp và tham số, một bộ tokenizer được huấn luyện trên tiếng Anh sẽ phân đoạn văn bản khác hoàn toàn với bộ được huấn luyện trên mã nguồn (code) hoặc đa ngôn ngữ</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w:t>
        <w:br/>
        <w:tab/>
        <w:t xml:space="preserve">Ví dụ, các bộ tokenizer đa ngôn ngữ thường ưu tiên tiếng Anh (do dữ liệu huấn luyện chiếm ưu thế), dẫn đến việc các ngôn ngữ khác bị chia nhỏ thành nhiều token ngắn hơn, làm giảm hiệu quả xử lý</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37E1A154">
      <w:pPr>
        <w:pBdr/>
        <w:spacing w:after="74" w:afterAutospacing="0" w:before="0" w:beforeAutospacing="0"/>
        <w:ind w:firstLine="720"/>
        <w:jc w:val="left"/>
        <w:rPr/>
      </w:pPr>
      <w:r>
        <w:rPr>
          <w:rFonts w:ascii="IBM Plex Serif" w:hAnsi="IBM Plex Serif" w:eastAsia="IBM Plex Serif" w:cs="IBM Plex Serif"/>
          <w:highlight w:val="none"/>
          <w:lang w:val="en-US"/>
        </w:rPr>
        <w:t xml:space="preserve">Ngoài ra, </w:t>
      </w:r>
      <w:r>
        <w:rPr>
          <w:rFonts w:ascii="IBM Plex Serif" w:hAnsi="IBM Plex Serif" w:eastAsia="IBM Plex Serif" w:cs="IBM Plex Serif"/>
          <w:b/>
          <w:bCs/>
          <w:highlight w:val="none"/>
          <w:lang w:val="en-US"/>
        </w:rPr>
        <w:t xml:space="preserve">quy trình tiền mã hóa (pre-tokenization)</w:t>
      </w:r>
      <w:r>
        <w:rPr>
          <w:rFonts w:ascii="IBM Plex Serif" w:hAnsi="IBM Plex Serif" w:eastAsia="IBM Plex Serif" w:cs="IBM Plex Serif"/>
          <w:highlight w:val="none"/>
          <w:lang w:val="en-US"/>
        </w:rPr>
        <w:t xml:space="preserve"> cũng đóng vai trò quan trọng, trong đó các</w:t>
      </w:r>
      <w:r>
        <w:rPr>
          <w:rFonts w:ascii="IBM Plex Serif" w:hAnsi="IBM Plex Serif" w:eastAsia="IBM Plex Serif" w:cs="IBM Plex Serif"/>
          <w:b/>
          <w:bCs/>
          <w:highlight w:val="none"/>
          <w:lang w:val="en-US"/>
        </w:rPr>
        <w:t xml:space="preserve"> biểu thức chính quy (regular expressions)</w:t>
      </w:r>
      <w:r>
        <w:rPr>
          <w:rFonts w:ascii="IBM Plex Serif" w:hAnsi="IBM Plex Serif" w:eastAsia="IBM Plex Serif" w:cs="IBM Plex Serif"/>
          <w:highlight w:val="none"/>
          <w:lang w:val="en-US"/>
        </w:rPr>
        <w:t xml:space="preserve"> được sử dụng để phân tách văn bản thô theo khoảng trắng, dấu câu, hoặc xử lý các nhóm chữ số trước khi thuật toán tách từ</w:t>
      </w:r>
      <w:r>
        <w:rPr>
          <w:rFonts w:ascii="IBM Plex Serif" w:hAnsi="IBM Plex Serif" w:eastAsia="IBM Plex Serif" w:cs="IBM Plex Serif"/>
          <w:highlight w:val="none"/>
          <w:lang w:val="en-US"/>
        </w:rPr>
        <w:t xml:space="preserve"> con thực hiện nhiệm vụ của mình</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3E5BBC1B" w14:textId="77777777">
      <w:pPr>
        <w:pStyle w:val="825"/>
        <w:pBdr/>
        <w:spacing w:after="74" w:afterAutospacing="0" w:before="0" w:beforeAutospacing="0"/>
        <w:ind/>
        <w:jc w:val="left"/>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p>
    <w:p w14:paraId="30B914E2" w14:textId="74DA4395">
      <w:pPr>
        <w:pBdr/>
        <w:spacing w:after="74" w:afterAutospacing="0" w:before="0" w:beforeAutospacing="0"/>
        <w:ind w:firstLine="720"/>
        <w:jc w:val="left"/>
        <w:rPr>
          <w:rFonts w:ascii="IBM Plex Serif" w:hAnsi="IBM Plex Serif" w:eastAsia="IBM Plex Serif" w:cs="IBM Plex Serif"/>
          <w:highlight w:val="none"/>
          <w:lang w:val="en-US"/>
        </w:rPr>
      </w:pPr>
      <w:r>
        <w:rPr>
          <w:rFonts w:ascii="IBM Plex Serif" w:hAnsi="IBM Plex Serif" w:eastAsia="IBM Plex Serif" w:cs="IBM Plex Serif"/>
          <w:lang w:val="en-US"/>
        </w:rPr>
        <w:t xml:space="preserve">Cách một bộ tokenizer xử lý khoảng trắng</w:t>
      </w:r>
      <w:r>
        <w:rPr>
          <w:rFonts w:ascii="IBM Plex Serif" w:hAnsi="IBM Plex Serif" w:eastAsia="IBM Plex Serif" w:cs="IBM Plex Serif"/>
          <w:lang w:val="en-US"/>
        </w:rPr>
        <w:t xml:space="preserve"> (spaces)</w:t>
      </w:r>
      <w:r>
        <w:rPr>
          <w:rFonts w:ascii="IBM Plex Serif" w:hAnsi="IBM Plex Serif" w:eastAsia="IBM Plex Serif" w:cs="IBM Plex Serif"/>
          <w:lang w:val="en-US"/>
        </w:rPr>
        <w:t xml:space="preserve"> và chữ số</w:t>
      </w:r>
      <w:r>
        <w:rPr>
          <w:rFonts w:ascii="IBM Plex Serif" w:hAnsi="IBM Plex Serif" w:eastAsia="IBM Plex Serif" w:cs="IBM Plex Serif"/>
          <w:lang w:val="en-US"/>
        </w:rPr>
        <w:t xml:space="preserve"> (digits)?</w:t>
      </w:r>
      <w:r>
        <w:rPr>
          <w:rFonts w:ascii="IBM Plex Serif" w:hAnsi="IBM Plex Serif" w:cs="IBM Plex Serif"/>
        </w:rPr>
      </w:r>
    </w:p>
    <w:p w14:paraId="7DBB7876">
      <w:pPr>
        <w:pBdr/>
        <w:spacing w:after="74" w:afterAutospacing="0" w:before="0" w:beforeAutospacing="0"/>
        <w:ind w:firstLine="0"/>
        <w:jc w:val="left"/>
        <w:rPr>
          <w:rFonts w:ascii="IBM Plex Serif" w:hAnsi="IBM Plex Serif" w:eastAsia="IBM Plex Serif" w:cs="IBM Plex Serif"/>
          <w:highlight w:val="none"/>
          <w:lang w:val="en-US" w:bidi="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rPr>
      </w:r>
    </w:p>
    <w:p w14:paraId="75F16987">
      <w:pPr>
        <w:pStyle w:val="841"/>
        <w:numPr>
          <w:ilvl w:val="0"/>
          <w:numId w:val="28"/>
        </w:numPr>
        <w:pBdr/>
        <w:spacing w:after="74" w:afterAutospacing="0" w:before="0" w:beforeAutospacing="0"/>
        <w:ind/>
        <w:jc w:val="left"/>
        <w:rPr>
          <w:rFonts w:ascii="IBM Plex Serif" w:hAnsi="IBM Plex Serif" w:eastAsia="IBM Plex Serif" w:cs="IBM Plex Serif"/>
          <w:b/>
          <w:bCs/>
          <w:highlight w:val="none"/>
          <w:lang w:val="en-US"/>
        </w:rPr>
      </w:pP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rPr>
        <w:t xml:space="preserve">Xử lý Khoảng trắng (Spaces)</w:t>
      </w:r>
      <w:r>
        <w:rPr>
          <w:rFonts w:ascii="IBM Plex Serif" w:hAnsi="IBM Plex Serif" w:eastAsia="IBM Plex Serif" w:cs="IBM Plex Serif"/>
          <w:b/>
          <w:bCs/>
          <w:highlight w:val="none"/>
          <w:lang w:val="en-US"/>
        </w:rPr>
      </w:r>
    </w:p>
    <w:p w14:paraId="0A2B2D14">
      <w:pPr>
        <w:pBdr/>
        <w:spacing w:after="74" w:afterAutospacing="0" w:before="0" w:beforeAutospacing="0"/>
        <w:ind w:firstLine="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Khoảng trắng thường được coi là ranh giới cơ bản để phân đoạn văn bản, nhưng cách các bộ tokenizer hiện đại lưu trữ chúng rất đa dạng:</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76A9177E">
      <w:pPr>
        <w:pStyle w:val="841"/>
        <w:numPr>
          <w:ilvl w:val="0"/>
          <w:numId w:val="29"/>
        </w:numPr>
        <w:pBdr/>
        <w:spacing w:after="74" w:afterAutospacing="0" w:before="0" w:beforeAutospacing="0"/>
        <w:ind/>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Dùng làm ký tự phân tách: </w:t>
      </w:r>
      <w:r>
        <w:rPr>
          <w:rFonts w:ascii="IBM Plex Serif" w:hAnsi="IBM Plex Serif" w:eastAsia="IBM Plex Serif" w:cs="IBM Plex Serif"/>
          <w:highlight w:val="none"/>
          <w:lang w:val="en-US"/>
        </w:rPr>
        <w:t xml:space="preserve">Trong các hệ thống cũ hoặc đơn giản, khoảng trắng chỉ dùng để chia văn bản thành các từ và sau đó bị loại bỏ</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343E7191">
      <w:pPr>
        <w:pStyle w:val="841"/>
        <w:numPr>
          <w:ilvl w:val="0"/>
          <w:numId w:val="29"/>
        </w:numPr>
        <w:pBdr/>
        <w:spacing w:after="74" w:afterAutospacing="0" w:before="0" w:beforeAutospacing="0"/>
        <w:ind/>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Gắn vào đầu từ (Pre-tokenization): </w:t>
        <w:br/>
        <w:tab/>
      </w:r>
      <w:r>
        <w:rPr>
          <w:rFonts w:ascii="IBM Plex Serif" w:hAnsi="IBM Plex Serif" w:eastAsia="IBM Plex Serif" w:cs="IBM Plex Serif"/>
          <w:highlight w:val="none"/>
          <w:lang w:val="en-US"/>
        </w:rPr>
        <w:t xml:space="preserve">Các bộ tokenizer như của GPT thường sử dụng </w:t>
      </w:r>
      <w:r>
        <w:rPr>
          <w:rFonts w:ascii="IBM Plex Serif" w:hAnsi="IBM Plex Serif" w:eastAsia="IBM Plex Serif" w:cs="IBM Plex Serif"/>
          <w:b/>
          <w:bCs/>
          <w:highlight w:val="none"/>
          <w:lang w:val="en-US"/>
        </w:rPr>
        <w:t xml:space="preserve">biểu thức chính quy (regex)</w:t>
      </w:r>
      <w:r>
        <w:rPr>
          <w:rFonts w:ascii="IBM Plex Serif" w:hAnsi="IBM Plex Serif" w:eastAsia="IBM Plex Serif" w:cs="IBM Plex Serif"/>
          <w:highlight w:val="none"/>
          <w:lang w:val="en-US"/>
        </w:rPr>
        <w:t xml:space="preserve"> để tách thô văn bản theo khoảng trắng trước khi chạy thuật toán subword</w:t>
      </w:r>
      <w:r>
        <w:rPr>
          <w:rFonts w:ascii="IBM Plex Serif" w:hAnsi="IBM Plex Serif" w:eastAsia="IBM Plex Serif" w:cs="IBM Plex Serif"/>
          <w:highlight w:val="none"/>
          <w:lang w:val="en-US"/>
        </w:rPr>
        <w:t xml:space="preserve">. Khoảng trắng thường được gắn vào đầu của mỗi từ và được thay thế bằng một ký tự đặc biệt </w:t>
      </w:r>
      <w:r>
        <w:rPr>
          <w:rFonts w:ascii="IBM Plex Serif" w:hAnsi="IBM Plex Serif" w:eastAsia="IBM Plex Serif" w:cs="IBM Plex Serif"/>
          <w:highlight w:val="none"/>
          <w:lang w:val="en-US"/>
        </w:rPr>
        <w:t xml:space="preserve">để mô hình có thể tái tạo lại văn bản gốc chính xác</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t xml:space="preserve"> (</w:t>
      </w:r>
      <w:r>
        <w:rPr>
          <w:rFonts w:ascii="IBM Plex Serif" w:hAnsi="IBM Plex Serif" w:eastAsia="IBM Plex Serif" w:cs="IBM Plex Serif"/>
          <w:b/>
          <w:bCs/>
          <w:highlight w:val="none"/>
          <w:lang w:val="en-US"/>
        </w:rPr>
        <w:t xml:space="preserve">Ví dụ: </w:t>
      </w:r>
      <w:r>
        <w:rPr>
          <w:rFonts w:ascii="IBM Plex Serif" w:hAnsi="IBM Plex Serif" w:eastAsia="IBM Plex Serif" w:cs="IBM Plex Serif"/>
          <w:b/>
          <w:bCs/>
          <w:i/>
          <w:iCs/>
          <w:highlight w:val="none"/>
          <w:lang w:val="en-US"/>
        </w:rPr>
        <w:t xml:space="preserve">Ġ</w:t>
      </w:r>
      <w:r>
        <w:rPr>
          <w:rFonts w:ascii="IBM Plex Serif" w:hAnsi="IBM Plex Serif" w:eastAsia="IBM Plex Serif" w:cs="IBM Plex Serif"/>
          <w:highlight w:val="none"/>
          <w:lang w:val="en-US"/>
        </w:rPr>
        <w:t xml:space="preserve"> trong </w:t>
      </w:r>
      <w:r>
        <w:rPr>
          <w:rFonts w:ascii="IBM Plex Serif" w:hAnsi="IBM Plex Serif" w:eastAsia="IBM Plex Serif" w:cs="IBM Plex Serif"/>
          <w:b/>
          <w:bCs/>
          <w:i/>
          <w:iCs/>
          <w:highlight w:val="none"/>
          <w:lang w:val="en-US"/>
        </w:rPr>
        <w:t xml:space="preserve">GPT</w:t>
      </w:r>
      <w:r>
        <w:rPr>
          <w:rFonts w:ascii="IBM Plex Serif" w:hAnsi="IBM Plex Serif" w:eastAsia="IBM Plex Serif" w:cs="IBM Plex Serif"/>
          <w:highlight w:val="none"/>
          <w:lang w:val="en-US"/>
        </w:rPr>
        <w:t xml:space="preserve"> hoặc </w:t>
      </w:r>
      <w:r>
        <w:rPr>
          <w:rFonts w:ascii="IBM Plex Serif" w:hAnsi="IBM Plex Serif" w:eastAsia="IBM Plex Serif" w:cs="IBM Plex Serif"/>
          <w:b/>
          <w:bCs/>
          <w:i/>
          <w:iCs/>
          <w:highlight w:val="none"/>
          <w:lang w:val="en-US"/>
        </w:rPr>
        <w:t xml:space="preserve">_</w:t>
      </w:r>
      <w:r>
        <w:rPr>
          <w:rFonts w:ascii="IBM Plex Serif" w:hAnsi="IBM Plex Serif" w:eastAsia="IBM Plex Serif" w:cs="IBM Plex Serif"/>
          <w:highlight w:val="none"/>
          <w:lang w:val="en-US"/>
        </w:rPr>
        <w:t xml:space="preserve"> trong </w:t>
      </w:r>
      <w:r>
        <w:rPr>
          <w:rFonts w:ascii="IBM Plex Serif" w:hAnsi="IBM Plex Serif" w:eastAsia="IBM Plex Serif" w:cs="IBM Plex Serif"/>
          <w:b/>
          <w:bCs/>
          <w:i/>
          <w:iCs/>
          <w:highlight w:val="none"/>
          <w:lang w:val="en-US"/>
        </w:rPr>
        <w:t xml:space="preserve">SentencePiece</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4B3D7413">
      <w:pPr>
        <w:pStyle w:val="841"/>
        <w:numPr>
          <w:ilvl w:val="0"/>
          <w:numId w:val="29"/>
        </w:numPr>
        <w:pBdr/>
        <w:spacing w:after="74" w:afterAutospacing="0" w:before="0" w:beforeAutospacing="0"/>
        <w:ind/>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Mã hóa nhiều khoảng trắng:</w:t>
      </w:r>
      <w:r>
        <w:rPr>
          <w:rFonts w:ascii="IBM Plex Serif" w:hAnsi="IBM Plex Serif" w:eastAsia="IBM Plex Serif" w:cs="IBM Plex Serif"/>
          <w:highlight w:val="none"/>
          <w:lang w:val="en-US"/>
        </w:rPr>
        <w:t xml:space="preserve"> </w:t>
        <w:br/>
        <w:tab/>
        <w:t xml:space="preserve">Các mô hình hiện đại như GPT-4 có khả năng nhóm nhiều khoảng trắng liên tiếp thành một token duy nhất (lên đến 83 khoảng trắng) để tăng hiệu suất xử lý, đặc biệt hữu ích trong việc lập trình (code) nơi khoảng trắng dùng để thụt lề</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17B79ED1">
      <w:pPr>
        <w:pStyle w:val="841"/>
        <w:numPr>
          <w:ilvl w:val="0"/>
          <w:numId w:val="29"/>
        </w:numPr>
        <w:pBdr/>
        <w:spacing w:after="74" w:afterAutospacing="0" w:before="0" w:beforeAutospacing="0"/>
        <w:ind/>
        <w:jc w:val="left"/>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Xử lý xuyên ranh giới từ: </w:t>
      </w:r>
      <w:r>
        <w:rPr>
          <w:rFonts w:ascii="IBM Plex Serif" w:hAnsi="IBM Plex Serif" w:eastAsia="IBM Plex Serif" w:cs="IBM Plex Serif"/>
          <w:highlight w:val="none"/>
          <w:lang w:val="en-US"/>
        </w:rPr>
        <w:br/>
        <w:tab/>
        <w:t xml:space="preserve">Một số thuật toán nâng cao như SuperBPE cho phép các token trải rộng qua nhiều từ, nghĩa là chúng có thể kết hợp cả khoảng trắng và dấu câu vào bên trong một token để đạt hiệu quả nén cao hơn</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rPr>
      </w:r>
      <w:r>
        <w:rPr>
          <w:rFonts w:ascii="IBM Plex Serif" w:hAnsi="IBM Plex Serif" w:eastAsia="IBM Plex Serif" w:cs="IBM Plex Serif"/>
          <w:highlight w:val="none"/>
          <w:lang w:val="en-US"/>
        </w:rPr>
      </w:r>
    </w:p>
    <w:p w14:paraId="1F920086">
      <w:pPr>
        <w:pStyle w:val="841"/>
        <w:numPr>
          <w:ilvl w:val="0"/>
          <w:numId w:val="28"/>
        </w:numPr>
        <w:pBdr/>
        <w:spacing w:after="74" w:afterAutospacing="0" w:before="0" w:beforeAutospacing="0"/>
        <w:ind/>
        <w:jc w:val="left"/>
        <w:rPr>
          <w:rFonts w:ascii="IBM Plex Serif" w:hAnsi="IBM Plex Serif" w:eastAsia="IBM Plex Serif" w:cs="IBM Plex Serif"/>
          <w:b/>
          <w:bCs/>
          <w:highlight w:val="none"/>
          <w:lang w:val="en-US"/>
        </w:rPr>
      </w:pPr>
      <w:r>
        <w:rPr>
          <w:rFonts w:ascii="IBM Plex Serif" w:hAnsi="IBM Plex Serif" w:eastAsia="IBM Plex Serif" w:cs="IBM Plex Serif"/>
          <w:b/>
          <w:bCs/>
          <w:highlight w:val="none"/>
          <w:lang w:val="en-US"/>
        </w:rPr>
      </w:r>
      <w:r>
        <w:rPr>
          <w:rFonts w:ascii="IBM Plex Serif" w:hAnsi="IBM Plex Serif" w:eastAsia="IBM Plex Serif" w:cs="IBM Plex Serif"/>
          <w:b/>
          <w:bCs/>
          <w:highlight w:val="none"/>
          <w:lang w:val="en-US"/>
        </w:rPr>
        <w:t xml:space="preserve">Xử lý Chữ số (Digits)</w:t>
      </w:r>
      <w:r>
        <w:rPr>
          <w:rFonts w:ascii="IBM Plex Serif" w:hAnsi="IBM Plex Serif" w:eastAsia="IBM Plex Serif" w:cs="IBM Plex Serif"/>
          <w:b/>
          <w:bCs/>
          <w:highlight w:val="none"/>
        </w:rPr>
      </w:r>
    </w:p>
    <w:p w14:paraId="543742D6">
      <w:pPr>
        <w:pBdr/>
        <w:spacing w:after="74" w:afterAutospacing="0" w:before="0" w:beforeAutospacing="0"/>
        <w:ind w:firstLine="720" w:left="0"/>
        <w:jc w:val="left"/>
        <w:rPr>
          <w:rFonts w:ascii="IBM Plex Serif" w:hAnsi="IBM Plex Serif" w:eastAsia="IBM Plex Serif" w:cs="IBM Plex Serif"/>
          <w:b/>
          <w:bCs/>
          <w:highlight w:val="none"/>
        </w:rPr>
      </w:pPr>
      <w:r>
        <w:rPr>
          <w:rFonts w:ascii="IBM Plex Serif" w:hAnsi="IBM Plex Serif" w:eastAsia="IBM Plex Serif" w:cs="IBM Plex Serif"/>
          <w:b/>
          <w:bCs/>
          <w:highlight w:val="none"/>
          <w:lang w:val="en-US"/>
        </w:rPr>
      </w:r>
      <w:r>
        <w:rPr>
          <w:rFonts w:ascii="IBM Plex Serif" w:hAnsi="IBM Plex Serif" w:eastAsia="IBM Plex Serif" w:cs="IBM Plex Serif"/>
          <w:highlight w:val="none"/>
          <w:lang w:val="en-US"/>
        </w:rPr>
        <w:t xml:space="preserve">Việc xử lý con số là một thách thức vì số lượng các con số là vô hạn, không thể đưa tất cả vào từ vựng:</w:t>
      </w:r>
      <w:r>
        <w:rPr>
          <w:rFonts w:ascii="IBM Plex Serif" w:hAnsi="IBM Plex Serif" w:eastAsia="IBM Plex Serif" w:cs="IBM Plex Serif"/>
          <w:b/>
          <w:bCs/>
          <w:highlight w:val="none"/>
        </w:rPr>
      </w:r>
      <w:r/>
    </w:p>
    <w:p w14:paraId="7432AB0E">
      <w:pPr>
        <w:pStyle w:val="841"/>
        <w:numPr>
          <w:ilvl w:val="0"/>
          <w:numId w:val="30"/>
        </w:numPr>
        <w:pBdr/>
        <w:spacing w:after="74" w:afterAutospacing="0" w:before="0" w:beforeAutospacing="0"/>
        <w:ind/>
        <w:jc w:val="left"/>
        <w:rPr/>
      </w:pPr>
      <w:r>
        <w:rPr>
          <w:rFonts w:ascii="IBM Plex Serif" w:hAnsi="IBM Plex Serif" w:eastAsia="IBM Plex Serif" w:cs="IBM Plex Serif"/>
          <w:b/>
          <w:bCs/>
          <w:highlight w:val="none"/>
          <w:lang w:val="en-US"/>
        </w:rPr>
        <w:t xml:space="preserve">Chia nhóm chữ số (Chunking):</w:t>
      </w:r>
      <w:r>
        <w:rPr>
          <w:rFonts w:ascii="IBM Plex Serif" w:hAnsi="IBM Plex Serif" w:eastAsia="IBM Plex Serif" w:cs="IBM Plex Serif"/>
          <w:highlight w:val="none"/>
          <w:lang w:val="en-US"/>
        </w:rPr>
        <w:t xml:space="preserve"> </w:t>
        <w:br/>
        <w:tab/>
        <w:t xml:space="preserve">Nhiều bộ tokenizer (như GPT-4o) sẽ chia các số dài thành từng nhóm nhỏ, thường là 3 chữ số một nhóm (</w:t>
      </w:r>
      <w:r>
        <w:rPr>
          <w:rFonts w:ascii="IBM Plex Serif" w:hAnsi="IBM Plex Serif" w:eastAsia="IBM Plex Serif" w:cs="IBM Plex Serif"/>
          <w:b/>
          <w:bCs/>
          <w:highlight w:val="none"/>
          <w:lang w:val="en-US"/>
        </w:rPr>
        <w:t xml:space="preserve">ví dụ:</w:t>
      </w:r>
      <w:r>
        <w:rPr>
          <w:rFonts w:ascii="IBM Plex Serif" w:hAnsi="IBM Plex Serif" w:eastAsia="IBM Plex Serif" w:cs="IBM Plex Serif"/>
          <w:highlight w:val="none"/>
          <w:lang w:val="en-US"/>
        </w:rPr>
        <w:t xml:space="preserve"> </w:t>
      </w:r>
      <w:r>
        <w:rPr>
          <w:rFonts w:ascii="IBM Plex Serif" w:hAnsi="IBM Plex Serif" w:eastAsia="IBM Plex Serif" w:cs="IBM Plex Serif"/>
          <w:b/>
          <w:bCs/>
          <w:i/>
          <w:iCs/>
          <w:highlight w:val="none"/>
          <w:lang w:val="en-US"/>
        </w:rPr>
        <w:t xml:space="preserve">"224123"</w:t>
      </w:r>
      <w:r>
        <w:rPr>
          <w:rFonts w:ascii="IBM Plex Serif" w:hAnsi="IBM Plex Serif" w:eastAsia="IBM Plex Serif" w:cs="IBM Plex Serif"/>
          <w:highlight w:val="none"/>
          <w:lang w:val="en-US"/>
        </w:rPr>
        <w:t xml:space="preserve"> có thể tách thành </w:t>
      </w:r>
      <w:r>
        <w:rPr>
          <w:rFonts w:ascii="IBM Plex Serif" w:hAnsi="IBM Plex Serif" w:eastAsia="IBM Plex Serif" w:cs="IBM Plex Serif"/>
          <w:b/>
          <w:bCs/>
          <w:i/>
          <w:iCs/>
          <w:highlight w:val="none"/>
          <w:lang w:val="en-US"/>
        </w:rPr>
        <w:t xml:space="preserve">'224'</w:t>
      </w:r>
      <w:r>
        <w:rPr>
          <w:rFonts w:ascii="IBM Plex Serif" w:hAnsi="IBM Plex Serif" w:eastAsia="IBM Plex Serif" w:cs="IBM Plex Serif"/>
          <w:highlight w:val="none"/>
          <w:lang w:val="en-US"/>
        </w:rPr>
        <w:t xml:space="preserve"> và </w:t>
      </w:r>
      <w:r>
        <w:rPr>
          <w:rFonts w:ascii="IBM Plex Serif" w:hAnsi="IBM Plex Serif" w:eastAsia="IBM Plex Serif" w:cs="IBM Plex Serif"/>
          <w:b/>
          <w:bCs/>
          <w:i/>
          <w:iCs/>
          <w:highlight w:val="none"/>
          <w:lang w:val="en-US"/>
        </w:rPr>
        <w:t xml:space="preserve">'123'</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66E25C12">
      <w:pPr>
        <w:pStyle w:val="841"/>
        <w:numPr>
          <w:ilvl w:val="0"/>
          <w:numId w:val="30"/>
        </w:numPr>
        <w:pBdr/>
        <w:spacing w:after="74" w:afterAutospacing="0" w:before="0" w:beforeAutospacing="0"/>
        <w:ind/>
        <w:jc w:val="left"/>
        <w:rPr/>
      </w:pPr>
      <w:r>
        <w:rPr>
          <w:rFonts w:ascii="IBM Plex Serif" w:hAnsi="IBM Plex Serif" w:eastAsia="IBM Plex Serif" w:cs="IBM Plex Serif"/>
          <w:b/>
          <w:bCs/>
          <w:highlight w:val="none"/>
          <w:lang w:val="en-US"/>
        </w:rPr>
        <w:t xml:space="preserve">Tách từng chữ số đơn lẻ:</w:t>
      </w:r>
      <w:r>
        <w:rPr>
          <w:rFonts w:ascii="IBM Plex Serif" w:hAnsi="IBM Plex Serif" w:eastAsia="IBM Plex Serif" w:cs="IBM Plex Serif"/>
          <w:highlight w:val="none"/>
          <w:lang w:val="en-US"/>
        </w:rPr>
        <w:t xml:space="preserve"> </w:t>
        <w:br/>
        <w:tab/>
        <w:t xml:space="preserve">Để hỗ trợ tốt hơn cho các bài toán toán học và lập trình, một số bộ tokenizer (như Galactica hoặc StarCoder2) quy định mỗi chữ số từ 0-9 là một token riêng biệt</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Cách tiếp cận này giúp mô hình tránh bị nhầm lẫn khi gặp các tổ hợp số hiếm gặp</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30E63CFD">
      <w:pPr>
        <w:pStyle w:val="841"/>
        <w:numPr>
          <w:ilvl w:val="0"/>
          <w:numId w:val="30"/>
        </w:numPr>
        <w:pBdr/>
        <w:spacing w:after="74" w:afterAutospacing="0" w:before="0" w:beforeAutospacing="0"/>
        <w:ind/>
        <w:jc w:val="left"/>
        <w:rPr/>
      </w:pPr>
      <w:r>
        <w:rPr>
          <w:rFonts w:ascii="IBM Plex Serif" w:hAnsi="IBM Plex Serif" w:eastAsia="IBM Plex Serif" w:cs="IBM Plex Serif"/>
          <w:b/>
          <w:bCs/>
          <w:highlight w:val="none"/>
          <w:lang w:val="en-US"/>
        </w:rPr>
        <w:t xml:space="preserve">Phân đoạn thành token con (Subwords): </w:t>
        <w:br/>
        <w:tab/>
      </w:r>
      <w:r>
        <w:rPr>
          <w:rFonts w:ascii="IBM Plex Serif" w:hAnsi="IBM Plex Serif" w:eastAsia="IBM Plex Serif" w:cs="IBM Plex Serif"/>
          <w:highlight w:val="none"/>
          <w:lang w:val="en-US"/>
        </w:rPr>
        <w:t xml:space="preserve">Nếu một con số không có sẵn trong từ vựng và không được xử lý theo quy tắc chữ số đơn lẻ, nó sẽ bị tách thành các phần nhỏ hơn dựa trên tần suất xuất hiện trong dữ liệu huấn luyện (</w:t>
      </w:r>
      <w:r>
        <w:rPr>
          <w:rFonts w:ascii="IBM Plex Serif" w:hAnsi="IBM Plex Serif" w:eastAsia="IBM Plex Serif" w:cs="IBM Plex Serif"/>
          <w:b/>
          <w:bCs/>
          <w:highlight w:val="none"/>
          <w:lang w:val="en-US"/>
        </w:rPr>
        <w:t xml:space="preserve">ví dụ:</w:t>
      </w:r>
      <w:r>
        <w:rPr>
          <w:rFonts w:ascii="IBM Plex Serif" w:hAnsi="IBM Plex Serif" w:eastAsia="IBM Plex Serif" w:cs="IBM Plex Serif"/>
          <w:highlight w:val="none"/>
          <w:lang w:val="en-US"/>
        </w:rPr>
        <w:t xml:space="preserve"> số </w:t>
      </w:r>
      <w:r>
        <w:rPr>
          <w:rFonts w:ascii="IBM Plex Serif" w:hAnsi="IBM Plex Serif" w:eastAsia="IBM Plex Serif" w:cs="IBM Plex Serif"/>
          <w:b/>
          <w:bCs/>
          <w:i/>
          <w:iCs/>
          <w:highlight w:val="none"/>
          <w:lang w:val="en-US"/>
        </w:rPr>
        <w:t xml:space="preserve">937</w:t>
      </w:r>
      <w:r>
        <w:rPr>
          <w:rFonts w:ascii="IBM Plex Serif" w:hAnsi="IBM Plex Serif" w:eastAsia="IBM Plex Serif" w:cs="IBM Plex Serif"/>
          <w:highlight w:val="none"/>
          <w:lang w:val="en-US"/>
        </w:rPr>
        <w:t xml:space="preserve"> có thể bị tách thành </w:t>
      </w:r>
      <w:r>
        <w:rPr>
          <w:rFonts w:ascii="IBM Plex Serif" w:hAnsi="IBM Plex Serif" w:eastAsia="IBM Plex Serif" w:cs="IBM Plex Serif"/>
          <w:b/>
          <w:bCs/>
          <w:i/>
          <w:iCs/>
          <w:highlight w:val="none"/>
          <w:lang w:val="en-US"/>
        </w:rPr>
        <w:t xml:space="preserve">'9'</w:t>
      </w:r>
      <w:r>
        <w:rPr>
          <w:rFonts w:ascii="IBM Plex Serif" w:hAnsi="IBM Plex Serif" w:eastAsia="IBM Plex Serif" w:cs="IBM Plex Serif"/>
          <w:highlight w:val="none"/>
          <w:lang w:val="en-US"/>
        </w:rPr>
        <w:t xml:space="preserve"> và </w:t>
      </w:r>
      <w:r>
        <w:rPr>
          <w:rFonts w:ascii="IBM Plex Serif" w:hAnsi="IBM Plex Serif" w:eastAsia="IBM Plex Serif" w:cs="IBM Plex Serif"/>
          <w:b/>
          <w:bCs/>
          <w:i/>
          <w:iCs/>
          <w:highlight w:val="none"/>
          <w:lang w:val="en-US"/>
        </w:rPr>
        <w:t xml:space="preserve">'37'</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41EE1721">
      <w:pPr>
        <w:pStyle w:val="841"/>
        <w:numPr>
          <w:ilvl w:val="0"/>
          <w:numId w:val="30"/>
        </w:numPr>
        <w:pBdr/>
        <w:spacing w:after="74" w:afterAutospacing="0" w:before="0" w:beforeAutospacing="0"/>
        <w:ind/>
        <w:jc w:val="left"/>
        <w:rPr/>
      </w:pPr>
      <w:r>
        <w:rPr>
          <w:rFonts w:ascii="IBM Plex Serif" w:hAnsi="IBM Plex Serif" w:eastAsia="IBM Plex Serif" w:cs="IBM Plex Serif"/>
          <w:b/>
          <w:bCs/>
          <w:highlight w:val="none"/>
          <w:lang w:val="en-US"/>
        </w:rPr>
        <w:t xml:space="preserve">Sử dụng biểu thức chính quy: </w:t>
        <w:br/>
        <w:tab/>
      </w:r>
      <w:r>
        <w:rPr>
          <w:rFonts w:ascii="IBM Plex Serif" w:hAnsi="IBM Plex Serif" w:eastAsia="IBM Plex Serif" w:cs="IBM Plex Serif"/>
          <w:highlight w:val="none"/>
          <w:lang w:val="en-US"/>
        </w:rPr>
        <w:t xml:space="preserve">Trong giai đoạn tiền xử lý, các bộ tokenizer thường dùng regex (như </w:t>
      </w:r>
      <w:r>
        <w:rPr>
          <w:rFonts w:ascii="IBM Plex Serif" w:hAnsi="IBM Plex Serif" w:eastAsia="IBM Plex Serif" w:cs="IBM Plex Serif"/>
          <w:b/>
          <w:bCs/>
          <w:i w:val="0"/>
          <w:iCs w:val="0"/>
          <w:highlight w:val="none"/>
          <w:lang w:val="en-US"/>
        </w:rPr>
        <w:t xml:space="preserve">\p{N}+</w:t>
      </w:r>
      <w:r>
        <w:rPr>
          <w:rFonts w:ascii="IBM Plex Serif" w:hAnsi="IBM Plex Serif" w:eastAsia="IBM Plex Serif" w:cs="IBM Plex Serif"/>
          <w:highlight w:val="none"/>
          <w:lang w:val="en-US"/>
        </w:rPr>
        <w:t xml:space="preserve">) để nhận diện và tách các chuỗi chữ số ra khỏi các ký tự chữ cái hoặc dấu câu</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14D2527D" w14:textId="465DF9B7">
      <w:pPr>
        <w:pStyle w:val="825"/>
        <w:pBdr/>
        <w:spacing w:after="74" w:afterAutospacing="0" w:before="0" w:beforeAutospacing="0"/>
        <w:ind/>
        <w:jc w:val="left"/>
        <w:rPr>
          <w:rFonts w:ascii="IBM Plex Serif" w:hAnsi="IBM Plex Serif" w:cs="IBM Plex Serif"/>
        </w:rPr>
      </w:pPr>
      <w:r>
        <w:rPr>
          <w:rFonts w:ascii="IBM Plex Serif" w:hAnsi="IBM Plex Serif" w:eastAsia="IBM Plex Serif" w:cs="IBM Plex Serif"/>
          <w:lang w:val="en-US"/>
        </w:rPr>
        <w:t xml:space="preserve">(xem tài liệu số 2)</w:t>
      </w:r>
      <w:r>
        <w:rPr>
          <w:rFonts w:ascii="IBM Plex Serif" w:hAnsi="IBM Plex Serif" w:eastAsia="IBM Plex Serif" w:cs="IBM Plex Serif"/>
          <w:lang w:val="en-US"/>
        </w:rPr>
      </w:r>
    </w:p>
    <w:p w14:paraId="5DA33DFF" w14:textId="379FEA3B">
      <w:pPr>
        <w:pBdr/>
        <w:spacing w:after="74" w:afterAutospacing="0" w:before="0" w:beforeAutospacing="0"/>
        <w:ind w:firstLine="720"/>
        <w:jc w:val="left"/>
        <w:rPr>
          <w:rFonts w:ascii="IBM Plex Serif" w:hAnsi="IBM Plex Serif" w:eastAsia="IBM Plex Serif" w:cs="IBM Plex Serif"/>
          <w:highlight w:val="none"/>
          <w:lang w:val="en-US"/>
        </w:rPr>
      </w:pPr>
      <w:r>
        <w:rPr>
          <w:rFonts w:ascii="IBM Plex Serif" w:hAnsi="IBM Plex Serif" w:eastAsia="IBM Plex Serif" w:cs="IBM Plex Serif"/>
          <w:lang w:val="en-US"/>
        </w:rPr>
        <w:t xml:space="preserve">So sánh các bộ LLM tokenizer được huấn luyện (</w:t>
      </w:r>
      <w:r>
        <w:rPr>
          <w:rFonts w:ascii="IBM Plex Serif" w:hAnsi="IBM Plex Serif" w:eastAsia="IBM Plex Serif" w:cs="IBM Plex Serif"/>
          <w:lang w:val="en-US"/>
        </w:rPr>
        <w:t xml:space="preserve">Trained LLM Tokenizers</w:t>
      </w:r>
      <w:r>
        <w:rPr>
          <w:rFonts w:ascii="IBM Plex Serif" w:hAnsi="IBM Plex Serif" w:eastAsia="IBM Plex Serif" w:cs="IBM Plex Serif"/>
          <w:lang w:val="en-US"/>
        </w:rPr>
        <w:t xml:space="preserve">).</w:t>
      </w:r>
      <w:r>
        <w:rPr>
          <w:rFonts w:ascii="IBM Plex Serif" w:hAnsi="IBM Plex Serif" w:cs="IBM Plex Serif"/>
        </w:rPr>
      </w:r>
    </w:p>
    <w:p w14:paraId="5AB4B9FE">
      <w:pPr>
        <w:pBdr/>
        <w:spacing w:after="74" w:afterAutospacing="0" w:before="0" w:beforeAutospacing="0"/>
        <w:ind w:firstLine="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Pr>
          <w:rFonts w:ascii="IBM Plex Serif" w:hAnsi="IBM Plex Serif" w:eastAsia="IBM Plex Serif" w:cs="IBM Plex Serif"/>
          <w:highlight w:val="none"/>
          <w:lang w:val="en-US" w:bidi="en-US"/>
        </w:rPr>
        <w:t xml:space="preserve">——</w:t>
      </w:r>
      <w:r/>
      <w:r>
        <w:rPr>
          <w:rFonts w:ascii="IBM Plex Serif" w:hAnsi="IBM Plex Serif" w:eastAsia="IBM Plex Serif" w:cs="IBM Plex Serif"/>
          <w:highlight w:val="none"/>
          <w:lang w:val="en-US"/>
        </w:rPr>
      </w:r>
      <w:r>
        <w:rPr>
          <w:rFonts w:ascii="IBM Plex Serif" w:hAnsi="IBM Plex Serif" w:cs="IBM Plex Serif"/>
        </w:rPr>
      </w:r>
    </w:p>
    <w:p w14:paraId="53FA4A76">
      <w:pPr>
        <w:pBdr/>
        <w:spacing w:after="74" w:afterAutospacing="0" w:before="0" w:beforeAutospacing="0"/>
        <w:ind w:firstLine="720"/>
        <w:jc w:val="left"/>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Việc so sánh các bộ tokenizer của các </w:t>
      </w:r>
      <w:r>
        <w:rPr>
          <w:rFonts w:ascii="IBM Plex Serif" w:hAnsi="IBM Plex Serif" w:eastAsia="IBM Plex Serif" w:cs="IBM Plex Serif"/>
          <w:b/>
          <w:bCs/>
          <w:highlight w:val="none"/>
          <w:lang w:val="en-US"/>
        </w:rPr>
        <w:t xml:space="preserve">mô hình ngôn ngữ lớn (LLM)</w:t>
      </w:r>
      <w:r>
        <w:rPr>
          <w:rFonts w:ascii="IBM Plex Serif" w:hAnsi="IBM Plex Serif" w:eastAsia="IBM Plex Serif" w:cs="IBM Plex Serif"/>
          <w:highlight w:val="none"/>
          <w:lang w:val="en-US"/>
        </w:rPr>
        <w:t xml:space="preserve"> đã được huấn luyện dựa trên ba yếu tố chính: thuật toán tách từ, các tham số thiết kế (như kích thước từ vựng và mã thông báo đặc biệt), và </w:t>
      </w:r>
      <w:r>
        <w:rPr>
          <w:rFonts w:ascii="IBM Plex Serif" w:hAnsi="IBM Plex Serif" w:eastAsia="IBM Plex Serif" w:cs="IBM Plex Serif"/>
          <w:b/>
          <w:bCs/>
          <w:highlight w:val="none"/>
          <w:lang w:val="en-US"/>
        </w:rPr>
        <w:t xml:space="preserve">ngữ liệu (dataset)</w:t>
      </w:r>
      <w:r>
        <w:rPr>
          <w:rFonts w:ascii="IBM Plex Serif" w:hAnsi="IBM Plex Serif" w:eastAsia="IBM Plex Serif" w:cs="IBM Plex Serif"/>
          <w:highlight w:val="none"/>
          <w:lang w:val="en-US"/>
        </w:rPr>
        <w:t xml:space="preserve"> mà bộ tokenizer đó được huấn luyệ</w:t>
      </w:r>
      <w:r>
        <w:rPr>
          <w:rFonts w:ascii="IBM Plex Serif" w:hAnsi="IBM Plex Serif" w:eastAsia="IBM Plex Serif" w:cs="IBM Plex Serif"/>
          <w:highlight w:val="none"/>
          <w:lang w:val="en-US"/>
        </w:rPr>
        <w:t xml:space="preserve">n</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Dưới đây là bảng so sánh chi tiết các bộ tokenizer phổ biến:</w:t>
      </w:r>
      <w:r>
        <w:rPr>
          <w:rFonts w:ascii="IBM Plex Serif" w:hAnsi="IBM Plex Serif" w:eastAsia="IBM Plex Serif" w:cs="IBM Plex Serif"/>
          <w:highlight w:val="none"/>
          <w:lang w:val="en-US"/>
        </w:rPr>
      </w:r>
    </w:p>
    <w:p w14:paraId="6C6C1CA3">
      <w:pPr>
        <w:pStyle w:val="841"/>
        <w:numPr>
          <w:ilvl w:val="0"/>
          <w:numId w:val="31"/>
        </w:numPr>
        <w:pBdr/>
        <w:spacing w:after="74" w:afterAutospacing="0" w:before="0" w:beforeAutospacing="0"/>
        <w:ind/>
        <w:jc w:val="left"/>
        <w:rPr>
          <w:rFonts w:ascii="IBM Plex Serif" w:hAnsi="IBM Plex Serif" w:eastAsia="IBM Plex Serif" w:cs="IBM Plex Serif"/>
          <w:b/>
          <w:bCs/>
          <w:highlight w:val="none"/>
        </w:rPr>
      </w:pP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bidi="en-US"/>
        </w:rPr>
        <w:t xml:space="preserve">So sánh theo thuật toán và đặc điểm kỹ thuật</w:t>
      </w: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rPr>
      </w:r>
    </w:p>
    <w:tbl>
      <w:tblPr>
        <w:tblStyle w:val="855"/>
        <w:tblW w:w="0" w:type="auto"/>
        <w:tblBorders/>
        <w:tblLayout w:type="fixed"/>
        <w:tblLook w:val="04A0" w:firstRow="1" w:lastRow="0" w:firstColumn="1" w:lastColumn="0" w:noHBand="0" w:noVBand="1"/>
      </w:tblPr>
      <w:tblGrid>
        <w:gridCol w:w="1253"/>
        <w:gridCol w:w="1417"/>
        <w:gridCol w:w="1559"/>
        <w:gridCol w:w="4797"/>
      </w:tblGrid>
      <w:tr>
        <w:trPr/>
        <w:tc>
          <w:tcPr>
            <w:tcBorders/>
            <w:tcW w:w="1253" w:type="dxa"/>
            <w:vAlign w:val="center"/>
          </w:tcPr>
          <w:p w14:paraId="573FAF26">
            <w:pPr>
              <w:pBdr/>
              <w:spacing w:after="74" w:afterAutospacing="0" w:before="0" w:beforeAutospacing="0"/>
              <w:ind/>
              <w:jc w:val="center"/>
              <w:rPr>
                <w:rFonts w:ascii="IBM Plex Serif" w:hAnsi="IBM Plex Serif" w:eastAsia="IBM Plex Serif" w:cs="IBM Plex Serif"/>
                <w:b/>
                <w:bCs/>
                <w:sz w:val="20"/>
                <w:szCs w:val="20"/>
                <w:highlight w:val="none"/>
              </w:rPr>
            </w:pPr>
            <w:r>
              <w:rPr>
                <w:rFonts w:ascii="IBM Plex Serif" w:hAnsi="IBM Plex Serif" w:eastAsia="IBM Plex Serif" w:cs="IBM Plex Serif"/>
                <w:b/>
                <w:bCs/>
                <w:sz w:val="20"/>
                <w:szCs w:val="20"/>
                <w:highlight w:val="none"/>
                <w:lang w:val="en-US" w:bidi="en-US"/>
              </w:rPr>
            </w:r>
            <w:r>
              <w:rPr>
                <w:rFonts w:ascii="IBM Plex Serif" w:hAnsi="IBM Plex Serif" w:eastAsia="IBM Plex Serif" w:cs="IBM Plex Serif"/>
                <w:b/>
                <w:bCs/>
                <w:sz w:val="20"/>
                <w:szCs w:val="20"/>
                <w:highlight w:val="none"/>
                <w:lang w:val="en-US" w:bidi="en-US"/>
              </w:rPr>
              <w:t xml:space="preserve">Bộ Tokenizer (Mô hình)</w:t>
            </w:r>
            <w:r>
              <w:rPr>
                <w:rFonts w:ascii="IBM Plex Serif" w:hAnsi="IBM Plex Serif" w:eastAsia="IBM Plex Serif" w:cs="IBM Plex Serif"/>
                <w:b/>
                <w:bCs/>
                <w:sz w:val="20"/>
                <w:szCs w:val="20"/>
                <w:highlight w:val="none"/>
                <w:lang w:val="en-US" w:bidi="en-US"/>
              </w:rPr>
            </w:r>
            <w:r>
              <w:rPr>
                <w:rFonts w:ascii="IBM Plex Serif" w:hAnsi="IBM Plex Serif" w:eastAsia="IBM Plex Serif" w:cs="IBM Plex Serif"/>
                <w:b/>
                <w:bCs/>
                <w:sz w:val="20"/>
                <w:szCs w:val="20"/>
                <w:highlight w:val="none"/>
                <w:lang w:val="en-US"/>
              </w:rPr>
            </w:r>
          </w:p>
        </w:tc>
        <w:tc>
          <w:tcPr>
            <w:tcBorders/>
            <w:tcW w:w="1417" w:type="dxa"/>
            <w:vAlign w:val="center"/>
          </w:tcPr>
          <w:p w14:paraId="011A0797">
            <w:pPr>
              <w:pBdr/>
              <w:spacing w:after="74" w:afterAutospacing="0" w:before="0" w:beforeAutospacing="0"/>
              <w:ind/>
              <w:jc w:val="center"/>
              <w:rPr>
                <w:rFonts w:ascii="IBM Plex Serif" w:hAnsi="IBM Plex Serif" w:eastAsia="IBM Plex Serif" w:cs="IBM Plex Serif"/>
                <w:b/>
                <w:bCs/>
                <w:sz w:val="20"/>
                <w:szCs w:val="20"/>
                <w:highlight w:val="none"/>
              </w:rPr>
            </w:pPr>
            <w:r>
              <w:rPr>
                <w:rFonts w:ascii="IBM Plex Serif" w:hAnsi="IBM Plex Serif" w:eastAsia="IBM Plex Serif" w:cs="IBM Plex Serif"/>
                <w:b/>
                <w:bCs/>
                <w:sz w:val="20"/>
                <w:szCs w:val="20"/>
                <w:highlight w:val="none"/>
                <w:lang w:val="en-US" w:bidi="en-US"/>
              </w:rPr>
            </w:r>
            <w:r>
              <w:rPr>
                <w:rFonts w:ascii="IBM Plex Serif" w:hAnsi="IBM Plex Serif" w:eastAsia="IBM Plex Serif" w:cs="IBM Plex Serif"/>
                <w:b/>
                <w:bCs/>
                <w:sz w:val="20"/>
                <w:szCs w:val="20"/>
                <w:highlight w:val="none"/>
                <w:lang w:val="en-US" w:bidi="en-US"/>
              </w:rPr>
              <w:t xml:space="preserve">Thuật toán chính</w:t>
            </w:r>
            <w:r>
              <w:rPr>
                <w:rFonts w:ascii="IBM Plex Serif" w:hAnsi="IBM Plex Serif" w:eastAsia="IBM Plex Serif" w:cs="IBM Plex Serif"/>
                <w:b/>
                <w:bCs/>
                <w:sz w:val="20"/>
                <w:szCs w:val="20"/>
                <w:highlight w:val="none"/>
                <w:lang w:val="en-US" w:bidi="en-US"/>
              </w:rPr>
            </w:r>
            <w:r>
              <w:rPr>
                <w:rFonts w:ascii="IBM Plex Serif" w:hAnsi="IBM Plex Serif" w:eastAsia="IBM Plex Serif" w:cs="IBM Plex Serif"/>
                <w:b/>
                <w:bCs/>
                <w:sz w:val="20"/>
                <w:szCs w:val="20"/>
                <w:highlight w:val="none"/>
                <w:lang w:val="en-US"/>
              </w:rPr>
            </w:r>
          </w:p>
        </w:tc>
        <w:tc>
          <w:tcPr>
            <w:tcBorders/>
            <w:tcW w:w="1559" w:type="dxa"/>
            <w:vAlign w:val="center"/>
          </w:tcPr>
          <w:p w14:paraId="46A4BB21">
            <w:pPr>
              <w:pBdr/>
              <w:spacing w:after="74" w:afterAutospacing="0" w:before="0" w:beforeAutospacing="0"/>
              <w:ind/>
              <w:jc w:val="center"/>
              <w:rPr>
                <w:rFonts w:ascii="IBM Plex Serif" w:hAnsi="IBM Plex Serif" w:eastAsia="IBM Plex Serif" w:cs="IBM Plex Serif"/>
                <w:b/>
                <w:bCs/>
                <w:sz w:val="20"/>
                <w:szCs w:val="20"/>
                <w:highlight w:val="none"/>
              </w:rPr>
            </w:pPr>
            <w:r>
              <w:rPr>
                <w:rFonts w:ascii="IBM Plex Serif" w:hAnsi="IBM Plex Serif" w:eastAsia="IBM Plex Serif" w:cs="IBM Plex Serif"/>
                <w:b/>
                <w:bCs/>
                <w:sz w:val="20"/>
                <w:szCs w:val="20"/>
                <w:highlight w:val="none"/>
                <w:lang w:val="en-US" w:bidi="en-US"/>
              </w:rPr>
            </w:r>
            <w:r>
              <w:rPr>
                <w:rFonts w:ascii="IBM Plex Serif" w:hAnsi="IBM Plex Serif" w:eastAsia="IBM Plex Serif" w:cs="IBM Plex Serif"/>
                <w:b/>
                <w:bCs/>
                <w:sz w:val="20"/>
                <w:szCs w:val="20"/>
                <w:highlight w:val="none"/>
                <w:lang w:val="en-US" w:bidi="en-US"/>
              </w:rPr>
              <w:t xml:space="preserve">Kích thước từ vựng (Vocab Size)</w:t>
            </w:r>
            <w:r>
              <w:rPr>
                <w:rFonts w:ascii="IBM Plex Serif" w:hAnsi="IBM Plex Serif" w:eastAsia="IBM Plex Serif" w:cs="IBM Plex Serif"/>
                <w:b/>
                <w:bCs/>
                <w:sz w:val="20"/>
                <w:szCs w:val="20"/>
                <w:highlight w:val="none"/>
                <w:lang w:val="en-US" w:bidi="en-US"/>
              </w:rPr>
            </w:r>
            <w:r>
              <w:rPr>
                <w:rFonts w:ascii="IBM Plex Serif" w:hAnsi="IBM Plex Serif" w:eastAsia="IBM Plex Serif" w:cs="IBM Plex Serif"/>
                <w:b/>
                <w:bCs/>
                <w:sz w:val="20"/>
                <w:szCs w:val="20"/>
                <w:highlight w:val="none"/>
                <w:lang w:val="en-US"/>
              </w:rPr>
            </w:r>
          </w:p>
        </w:tc>
        <w:tc>
          <w:tcPr>
            <w:tcBorders/>
            <w:tcW w:w="4797" w:type="dxa"/>
            <w:vAlign w:val="center"/>
          </w:tcPr>
          <w:p w14:paraId="689C9D5E">
            <w:pPr>
              <w:pBdr/>
              <w:spacing w:after="74" w:afterAutospacing="0" w:before="0" w:beforeAutospacing="0"/>
              <w:ind/>
              <w:jc w:val="center"/>
              <w:rPr>
                <w:rFonts w:ascii="IBM Plex Serif" w:hAnsi="IBM Plex Serif" w:eastAsia="IBM Plex Serif" w:cs="IBM Plex Serif"/>
                <w:b/>
                <w:bCs/>
                <w:sz w:val="20"/>
                <w:szCs w:val="20"/>
                <w:highlight w:val="none"/>
              </w:rPr>
            </w:pPr>
            <w:r>
              <w:rPr>
                <w:rFonts w:ascii="IBM Plex Serif" w:hAnsi="IBM Plex Serif" w:eastAsia="IBM Plex Serif" w:cs="IBM Plex Serif"/>
                <w:b/>
                <w:bCs/>
                <w:sz w:val="20"/>
                <w:szCs w:val="20"/>
                <w:highlight w:val="none"/>
                <w:lang w:val="en-US" w:bidi="en-US"/>
              </w:rPr>
            </w:r>
            <w:r>
              <w:rPr>
                <w:rFonts w:ascii="IBM Plex Serif" w:hAnsi="IBM Plex Serif" w:eastAsia="IBM Plex Serif" w:cs="IBM Plex Serif"/>
                <w:b/>
                <w:bCs/>
                <w:sz w:val="20"/>
                <w:szCs w:val="20"/>
                <w:highlight w:val="none"/>
                <w:lang w:val="en-US" w:bidi="en-US"/>
              </w:rPr>
              <w:t xml:space="preserve">Đặc điểm nổi bật</w:t>
            </w:r>
            <w:r>
              <w:rPr>
                <w:rFonts w:ascii="IBM Plex Serif" w:hAnsi="IBM Plex Serif" w:eastAsia="IBM Plex Serif" w:cs="IBM Plex Serif"/>
                <w:b/>
                <w:bCs/>
                <w:sz w:val="20"/>
                <w:szCs w:val="20"/>
                <w:highlight w:val="none"/>
                <w:lang w:val="en-US" w:bidi="en-US"/>
              </w:rPr>
            </w:r>
            <w:r>
              <w:rPr>
                <w:rFonts w:ascii="IBM Plex Serif" w:hAnsi="IBM Plex Serif" w:eastAsia="IBM Plex Serif" w:cs="IBM Plex Serif"/>
                <w:b/>
                <w:bCs/>
                <w:sz w:val="20"/>
                <w:szCs w:val="20"/>
                <w:highlight w:val="none"/>
                <w:lang w:val="en-US"/>
              </w:rPr>
            </w:r>
          </w:p>
        </w:tc>
      </w:tr>
      <w:tr>
        <w:trPr/>
        <w:tc>
          <w:tcPr>
            <w:tcBorders/>
            <w:tcW w:w="1253" w:type="dxa"/>
            <w:vAlign w:val="center"/>
          </w:tcPr>
          <w:p w14:paraId="2A440608">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BERT</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c>
          <w:tcPr>
            <w:tcBorders/>
            <w:tcW w:w="1417" w:type="dxa"/>
            <w:vAlign w:val="center"/>
          </w:tcPr>
          <w:p w14:paraId="1FB883BA">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t xml:space="preserve">WordPiece</w:t>
            </w:r>
            <w:r>
              <w:rPr>
                <w:rFonts w:ascii="IBM Plex Serif" w:hAnsi="IBM Plex Serif" w:eastAsia="IBM Plex Serif" w:cs="IBM Plex Serif"/>
                <w:sz w:val="20"/>
                <w:szCs w:val="20"/>
                <w:highlight w:val="none"/>
                <w:lang w:val="en-US"/>
              </w:rPr>
            </w:r>
          </w:p>
        </w:tc>
        <w:tc>
          <w:tcPr>
            <w:tcBorders/>
            <w:tcW w:w="1559" w:type="dxa"/>
            <w:vAlign w:val="center"/>
          </w:tcPr>
          <w:p w14:paraId="31259B09">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~30.000 (tiếng Anh)</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c>
          <w:tcPr>
            <w:tcBorders/>
            <w:tcW w:w="4797" w:type="dxa"/>
            <w:vAlign w:val="center"/>
          </w:tcPr>
          <w:p w14:paraId="21193D1F">
            <w:pPr>
              <w:pBdr/>
              <w:spacing w:after="74" w:afterAutospacing="0" w:before="0" w:beforeAutospacing="0"/>
              <w:ind/>
              <w:jc w:val="left"/>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Có hai phiên bản: Cased (phân biệt hoa thường) và Uncased (không phân biệt); sử dụng các mã đặc biệt </w:t>
            </w:r>
            <w:r>
              <w:rPr>
                <w:rFonts w:ascii="IBM Plex Serif" w:hAnsi="IBM Plex Serif" w:eastAsia="IBM Plex Serif" w:cs="IBM Plex Serif"/>
                <w:b w:val="0"/>
                <w:bCs w:val="0"/>
                <w:sz w:val="20"/>
                <w:szCs w:val="20"/>
                <w:highlight w:val="lightGray"/>
                <w:lang w:val="en-US" w:bidi="en-US"/>
              </w:rPr>
              <w:t xml:space="preserve">[CLS]</w:t>
            </w:r>
            <w:r>
              <w:rPr>
                <w:rFonts w:ascii="IBM Plex Serif" w:hAnsi="IBM Plex Serif" w:eastAsia="IBM Plex Serif" w:cs="IBM Plex Serif"/>
                <w:b w:val="0"/>
                <w:bCs w:val="0"/>
                <w:sz w:val="20"/>
                <w:szCs w:val="20"/>
                <w:highlight w:val="none"/>
                <w:lang w:val="en-US" w:bidi="en-US"/>
              </w:rPr>
              <w:t xml:space="preserve">, </w:t>
            </w:r>
            <w:r>
              <w:rPr>
                <w:rFonts w:ascii="IBM Plex Serif" w:hAnsi="IBM Plex Serif" w:eastAsia="IBM Plex Serif" w:cs="IBM Plex Serif"/>
                <w:b w:val="0"/>
                <w:bCs w:val="0"/>
                <w:sz w:val="20"/>
                <w:szCs w:val="20"/>
                <w:highlight w:val="lightGray"/>
                <w:lang w:val="en-US" w:bidi="en-US"/>
              </w:rPr>
              <w:t xml:space="preserve">[SEP]</w:t>
            </w:r>
            <w:r>
              <w:rPr>
                <w:rFonts w:ascii="IBM Plex Serif" w:hAnsi="IBM Plex Serif" w:eastAsia="IBM Plex Serif" w:cs="IBM Plex Serif"/>
                <w:b w:val="0"/>
                <w:bCs w:val="0"/>
                <w:sz w:val="20"/>
                <w:szCs w:val="20"/>
                <w:highlight w:val="none"/>
                <w:lang w:val="en-US" w:bidi="en-US"/>
              </w:rPr>
              <w:t xml:space="preserve">,</w:t>
            </w:r>
            <w:r>
              <w:rPr>
                <w:rFonts w:ascii="IBM Plex Serif" w:hAnsi="IBM Plex Serif" w:eastAsia="IBM Plex Serif" w:cs="IBM Plex Serif"/>
                <w:b w:val="0"/>
                <w:bCs w:val="0"/>
                <w:sz w:val="20"/>
                <w:szCs w:val="20"/>
                <w:highlight w:val="lightGray"/>
                <w:lang w:val="en-US" w:bidi="en-US"/>
              </w:rPr>
              <w:t xml:space="preserve"> [MASK]</w:t>
            </w:r>
            <w:r>
              <w:rPr>
                <w:rFonts w:ascii="IBM Plex Serif" w:hAnsi="IBM Plex Serif" w:eastAsia="IBM Plex Serif" w:cs="IBM Plex Serif"/>
                <w:b w:val="0"/>
                <w:bCs w:val="0"/>
                <w:sz w:val="20"/>
                <w:szCs w:val="20"/>
                <w:highlight w:val="none"/>
                <w:lang w:val="en-US" w:bidi="en-US"/>
              </w:rPr>
              <w:t xml:space="preserve">, </w:t>
            </w:r>
            <w:r>
              <w:rPr>
                <w:rFonts w:ascii="IBM Plex Serif" w:hAnsi="IBM Plex Serif" w:eastAsia="IBM Plex Serif" w:cs="IBM Plex Serif"/>
                <w:b w:val="0"/>
                <w:bCs w:val="0"/>
                <w:sz w:val="20"/>
                <w:szCs w:val="20"/>
                <w:highlight w:val="lightGray"/>
                <w:lang w:val="en-US" w:bidi="en-US"/>
              </w:rPr>
              <w:t xml:space="preserve">[PAD]</w:t>
            </w:r>
            <w:r>
              <w:rPr>
                <w:rFonts w:ascii="IBM Plex Serif" w:hAnsi="IBM Plex Serif" w:eastAsia="IBM Plex Serif" w:cs="IBM Plex Serif"/>
                <w:b w:val="0"/>
                <w:bCs w:val="0"/>
                <w:sz w:val="20"/>
                <w:szCs w:val="20"/>
                <w:highlight w:val="none"/>
                <w:lang w:val="en-US" w:bidi="en-US"/>
              </w:rPr>
              <w:t xml:space="preserve">, </w:t>
            </w:r>
            <w:r>
              <w:rPr>
                <w:rFonts w:ascii="IBM Plex Serif" w:hAnsi="IBM Plex Serif" w:eastAsia="IBM Plex Serif" w:cs="IBM Plex Serif"/>
                <w:b w:val="0"/>
                <w:bCs w:val="0"/>
                <w:sz w:val="20"/>
                <w:szCs w:val="20"/>
                <w:highlight w:val="lightGray"/>
                <w:lang w:val="en-US" w:bidi="en-US"/>
              </w:rPr>
              <w:t xml:space="preserve">[UNK]</w:t>
            </w:r>
            <w:r>
              <w:rPr>
                <w:rFonts w:ascii="IBM Plex Serif" w:hAnsi="IBM Plex Serif" w:eastAsia="IBM Plex Serif" w:cs="IBM Plex Serif"/>
                <w:sz w:val="20"/>
                <w:szCs w:val="20"/>
                <w:highlight w:val="none"/>
                <w:lang w:val="en-US" w:bidi="en-US"/>
              </w:rPr>
              <w:t xml:space="preserve">.</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r>
      <w:tr>
        <w:trPr/>
        <w:tc>
          <w:tcPr>
            <w:tcBorders/>
            <w:tcW w:w="1253" w:type="dxa"/>
            <w:vAlign w:val="center"/>
          </w:tcPr>
          <w:p w14:paraId="12B23F05">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t xml:space="preserve">GPT-</w:t>
            </w:r>
            <w:r>
              <w:rPr>
                <w:rFonts w:ascii="IBM Plex Serif" w:hAnsi="IBM Plex Serif" w:eastAsia="IBM Plex Serif" w:cs="IBM Plex Serif"/>
                <w:sz w:val="20"/>
                <w:szCs w:val="20"/>
                <w:highlight w:val="none"/>
                <w:lang w:val="en-US" w:bidi="en-US"/>
              </w:rPr>
              <w:t xml:space="preserve">2</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c>
          <w:tcPr>
            <w:tcBorders/>
            <w:tcW w:w="1417" w:type="dxa"/>
            <w:vAlign w:val="center"/>
          </w:tcPr>
          <w:p w14:paraId="21760525">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Byte Pair Encoding (BPE)</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c>
          <w:tcPr>
            <w:tcBorders/>
            <w:tcW w:w="1559" w:type="dxa"/>
            <w:vAlign w:val="center"/>
          </w:tcPr>
          <w:p w14:paraId="38095E17">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50.257</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c>
          <w:tcPr>
            <w:tcBorders/>
            <w:tcW w:w="4797" w:type="dxa"/>
            <w:vAlign w:val="center"/>
          </w:tcPr>
          <w:p w14:paraId="5505F798">
            <w:pPr>
              <w:pBdr/>
              <w:spacing w:after="74" w:afterAutospacing="0" w:before="0" w:beforeAutospacing="0"/>
              <w:ind/>
              <w:jc w:val="left"/>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Chạy trên các byte thay vì ký tự Unicode để tránh lỗi từ ngoài từ điển (OOV); bảo toàn khoảng trắng và xuống dòng.</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r>
      <w:tr>
        <w:trPr/>
        <w:tc>
          <w:tcPr>
            <w:tcBorders/>
            <w:tcW w:w="1253" w:type="dxa"/>
            <w:vAlign w:val="center"/>
          </w:tcPr>
          <w:p w14:paraId="618CBB19">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t xml:space="preserve">GPT-4/GPT-4o</w:t>
            </w:r>
            <w:r>
              <w:rPr>
                <w:rFonts w:ascii="IBM Plex Serif" w:hAnsi="IBM Plex Serif" w:eastAsia="IBM Plex Serif" w:cs="IBM Plex Serif"/>
                <w:sz w:val="20"/>
                <w:szCs w:val="20"/>
                <w:highlight w:val="none"/>
                <w:lang w:val="en-US"/>
              </w:rPr>
            </w:r>
          </w:p>
        </w:tc>
        <w:tc>
          <w:tcPr>
            <w:tcBorders/>
            <w:tcW w:w="1417" w:type="dxa"/>
            <w:vAlign w:val="center"/>
          </w:tcPr>
          <w:p w14:paraId="765ADA86">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Byte Pair Encoding (BPE)</w:t>
            </w:r>
            <w:r>
              <w:rPr>
                <w:sz w:val="20"/>
                <w:szCs w:val="20"/>
              </w:rPr>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r>
          </w:p>
        </w:tc>
        <w:tc>
          <w:tcPr>
            <w:tcBorders/>
            <w:tcW w:w="1559" w:type="dxa"/>
            <w:vAlign w:val="center"/>
          </w:tcPr>
          <w:p w14:paraId="41ED3BE6">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~100.000 (GPT-4) / 200.000 (GPT-4o)</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c>
          <w:tcPr>
            <w:tcBorders/>
            <w:tcW w:w="4797" w:type="dxa"/>
            <w:vAlign w:val="center"/>
          </w:tcPr>
          <w:p w14:paraId="4662B7A9">
            <w:pPr>
              <w:pBdr/>
              <w:spacing w:after="74" w:afterAutospacing="0" w:before="0" w:beforeAutospacing="0"/>
              <w:ind/>
              <w:jc w:val="left"/>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Hiệu quả hơn trong việc nén văn bản; có các mã đặc biệt cho lập trình (như </w:t>
            </w:r>
            <w:r>
              <w:rPr>
                <w:rFonts w:ascii="IBM Plex Serif" w:hAnsi="IBM Plex Serif" w:eastAsia="IBM Plex Serif" w:cs="IBM Plex Serif"/>
                <w:b w:val="0"/>
                <w:bCs w:val="0"/>
                <w:i w:val="0"/>
                <w:iCs w:val="0"/>
                <w:sz w:val="20"/>
                <w:szCs w:val="20"/>
                <w:highlight w:val="lightGray"/>
                <w:lang w:val="en-US" w:bidi="en-US"/>
              </w:rPr>
              <w:t xml:space="preserve">elif</w:t>
            </w:r>
            <w:r>
              <w:rPr>
                <w:rFonts w:ascii="IBM Plex Serif" w:hAnsi="IBM Plex Serif" w:eastAsia="IBM Plex Serif" w:cs="IBM Plex Serif"/>
                <w:sz w:val="20"/>
                <w:szCs w:val="20"/>
                <w:highlight w:val="none"/>
                <w:lang w:val="en-US" w:bidi="en-US"/>
              </w:rPr>
              <w:t xml:space="preserve">) và xử lý tốt các chuỗi khoảng trắng dài (lên tới 83 khoảng trắng liên tiếp).</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r>
      <w:tr>
        <w:trPr/>
        <w:tc>
          <w:tcPr>
            <w:tcBorders/>
            <w:tcW w:w="1253" w:type="dxa"/>
            <w:vAlign w:val="center"/>
          </w:tcPr>
          <w:p w14:paraId="57B2A3A0">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t xml:space="preserve">Flan-T5</w:t>
            </w:r>
            <w:r>
              <w:rPr>
                <w:rFonts w:ascii="IBM Plex Serif" w:hAnsi="IBM Plex Serif" w:eastAsia="IBM Plex Serif" w:cs="IBM Plex Serif"/>
                <w:sz w:val="20"/>
                <w:szCs w:val="20"/>
                <w:highlight w:val="none"/>
                <w:lang w:val="en-US"/>
              </w:rPr>
            </w:r>
          </w:p>
        </w:tc>
        <w:tc>
          <w:tcPr>
            <w:tcBorders/>
            <w:tcW w:w="1417" w:type="dxa"/>
            <w:vAlign w:val="center"/>
          </w:tcPr>
          <w:p w14:paraId="3E8EEE5E">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Unigram (SentencePiece)</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c>
          <w:tcPr>
            <w:tcBorders/>
            <w:tcW w:w="1559" w:type="dxa"/>
            <w:vAlign w:val="center"/>
          </w:tcPr>
          <w:p w14:paraId="19AC61E1">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32.100</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c>
          <w:tcPr>
            <w:tcBorders/>
            <w:tcW w:w="4797" w:type="dxa"/>
            <w:vAlign w:val="center"/>
          </w:tcPr>
          <w:p w14:paraId="3C64F836">
            <w:pPr>
              <w:pBdr/>
              <w:spacing w:after="74" w:afterAutospacing="0" w:before="0" w:beforeAutospacing="0"/>
              <w:ind/>
              <w:jc w:val="left"/>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Không bảo toàn xuống dòng hoặc khoảng trắng dư thừa; thay thế emoji và ký tự lạ bằng mã </w:t>
            </w:r>
            <w:r>
              <w:rPr>
                <w:rFonts w:ascii="IBM Plex Serif" w:hAnsi="IBM Plex Serif" w:eastAsia="IBM Plex Serif" w:cs="IBM Plex Serif"/>
                <w:sz w:val="20"/>
                <w:szCs w:val="20"/>
                <w:highlight w:val="lightGray"/>
                <w:lang w:val="en-US" w:bidi="en-US"/>
              </w:rPr>
              <w:t xml:space="preserve">&lt;unk&gt;</w:t>
            </w:r>
            <w:r>
              <w:rPr>
                <w:rFonts w:ascii="IBM Plex Serif" w:hAnsi="IBM Plex Serif" w:eastAsia="IBM Plex Serif" w:cs="IBM Plex Serif"/>
                <w:sz w:val="20"/>
                <w:szCs w:val="20"/>
                <w:highlight w:val="none"/>
                <w:lang w:val="en-US" w:bidi="en-US"/>
              </w:rPr>
              <w:t xml:space="preserve">.</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r>
      <w:tr>
        <w:trPr/>
        <w:tc>
          <w:tcPr>
            <w:tcBorders/>
            <w:tcW w:w="1253" w:type="dxa"/>
            <w:vAlign w:val="center"/>
          </w:tcPr>
          <w:p w14:paraId="6EF76F96">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t xml:space="preserve">StarCoder2</w:t>
            </w:r>
            <w:r>
              <w:rPr>
                <w:rFonts w:ascii="IBM Plex Serif" w:hAnsi="IBM Plex Serif" w:eastAsia="IBM Plex Serif" w:cs="IBM Plex Serif"/>
                <w:sz w:val="20"/>
                <w:szCs w:val="20"/>
                <w:highlight w:val="none"/>
                <w:lang w:val="en-US"/>
              </w:rPr>
            </w:r>
          </w:p>
        </w:tc>
        <w:tc>
          <w:tcPr>
            <w:tcBorders/>
            <w:tcW w:w="1417" w:type="dxa"/>
            <w:vAlign w:val="center"/>
          </w:tcPr>
          <w:p w14:paraId="4AD76730">
            <w:pPr>
              <w:pBdr/>
              <w:spacing w:after="74" w:afterAutospacing="0" w:before="0" w:beforeAutospacing="0"/>
              <w:ind/>
              <w:jc w:val="center"/>
              <w:rPr>
                <w:rFonts w:ascii="IBM Plex Serif" w:hAnsi="IBM Plex Serif" w:eastAsia="IBM Plex Serif" w:cs="IBM Plex Serif"/>
                <w:b w:val="0"/>
                <w:bCs w:val="0"/>
                <w:sz w:val="20"/>
                <w:szCs w:val="20"/>
                <w:highlight w:val="none"/>
              </w:rPr>
            </w:pPr>
            <w:r>
              <w:rPr>
                <w:rFonts w:ascii="IBM Plex Serif" w:hAnsi="IBM Plex Serif" w:eastAsia="IBM Plex Serif" w:cs="IBM Plex Serif"/>
                <w:b w:val="0"/>
                <w:bCs w:val="0"/>
                <w:sz w:val="20"/>
                <w:szCs w:val="20"/>
                <w:highlight w:val="none"/>
                <w:lang w:val="en-US" w:bidi="en-US"/>
              </w:rPr>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Byte Pair Encoding (BPE)</w:t>
            </w:r>
            <w:r>
              <w:rPr>
                <w:sz w:val="20"/>
                <w:szCs w:val="20"/>
              </w:rPr>
            </w:r>
            <w:r>
              <w:rPr>
                <w:rFonts w:ascii="IBM Plex Serif" w:hAnsi="IBM Plex Serif" w:eastAsia="IBM Plex Serif" w:cs="IBM Plex Serif"/>
                <w:b w:val="0"/>
                <w:bCs w:val="0"/>
                <w:sz w:val="20"/>
                <w:szCs w:val="20"/>
                <w:highlight w:val="none"/>
                <w:lang w:val="en-US" w:bidi="en-US"/>
              </w:rPr>
            </w:r>
            <w:r>
              <w:rPr>
                <w:rFonts w:ascii="IBM Plex Serif" w:hAnsi="IBM Plex Serif" w:eastAsia="IBM Plex Serif" w:cs="IBM Plex Serif"/>
                <w:b w:val="0"/>
                <w:bCs w:val="0"/>
                <w:sz w:val="20"/>
                <w:szCs w:val="20"/>
                <w:highlight w:val="none"/>
                <w:lang w:val="en-US"/>
              </w:rPr>
            </w:r>
          </w:p>
        </w:tc>
        <w:tc>
          <w:tcPr>
            <w:tcBorders/>
            <w:tcW w:w="1559" w:type="dxa"/>
            <w:vAlign w:val="center"/>
          </w:tcPr>
          <w:p w14:paraId="28982A19">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49.152</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c>
          <w:tcPr>
            <w:tcBorders/>
            <w:tcW w:w="4797" w:type="dxa"/>
            <w:vAlign w:val="center"/>
          </w:tcPr>
          <w:p w14:paraId="76509128">
            <w:pPr>
              <w:pBdr/>
              <w:spacing w:after="74" w:afterAutospacing="0" w:before="0" w:beforeAutospacing="0"/>
              <w:ind/>
              <w:jc w:val="left"/>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Tối ưu cho lập trình; mỗi chữ số được gán một token riêng (ví dụ: 600 thành </w:t>
            </w:r>
            <w:r>
              <w:rPr>
                <w:rFonts w:ascii="IBM Plex Serif" w:hAnsi="IBM Plex Serif" w:eastAsia="IBM Plex Serif" w:cs="IBM Plex Serif"/>
                <w:sz w:val="20"/>
                <w:szCs w:val="20"/>
                <w:highlight w:val="lightGray"/>
                <w:lang w:val="en-US" w:bidi="en-US"/>
              </w:rPr>
              <w:t xml:space="preserve">6, 0, 0</w:t>
            </w:r>
            <w:r>
              <w:rPr>
                <w:rFonts w:ascii="IBM Plex Serif" w:hAnsi="IBM Plex Serif" w:eastAsia="IBM Plex Serif" w:cs="IBM Plex Serif"/>
                <w:sz w:val="20"/>
                <w:szCs w:val="20"/>
                <w:highlight w:val="none"/>
                <w:lang w:val="en-US" w:bidi="en-US"/>
              </w:rPr>
              <w:t xml:space="preserve">) để cải thiện khả năng tính toán và xử lý số học.</w:t>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rPr>
            </w:r>
          </w:p>
        </w:tc>
      </w:tr>
      <w:tr>
        <w:trPr/>
        <w:tc>
          <w:tcPr>
            <w:tcBorders/>
            <w:tcW w:w="1253" w:type="dxa"/>
            <w:vAlign w:val="center"/>
          </w:tcPr>
          <w:p w14:paraId="228489F8">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t xml:space="preserve">Llama2/Phi-3</w:t>
            </w:r>
            <w:r>
              <w:rPr>
                <w:rFonts w:ascii="IBM Plex Serif" w:hAnsi="IBM Plex Serif" w:eastAsia="IBM Plex Serif" w:cs="IBM Plex Serif"/>
                <w:sz w:val="20"/>
                <w:szCs w:val="20"/>
                <w:highlight w:val="none"/>
                <w:lang w:val="en-US"/>
              </w:rPr>
            </w:r>
          </w:p>
        </w:tc>
        <w:tc>
          <w:tcPr>
            <w:tcBorders/>
            <w:tcW w:w="1417" w:type="dxa"/>
            <w:vAlign w:val="center"/>
          </w:tcPr>
          <w:p w14:paraId="765ADA86">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Byte Pair Encoding (BPE)</w:t>
            </w:r>
            <w:r>
              <w:rPr>
                <w:sz w:val="20"/>
                <w:szCs w:val="20"/>
              </w:rPr>
            </w: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r>
          </w:p>
        </w:tc>
        <w:tc>
          <w:tcPr>
            <w:tcBorders/>
            <w:tcW w:w="1559" w:type="dxa"/>
            <w:vAlign w:val="center"/>
          </w:tcPr>
          <w:p w14:paraId="34471511">
            <w:pPr>
              <w:pBdr/>
              <w:spacing w:after="74" w:afterAutospacing="0" w:before="0" w:beforeAutospacing="0"/>
              <w:ind/>
              <w:jc w:val="center"/>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t xml:space="preserve">32.000</w:t>
            </w:r>
            <w:r>
              <w:rPr>
                <w:rFonts w:ascii="IBM Plex Serif" w:hAnsi="IBM Plex Serif" w:eastAsia="IBM Plex Serif" w:cs="IBM Plex Serif"/>
                <w:sz w:val="20"/>
                <w:szCs w:val="20"/>
                <w:highlight w:val="none"/>
                <w:lang w:val="en-US"/>
              </w:rPr>
            </w:r>
          </w:p>
        </w:tc>
        <w:tc>
          <w:tcPr>
            <w:tcBorders/>
            <w:tcW w:w="4797" w:type="dxa"/>
            <w:vAlign w:val="center"/>
          </w:tcPr>
          <w:p w14:paraId="7F6F24E5">
            <w:pPr>
              <w:pBdr/>
              <w:spacing w:after="74" w:afterAutospacing="0" w:before="0" w:beforeAutospacing="0"/>
              <w:ind/>
              <w:jc w:val="left"/>
              <w:rPr>
                <w:rFonts w:ascii="IBM Plex Serif" w:hAnsi="IBM Plex Serif" w:eastAsia="IBM Plex Serif" w:cs="IBM Plex Serif"/>
                <w:sz w:val="20"/>
                <w:szCs w:val="20"/>
                <w:highlight w:val="none"/>
              </w:rPr>
            </w:pPr>
            <w:r>
              <w:rPr>
                <w:rFonts w:ascii="IBM Plex Serif" w:hAnsi="IBM Plex Serif" w:eastAsia="IBM Plex Serif" w:cs="IBM Plex Serif"/>
                <w:sz w:val="20"/>
                <w:szCs w:val="20"/>
                <w:highlight w:val="none"/>
                <w:lang w:val="en-US" w:bidi="en-US"/>
              </w:rPr>
            </w:r>
            <w:r>
              <w:rPr>
                <w:rFonts w:ascii="IBM Plex Serif" w:hAnsi="IBM Plex Serif" w:eastAsia="IBM Plex Serif" w:cs="IBM Plex Serif"/>
                <w:sz w:val="20"/>
                <w:szCs w:val="20"/>
                <w:highlight w:val="none"/>
                <w:lang w:val="en-US" w:bidi="en-US"/>
              </w:rPr>
              <w:t xml:space="preserve">Bổ sung các mã hội thoại đặc biệt như </w:t>
            </w:r>
            <w:r>
              <w:rPr>
                <w:rFonts w:ascii="IBM Plex Serif" w:hAnsi="IBM Plex Serif" w:eastAsia="IBM Plex Serif" w:cs="IBM Plex Serif"/>
                <w:sz w:val="20"/>
                <w:szCs w:val="20"/>
                <w:highlight w:val="lightGray"/>
                <w:lang w:val="en-US" w:bidi="en-US"/>
              </w:rPr>
              <w:t xml:space="preserve">`&lt;</w:t>
            </w:r>
            <w:r>
              <w:rPr>
                <w:rFonts w:ascii="IBM Plex Serif" w:hAnsi="IBM Plex Serif" w:eastAsia="IBM Plex Serif" w:cs="IBM Plex Serif"/>
                <w:sz w:val="20"/>
                <w:szCs w:val="20"/>
                <w:highlight w:val="lightGray"/>
                <w:lang w:val="en-US" w:bidi="en-US"/>
              </w:rPr>
            </w:r>
            <w:r>
              <w:rPr>
                <w:rFonts w:ascii="IBM Plex Serif" w:hAnsi="IBM Plex Serif" w:eastAsia="IBM Plex Serif" w:cs="IBM Plex Serif"/>
                <w:sz w:val="20"/>
                <w:szCs w:val="20"/>
                <w:highlight w:val="none"/>
                <w:lang w:val="en-US"/>
              </w:rPr>
            </w:r>
          </w:p>
        </w:tc>
      </w:tr>
    </w:tbl>
    <w:p w14:paraId="0A6F38E1">
      <w:pPr>
        <w:pStyle w:val="841"/>
        <w:numPr>
          <w:ilvl w:val="0"/>
          <w:numId w:val="32"/>
        </w:numPr>
        <w:pBdr/>
        <w:spacing w:after="74" w:afterAutospacing="0" w:before="0" w:beforeAutospacing="0"/>
        <w:ind/>
        <w:jc w:val="left"/>
        <w:rPr>
          <w:rFonts w:ascii="IBM Plex Serif" w:hAnsi="IBM Plex Serif" w:eastAsia="IBM Plex Serif" w:cs="IBM Plex Serif"/>
          <w:b/>
          <w:bCs/>
          <w:highlight w:val="none"/>
          <w:lang w:val="en-US" w:bidi="en-US"/>
        </w:rPr>
      </w:pP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bidi="en-US"/>
        </w:rPr>
        <w:t xml:space="preserve"> Các điểm khác biệt cốt lõi</w:t>
      </w:r>
      <w:r>
        <w:rPr>
          <w:rFonts w:ascii="IBM Plex Serif" w:hAnsi="IBM Plex Serif" w:eastAsia="IBM Plex Serif" w:cs="IBM Plex Serif"/>
          <w:b/>
          <w:bCs/>
          <w:highlight w:val="none"/>
        </w:rPr>
      </w:r>
    </w:p>
    <w:p w14:paraId="14962A6F">
      <w:pPr>
        <w:pBdr/>
        <w:spacing w:after="74" w:afterAutospacing="0" w:before="0" w:beforeAutospacing="0"/>
        <w:ind w:firstLine="720" w:left="0"/>
        <w:jc w:val="left"/>
        <w:rPr>
          <w:rFonts w:ascii="IBM Plex Serif" w:hAnsi="IBM Plex Serif" w:eastAsia="IBM Plex Serif" w:cs="IBM Plex Serif"/>
          <w:b/>
          <w:bCs/>
          <w:highlight w:val="none"/>
        </w:rPr>
      </w:pP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bidi="en-US"/>
        </w:rPr>
        <w:t xml:space="preserve">Xử lý ngôn ngữ khác ngoài tiếng Anh:</w:t>
      </w:r>
      <w:r>
        <w:rPr>
          <w:rFonts w:ascii="IBM Plex Serif" w:hAnsi="IBM Plex Serif" w:eastAsia="IBM Plex Serif" w:cs="IBM Plex Serif"/>
          <w:b w:val="0"/>
          <w:bCs w:val="0"/>
          <w:highlight w:val="none"/>
          <w:lang w:val="en-US" w:bidi="en-US"/>
        </w:rPr>
        <w:t xml:space="preserve"> Các bộ tokenizer đa ngôn ngữ thường ưu tiên tiếng Anh vì dữ liệu huấn luyện chiếm đa số</w:t>
      </w:r>
      <w:r>
        <w:rPr>
          <w:rFonts w:ascii="IBM Plex Serif" w:hAnsi="IBM Plex Serif" w:eastAsia="IBM Plex Serif" w:cs="IBM Plex Serif"/>
          <w:b w:val="0"/>
          <w:bCs w:val="0"/>
          <w:highlight w:val="none"/>
          <w:lang w:val="en-US" w:bidi="en-US"/>
        </w:rPr>
        <w:t xml:space="preserve">. Ví dụ, cùng một câu tiếng Tây Ban Nha có thể bị tách thành 33 tokens, trong khi bản dịch tiếng Anh tương đương chỉ mất 18 tokens</w:t>
      </w:r>
      <w:r>
        <w:rPr>
          <w:rFonts w:ascii="IBM Plex Serif" w:hAnsi="IBM Plex Serif" w:eastAsia="IBM Plex Serif" w:cs="IBM Plex Serif"/>
          <w:b w:val="0"/>
          <w:bCs w:val="0"/>
          <w:highlight w:val="none"/>
          <w:lang w:val="en-US" w:bidi="en-US"/>
        </w:rPr>
        <w:t xml:space="preserve">. Việc </w:t>
      </w:r>
      <w:r>
        <w:rPr>
          <w:rFonts w:ascii="IBM Plex Serif" w:hAnsi="IBM Plex Serif" w:eastAsia="IBM Plex Serif" w:cs="IBM Plex Serif"/>
          <w:b/>
          <w:bCs/>
          <w:highlight w:val="none"/>
          <w:lang w:val="en-US" w:bidi="en-US"/>
        </w:rPr>
        <w:t xml:space="preserve">chia quá nhỏ (oversegmenting)</w:t>
      </w:r>
      <w:r>
        <w:rPr>
          <w:rFonts w:ascii="IBM Plex Serif" w:hAnsi="IBM Plex Serif" w:eastAsia="IBM Plex Serif" w:cs="IBM Plex Serif"/>
          <w:b w:val="0"/>
          <w:bCs w:val="0"/>
          <w:highlight w:val="none"/>
          <w:lang w:val="en-US" w:bidi="en-US"/>
        </w:rPr>
        <w:t xml:space="preserve"> ở các ngôn ngữ ít nguồn lực có thể </w:t>
      </w:r>
      <w:r>
        <w:rPr>
          <w:rFonts w:ascii="IBM Plex Serif" w:hAnsi="IBM Plex Serif" w:eastAsia="IBM Plex Serif" w:cs="IBM Plex Serif"/>
          <w:b/>
          <w:bCs/>
          <w:highlight w:val="none"/>
          <w:u w:val="single"/>
          <w:lang w:val="en-US" w:bidi="en-US"/>
        </w:rPr>
        <w:t xml:space="preserve">dẫn đến việc biểu diễn ngữ nghĩa kém và tăng chi phí tính toán</w:t>
      </w:r>
      <w:r>
        <w:rPr>
          <w:rFonts w:ascii="IBM Plex Serif" w:hAnsi="IBM Plex Serif" w:eastAsia="IBM Plex Serif" w:cs="IBM Plex Serif"/>
          <w:b w:val="0"/>
          <w:bCs w:val="0"/>
          <w:highlight w:val="none"/>
          <w:lang w:val="en-US" w:bidi="en-US"/>
        </w:rPr>
        <w:t xml:space="preserve">.</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bCs/>
          <w:highlight w:val="none"/>
        </w:rPr>
      </w:r>
    </w:p>
    <w:p w14:paraId="3D790B29">
      <w:pPr>
        <w:pBdr/>
        <w:spacing w:after="74" w:afterAutospacing="0" w:before="0" w:beforeAutospacing="0"/>
        <w:ind w:firstLine="720" w:left="0"/>
        <w:jc w:val="left"/>
        <w:rPr/>
      </w:pPr>
      <w:r>
        <w:rPr>
          <w:rFonts w:ascii="IBM Plex Serif" w:hAnsi="IBM Plex Serif" w:eastAsia="IBM Plex Serif" w:cs="IBM Plex Serif"/>
          <w:b/>
          <w:bCs/>
          <w:highlight w:val="none"/>
          <w:lang w:val="en-US" w:bidi="en-US"/>
        </w:rPr>
        <w:t xml:space="preserve">Xử lý khoảng trắng và mã lập trình:</w:t>
      </w:r>
      <w:r>
        <w:rPr>
          <w:rFonts w:ascii="IBM Plex Serif" w:hAnsi="IBM Plex Serif" w:eastAsia="IBM Plex Serif" w:cs="IBM Plex Serif"/>
          <w:b w:val="0"/>
          <w:bCs w:val="0"/>
          <w:highlight w:val="none"/>
          <w:lang w:val="en-US" w:bidi="en-US"/>
        </w:rPr>
        <w:t xml:space="preserve"> Các tokenizer hiện đại (như GPT-4, Galactica) gán các token duy nhất cho các chuỗi khoảng trắng hoặc tab có độ dài khác nhau để hỗ trợ thụt đầu dòng trong lập trình</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 Ngược lại, các tokenizer cũ như Flan-T5 thường bỏ qua thông tin này</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p w14:paraId="63AC87CD">
      <w:pPr>
        <w:pStyle w:val="841"/>
        <w:numPr>
          <w:ilvl w:val="1"/>
          <w:numId w:val="33"/>
        </w:numPr>
        <w:pBdr/>
        <w:spacing w:after="74" w:afterAutospacing="0" w:before="0" w:beforeAutospacing="0"/>
        <w:ind/>
        <w:jc w:val="left"/>
        <w:rPr/>
      </w:pPr>
      <w:r>
        <w:rPr>
          <w:rFonts w:ascii="IBM Plex Serif" w:hAnsi="IBM Plex Serif" w:eastAsia="IBM Plex Serif" w:cs="IBM Plex Serif"/>
          <w:b/>
          <w:bCs/>
          <w:highlight w:val="none"/>
          <w:lang w:val="en-US" w:bidi="en-US"/>
        </w:rPr>
        <w:t xml:space="preserve">Khả năng xử lý từ ngoài từ điển (OOV)</w:t>
      </w:r>
      <w:r>
        <w:rPr>
          <w:rFonts w:ascii="IBM Plex Serif" w:hAnsi="IBM Plex Serif" w:eastAsia="IBM Plex Serif" w:cs="IBM Plex Serif"/>
          <w:b w:val="0"/>
          <w:bCs w:val="0"/>
          <w:highlight w:val="none"/>
          <w:lang w:val="en-US" w:bidi="en-US"/>
        </w:rPr>
        <w:t xml:space="preserve">: </w:t>
        <w:br/>
        <w:tab/>
      </w:r>
      <w:r>
        <w:rPr>
          <w:rFonts w:ascii="IBM Plex Serif" w:hAnsi="IBM Plex Serif" w:eastAsia="IBM Plex Serif" w:cs="IBM Plex Serif"/>
          <w:b w:val="0"/>
          <w:bCs w:val="0"/>
          <w:highlight w:val="none"/>
          <w:lang w:val="en-US" w:bidi="en-US"/>
        </w:rPr>
        <w:t xml:space="preserve">WordPiece (BERT) </w:t>
      </w:r>
      <w:r>
        <w:rPr>
          <w:rFonts w:ascii="IBM Plex Serif" w:hAnsi="IBM Plex Serif" w:eastAsia="IBM Plex Serif" w:cs="IBM Plex Serif"/>
          <w:b w:val="0"/>
          <w:bCs w:val="0"/>
          <w:highlight w:val="none"/>
          <w:lang w:val="en-US" w:bidi="en-US"/>
        </w:rPr>
        <w:t xml:space="preserve">n</w:t>
      </w:r>
      <w:r>
        <w:rPr>
          <w:rFonts w:ascii="IBM Plex Serif" w:hAnsi="IBM Plex Serif" w:eastAsia="IBM Plex Serif" w:cs="IBM Plex Serif"/>
          <w:b w:val="0"/>
          <w:bCs w:val="0"/>
          <w:highlight w:val="none"/>
          <w:lang w:val="en-US" w:bidi="en-US"/>
        </w:rPr>
        <w:t xml:space="preserve">ếu gặp ký tự không có trong bộ huấn luyện, nó sẽ trả về mã </w:t>
      </w:r>
      <w:r>
        <w:rPr>
          <w:rFonts w:ascii="IBM Plex Serif" w:hAnsi="IBM Plex Serif" w:eastAsia="IBM Plex Serif" w:cs="IBM Plex Serif"/>
          <w:b w:val="0"/>
          <w:bCs w:val="0"/>
          <w:highlight w:val="lightGray"/>
          <w:lang w:val="en-US" w:bidi="en-US"/>
        </w:rPr>
        <w:t xml:space="preserve">[UNK]</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p w14:paraId="224FA650">
      <w:pPr>
        <w:pStyle w:val="841"/>
        <w:numPr>
          <w:ilvl w:val="1"/>
          <w:numId w:val="33"/>
        </w:numPr>
        <w:pBdr/>
        <w:spacing w:after="74" w:afterAutospacing="0" w:before="0" w:beforeAutospacing="0"/>
        <w:ind/>
        <w:jc w:val="left"/>
        <w:rPr/>
      </w:pPr>
      <w:r>
        <w:rPr>
          <w:rFonts w:ascii="IBM Plex Serif" w:hAnsi="IBM Plex Serif" w:eastAsia="IBM Plex Serif" w:cs="IBM Plex Serif"/>
          <w:b/>
          <w:bCs/>
          <w:highlight w:val="none"/>
          <w:lang w:val="en-US" w:bidi="en-US"/>
        </w:rPr>
        <w:t xml:space="preserve">Byte-level BPE (GPT):</w:t>
      </w:r>
      <w:r>
        <w:rPr>
          <w:rFonts w:ascii="IBM Plex Serif" w:hAnsi="IBM Plex Serif" w:eastAsia="IBM Plex Serif" w:cs="IBM Plex Serif"/>
          <w:b w:val="0"/>
          <w:bCs w:val="0"/>
          <w:highlight w:val="none"/>
          <w:lang w:val="en-US" w:bidi="en-US"/>
        </w:rPr>
        <w:t xml:space="preserve"> </w:t>
        <w:br/>
        <w:tab/>
        <w:t xml:space="preserve">Sử dụng 256 giá trị byte cơ bản làm nền tảng, đảm bảo mọi ký tự Unicode đều có thể được mã hóa bằng cách kết hợp các byte này, loại bỏ hoàn toàn vấn đề OOV</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t xml:space="preserve">.</w:t>
      </w:r>
      <w:r>
        <w:rPr>
          <w:rFonts w:ascii="IBM Plex Serif" w:hAnsi="IBM Plex Serif" w:eastAsia="IBM Plex Serif" w:cs="IBM Plex Serif"/>
          <w:b w:val="0"/>
          <w:bCs w:val="0"/>
          <w:highlight w:val="none"/>
          <w:lang w:val="en-US" w:bidi="en-US"/>
        </w:rPr>
      </w:r>
      <w:r>
        <w:rPr>
          <w:rFonts w:ascii="IBM Plex Serif" w:hAnsi="IBM Plex Serif" w:eastAsia="IBM Plex Serif" w:cs="IBM Plex Serif"/>
          <w:b w:val="0"/>
          <w:bCs w:val="0"/>
          <w:highlight w:val="none"/>
          <w:lang w:val="en-US" w:bidi="en-US"/>
        </w:rPr>
      </w:r>
    </w:p>
    <w:p w14:paraId="5E0B6F85">
      <w:pPr>
        <w:pBdr/>
        <w:spacing w:after="74" w:afterAutospacing="0" w:before="0" w:beforeAutospacing="0"/>
        <w:ind w:firstLine="720" w:left="0"/>
        <w:jc w:val="left"/>
        <w:rPr/>
      </w:pPr>
      <w:r>
        <w:rPr>
          <w:rFonts w:ascii="IBM Plex Serif" w:hAnsi="IBM Plex Serif" w:eastAsia="IBM Plex Serif" w:cs="IBM Plex Serif"/>
          <w:b/>
          <w:bCs/>
          <w:highlight w:val="none"/>
          <w:lang w:val="en-US" w:bidi="en-US"/>
        </w:rPr>
        <w:t xml:space="preserve">Mã đặc biệt cho các lĩnh vực chuyên biệt:</w:t>
      </w:r>
      <w:r>
        <w:rPr>
          <w:rFonts w:ascii="IBM Plex Serif" w:hAnsi="IBM Plex Serif" w:eastAsia="IBM Plex Serif" w:cs="IBM Plex Serif"/>
          <w:b w:val="0"/>
          <w:bCs w:val="0"/>
          <w:highlight w:val="none"/>
          <w:lang w:val="en-US" w:bidi="en-US"/>
        </w:rPr>
        <w:t xml:space="preserve"> </w:t>
        <w:br/>
        <w:tab/>
        <w:t xml:space="preserve">Bộ tokenizer của Galactica (chuyên về khoa học) có các mã riêng cho trích dẫn tài liệu </w:t>
      </w:r>
      <w:r>
        <w:rPr>
          <w:rFonts w:ascii="IBM Plex Serif" w:hAnsi="IBM Plex Serif" w:eastAsia="IBM Plex Serif" w:cs="IBM Plex Serif"/>
          <w:b w:val="0"/>
          <w:bCs w:val="0"/>
          <w:highlight w:val="lightGray"/>
          <w:lang w:val="en-US" w:bidi="en-US"/>
        </w:rPr>
        <w:t xml:space="preserve">([START_REF])</w:t>
      </w:r>
      <w:r>
        <w:rPr>
          <w:rFonts w:ascii="IBM Plex Serif" w:hAnsi="IBM Plex Serif" w:eastAsia="IBM Plex Serif" w:cs="IBM Plex Serif"/>
          <w:b w:val="0"/>
          <w:bCs w:val="0"/>
          <w:highlight w:val="none"/>
          <w:lang w:val="en-US" w:bidi="en-US"/>
        </w:rPr>
        <w:t xml:space="preserve">, chuỗi DNA, và các bước suy luận từng bước </w:t>
      </w:r>
      <w:r>
        <w:rPr>
          <w:rFonts w:ascii="IBM Plex Serif" w:hAnsi="IBM Plex Serif" w:eastAsia="IBM Plex Serif" w:cs="IBM Plex Serif"/>
          <w:b w:val="0"/>
          <w:bCs w:val="0"/>
          <w:highlight w:val="lightGray"/>
          <w:lang w:val="en-US" w:bidi="en-US"/>
        </w:rPr>
        <w:t xml:space="preserve">(&lt;work&gt;)</w:t>
      </w:r>
      <w:r>
        <w:rPr>
          <w:rFonts w:ascii="IBM Plex Serif" w:hAnsi="IBM Plex Serif" w:eastAsia="IBM Plex Serif" w:cs="IBM Plex Serif"/>
          <w:b w:val="0"/>
          <w:bCs w:val="0"/>
          <w:highlight w:val="none"/>
          <w:lang w:val="en-US" w:bidi="en-US"/>
        </w:rPr>
        <w:t xml:space="preserve">.</w:t>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lang w:val="en-US" w:bidi="en-US"/>
        </w:rPr>
      </w:r>
    </w:p>
    <w:p w14:paraId="47EC239A">
      <w:pPr>
        <w:pStyle w:val="841"/>
        <w:numPr>
          <w:ilvl w:val="0"/>
          <w:numId w:val="32"/>
        </w:numPr>
        <w:pBdr/>
        <w:spacing w:after="74" w:afterAutospacing="0" w:before="0" w:beforeAutospacing="0"/>
        <w:ind/>
        <w:jc w:val="left"/>
        <w:rPr>
          <w:rFonts w:ascii="IBM Plex Serif" w:hAnsi="IBM Plex Serif" w:eastAsia="IBM Plex Serif" w:cs="IBM Plex Serif"/>
          <w:b/>
          <w:bCs/>
          <w:highlight w:val="none"/>
        </w:rPr>
      </w:pPr>
      <w:r>
        <w:rPr>
          <w:rFonts w:ascii="IBM Plex Serif" w:hAnsi="IBM Plex Serif" w:eastAsia="IBM Plex Serif" w:cs="IBM Plex Serif"/>
          <w:b/>
          <w:bCs/>
          <w:highlight w:val="none"/>
          <w:lang w:val="en-US" w:bidi="en-US"/>
        </w:rPr>
      </w:r>
      <w:r>
        <w:rPr>
          <w:rFonts w:ascii="IBM Plex Serif" w:hAnsi="IBM Plex Serif" w:eastAsia="IBM Plex Serif" w:cs="IBM Plex Serif"/>
          <w:b/>
          <w:bCs/>
          <w:highlight w:val="none"/>
          <w:lang w:val="en-US" w:bidi="en-US"/>
        </w:rPr>
        <w:t xml:space="preserve">Đánh giá hiệu quả (Metrics)</w:t>
      </w:r>
      <w:r>
        <w:rPr>
          <w:rFonts w:ascii="IBM Plex Serif" w:hAnsi="IBM Plex Serif" w:eastAsia="IBM Plex Serif" w:cs="IBM Plex Serif"/>
          <w:b/>
          <w:bCs/>
          <w:highlight w:val="none"/>
        </w:rPr>
      </w:r>
      <w:r>
        <w:rPr>
          <w:rFonts w:ascii="IBM Plex Serif" w:hAnsi="IBM Plex Serif" w:eastAsia="IBM Plex Serif" w:cs="IBM Plex Serif"/>
          <w:b/>
          <w:bCs/>
          <w:highlight w:val="none"/>
        </w:rPr>
      </w:r>
    </w:p>
    <w:p w14:paraId="34B07EDC">
      <w:pPr>
        <w:pBdr/>
        <w:spacing w:after="74" w:afterAutospacing="0" w:before="0" w:beforeAutospacing="0"/>
        <w:ind w:firstLine="720" w:left="0"/>
        <w:jc w:val="left"/>
        <w:rPr>
          <w:rFonts w:ascii="IBM Plex Serif" w:hAnsi="IBM Plex Serif" w:eastAsia="IBM Plex Serif" w:cs="IBM Plex Serif"/>
          <w:b w:val="0"/>
          <w:bCs w:val="0"/>
          <w:highlight w:val="none"/>
        </w:rPr>
      </w:pPr>
      <w:r>
        <w:rPr>
          <w:rFonts w:ascii="IBM Plex Serif" w:hAnsi="IBM Plex Serif" w:eastAsia="IBM Plex Serif" w:cs="IBM Plex Serif"/>
          <w:b w:val="0"/>
          <w:bCs w:val="0"/>
          <w:highlight w:val="none"/>
        </w:rPr>
        <w:t xml:space="preserve">Để so sánh hiệu suất giữa các bộ tokenizer, người ta thường sử dụng hai chỉ số chính:</w:t>
      </w:r>
      <w:r>
        <w:rPr>
          <w:rFonts w:ascii="IBM Plex Serif" w:hAnsi="IBM Plex Serif" w:eastAsia="IBM Plex Serif" w:cs="IBM Plex Serif"/>
          <w:b w:val="0"/>
          <w:bCs w:val="0"/>
          <w:highlight w:val="none"/>
        </w:rPr>
      </w:r>
    </w:p>
    <w:p w14:paraId="574B8C2E">
      <w:pPr>
        <w:pStyle w:val="841"/>
        <w:numPr>
          <w:ilvl w:val="0"/>
          <w:numId w:val="34"/>
        </w:numPr>
        <w:pBdr/>
        <w:spacing w:after="74" w:afterAutospacing="0" w:before="0" w:beforeAutospacing="0"/>
        <w:ind/>
        <w:jc w:val="left"/>
        <w:rPr>
          <w:rFonts w:ascii="IBM Plex Serif" w:hAnsi="IBM Plex Serif" w:eastAsia="IBM Plex Serif" w:cs="IBM Plex Serif"/>
          <w:b w:val="0"/>
          <w:bCs w:val="0"/>
          <w:highlight w:val="none"/>
        </w:rPr>
      </w:pPr>
      <w:r>
        <w:rPr>
          <w:rFonts w:ascii="IBM Plex Serif" w:hAnsi="IBM Plex Serif" w:eastAsia="IBM Plex Serif" w:cs="IBM Plex Serif"/>
          <w:b w:val="0"/>
          <w:bCs w:val="0"/>
          <w:highlight w:val="none"/>
        </w:rPr>
      </w:r>
      <w:r>
        <w:rPr>
          <w:rFonts w:ascii="IBM Plex Serif" w:hAnsi="IBM Plex Serif" w:eastAsia="IBM Plex Serif" w:cs="IBM Plex Serif"/>
          <w:b/>
          <w:bCs/>
          <w:highlight w:val="none"/>
        </w:rPr>
        <w:t xml:space="preserve">Fertility (Độ màu mỡ):</w:t>
      </w:r>
      <w:r>
        <w:rPr>
          <w:rFonts w:ascii="IBM Plex Serif" w:hAnsi="IBM Plex Serif" w:eastAsia="IBM Plex Serif" w:cs="IBM Plex Serif"/>
          <w:b w:val="0"/>
          <w:bCs w:val="0"/>
          <w:highlight w:val="none"/>
        </w:rPr>
        <w:t xml:space="preserve"> </w:t>
        <w:br/>
        <w:tab/>
        <w:t xml:space="preserve">Tỷ lệ trung bình số token cần thiết để biểu thị một từ</w:t>
      </w:r>
      <w:r>
        <w:rPr>
          <w:rFonts w:ascii="IBM Plex Serif" w:hAnsi="IBM Plex Serif" w:eastAsia="IBM Plex Serif" w:cs="IBM Plex Serif"/>
          <w:b w:val="0"/>
          <w:bCs w:val="0"/>
          <w:highlight w:val="none"/>
        </w:rPr>
      </w:r>
      <w:r/>
      <w:r>
        <w:rPr>
          <w:rFonts w:ascii="IBM Plex Serif" w:hAnsi="IBM Plex Serif" w:eastAsia="IBM Plex Serif" w:cs="IBM Plex Serif"/>
          <w:b w:val="0"/>
          <w:bCs w:val="0"/>
          <w:highlight w:val="none"/>
        </w:rPr>
        <w:t xml:space="preserve">. Chỉ số này càng cao thì khả năng nén của tokenizer càng kém</w:t>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t xml:space="preserve">.</w:t>
      </w:r>
      <w:r>
        <w:rPr>
          <w:rFonts w:ascii="IBM Plex Serif" w:hAnsi="IBM Plex Serif" w:eastAsia="IBM Plex Serif" w:cs="IBM Plex Serif"/>
          <w:b w:val="0"/>
          <w:bCs w:val="0"/>
          <w:highlight w:val="none"/>
        </w:rPr>
      </w:r>
    </w:p>
    <w:p w14:paraId="65BB0BEE">
      <w:pPr>
        <w:pStyle w:val="841"/>
        <w:numPr>
          <w:ilvl w:val="0"/>
          <w:numId w:val="34"/>
        </w:numPr>
        <w:pBdr/>
        <w:spacing w:after="74" w:afterAutospacing="0" w:before="0" w:beforeAutospacing="0"/>
        <w:ind/>
        <w:jc w:val="left"/>
        <w:rPr>
          <w:rFonts w:ascii="IBM Plex Serif" w:hAnsi="IBM Plex Serif" w:eastAsia="IBM Plex Serif" w:cs="IBM Plex Serif"/>
          <w:b w:val="0"/>
          <w:bCs w:val="0"/>
          <w:highlight w:val="none"/>
        </w:rPr>
      </w:pPr>
      <w:r>
        <w:rPr>
          <w:rFonts w:ascii="IBM Plex Serif" w:hAnsi="IBM Plex Serif" w:eastAsia="IBM Plex Serif" w:cs="IBM Plex Serif"/>
          <w:b w:val="0"/>
          <w:bCs w:val="0"/>
          <w:highlight w:val="none"/>
        </w:rPr>
      </w:r>
      <w:r>
        <w:rPr>
          <w:rFonts w:ascii="IBM Plex Serif" w:hAnsi="IBM Plex Serif" w:eastAsia="IBM Plex Serif" w:cs="IBM Plex Serif"/>
          <w:b/>
          <w:bCs/>
          <w:highlight w:val="none"/>
        </w:rPr>
        <w:t xml:space="preserve">Parity (Tính bình đẳng):</w:t>
      </w:r>
      <w:r>
        <w:rPr>
          <w:rFonts w:ascii="IBM Plex Serif" w:hAnsi="IBM Plex Serif" w:eastAsia="IBM Plex Serif" w:cs="IBM Plex Serif"/>
          <w:b w:val="0"/>
          <w:bCs w:val="0"/>
          <w:highlight w:val="none"/>
        </w:rPr>
        <w:t xml:space="preserve"> </w:t>
        <w:br/>
        <w:tab/>
        <w:t xml:space="preserve">So sánh số lượng token cần thiết để biểu thị cùng một nội dung giữa hai ngôn ngữ khác nhau</w:t>
      </w:r>
      <w:r>
        <w:rPr>
          <w:rFonts w:ascii="IBM Plex Serif" w:hAnsi="IBM Plex Serif" w:eastAsia="IBM Plex Serif" w:cs="IBM Plex Serif"/>
          <w:b w:val="0"/>
          <w:bCs w:val="0"/>
          <w:highlight w:val="none"/>
        </w:rPr>
        <w:t xml:space="preserve">. Một tokenizer tốt nên có tỷ lệ</w:t>
      </w:r>
      <w:r>
        <w:rPr>
          <w:rFonts w:ascii="IBM Plex Serif" w:hAnsi="IBM Plex Serif" w:eastAsia="IBM Plex Serif" w:cs="IBM Plex Serif"/>
          <w:b w:val="0"/>
          <w:bCs w:val="0"/>
          <w:highlight w:val="none"/>
          <w:lang w:val="en-US"/>
        </w:rPr>
        <w:t xml:space="preserve"> </w:t>
      </w:r>
      <w:r>
        <w:rPr>
          <w:rFonts w:ascii="IBM Plex Serif" w:hAnsi="IBM Plex Serif" w:eastAsia="IBM Plex Serif" w:cs="IBM Plex Serif"/>
          <w:b/>
          <w:bCs/>
          <w:highlight w:val="none"/>
          <w:lang w:val="en-US"/>
        </w:rPr>
        <w:t xml:space="preserve">tính </w:t>
      </w:r>
      <w:r>
        <w:rPr>
          <w:rFonts w:ascii="IBM Plex Serif" w:hAnsi="IBM Plex Serif" w:eastAsia="IBM Plex Serif" w:cs="IBM Plex Serif"/>
          <w:b/>
          <w:bCs/>
          <w:highlight w:val="none"/>
          <w:lang w:val="en-US"/>
        </w:rPr>
        <w:t xml:space="preserve">chẵn </w:t>
      </w:r>
      <w:r>
        <w:rPr>
          <w:rFonts w:ascii="IBM Plex Serif" w:hAnsi="IBM Plex Serif" w:eastAsia="IBM Plex Serif" w:cs="IBM Plex Serif"/>
          <w:b/>
          <w:bCs/>
          <w:highlight w:val="none"/>
          <w:lang w:val="en-US"/>
        </w:rPr>
        <w:t xml:space="preserve">lẽ</w:t>
      </w:r>
      <w:r>
        <w:rPr>
          <w:rFonts w:ascii="IBM Plex Serif" w:hAnsi="IBM Plex Serif" w:eastAsia="IBM Plex Serif" w:cs="IBM Plex Serif"/>
          <w:b/>
          <w:bCs/>
          <w:highlight w:val="none"/>
        </w:rPr>
        <w:t xml:space="preserve"> </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b/>
          <w:bCs/>
          <w:highlight w:val="none"/>
        </w:rPr>
        <w:t xml:space="preserve">parity</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b w:val="0"/>
          <w:bCs w:val="0"/>
          <w:highlight w:val="none"/>
        </w:rPr>
        <w:t xml:space="preserve"> gần bằng 1 giữa các ngôn ngữ chính</w:t>
      </w:r>
      <w:r>
        <w:rPr>
          <w:rFonts w:ascii="IBM Plex Serif" w:hAnsi="IBM Plex Serif" w:eastAsia="IBM Plex Serif" w:cs="IBM Plex Serif"/>
          <w:b w:val="0"/>
          <w:bCs w:val="0"/>
          <w:highlight w:val="none"/>
        </w:rPr>
        <w:t xml:space="preserve">.</w:t>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r>
    </w:p>
    <w:p w14:paraId="67FC67CD">
      <w:pPr>
        <w:pBdr/>
        <w:spacing w:after="74" w:afterAutospacing="0" w:before="0" w:beforeAutospacing="0"/>
        <w:ind w:firstLine="720" w:left="0"/>
        <w:jc w:val="left"/>
        <w:rPr>
          <w:b w:val="0"/>
          <w:bCs w:val="0"/>
        </w:rPr>
      </w:pPr>
      <w:r>
        <w:rPr>
          <w:rFonts w:ascii="IBM Plex Serif" w:hAnsi="IBM Plex Serif" w:eastAsia="IBM Plex Serif" w:cs="IBM Plex Serif"/>
          <w:b w:val="0"/>
          <w:bCs w:val="0"/>
          <w:highlight w:val="none"/>
          <w:lang w:val="en-US"/>
        </w:rPr>
        <w:t xml:space="preserve">X</w:t>
      </w:r>
      <w:r>
        <w:rPr>
          <w:rFonts w:ascii="IBM Plex Serif" w:hAnsi="IBM Plex Serif" w:eastAsia="IBM Plex Serif" w:cs="IBM Plex Serif"/>
          <w:b w:val="0"/>
          <w:bCs w:val="0"/>
          <w:highlight w:val="none"/>
        </w:rPr>
        <w:t xml:space="preserve">u hướng của các bộ tokenizer huấn luyện mới nhất là tăng kích thước từ vựng, sử dụng thuật toán byte-level BPE để hỗ trợ đa ngôn ngữ/emoji tốt hơn, và tối ưu hóa việc tách số/khoảng trắng để phục vụ các tác vụ toán học và lập trình</w:t>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t xml:space="preserve">.</w:t>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r>
      <w:r>
        <w:rPr>
          <w:rFonts w:ascii="IBM Plex Serif" w:hAnsi="IBM Plex Serif" w:eastAsia="IBM Plex Serif" w:cs="IBM Plex Serif"/>
          <w:b w:val="0"/>
          <w:bCs w:val="0"/>
          <w:highlight w:val="none"/>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r>
        <w:rPr>
          <w:rFonts w:ascii="IBM Plex Serif" w:hAnsi="IBM Plex Serif" w:eastAsia="IBM Plex Serif" w:cs="IBM Plex Serif"/>
          <w:b w:val="0"/>
          <w:bCs w:val="0"/>
          <w:highlight w:val="none"/>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B8E832E" w14:textId="77777777">
      <w:pPr>
        <w:pBdr/>
        <w:spacing w:after="0" w:line="240" w:lineRule="auto"/>
        <w:ind/>
        <w:rPr/>
      </w:pPr>
      <w:r>
        <w:separator/>
      </w:r>
      <w:r/>
    </w:p>
  </w:endnote>
  <w:endnote w:type="continuationSeparator" w:id="0">
    <w:p w14:paraId="73CDAE88"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BM Plex Serif">
    <w:panose1 w:val="02060503050406000203"/>
  </w:font>
  <w:font w:name="Calibri">
    <w:panose1 w:val="020F0502020204030204"/>
  </w:font>
  <w:font w:name="Symbol">
    <w:panose1 w:val="05010000000000000000"/>
  </w:font>
  <w:font w:name="Courier New">
    <w:panose1 w:val="02070309020205020404"/>
  </w:font>
  <w:font w:name="Wingdings">
    <w:panose1 w:val="05010000000000000000"/>
  </w:font>
  <w:font w:name="Times New Roman">
    <w:panose1 w:val="02020603050405020304"/>
  </w:font>
  <w:font w:name="Segoe UI">
    <w:panose1 w:val="020B05020405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9B2D56" w14:textId="4E31C8E3">
    <w:pPr>
      <w:pStyle w:val="851"/>
      <w:pBdr>
        <w:top w:val="single" w:color="0070c0" w:sz="4" w:space="1"/>
      </w:pBdr>
      <w:spacing/>
      <w:ind/>
      <w:rPr>
        <w:color w:val="0070c0"/>
        <w:sz w:val="22"/>
      </w:rPr>
    </w:pPr>
    <w:r>
      <w:rPr>
        <w:color w:val="0070c0"/>
        <w:sz w:val="22"/>
        <w:lang w:val="en-US"/>
      </w:rPr>
      <w:t xml:space="preserve">Natural Language Processing (NLP)</w:t>
    </w:r>
    <w:r>
      <w:rPr>
        <w:color w:val="0070c0"/>
        <w:sz w:val="22"/>
        <w:lang w:val="en-US"/>
      </w:rPr>
      <w:t xml:space="preserve"> </w:t>
    </w:r>
    <w:r>
      <w:rPr>
        <w:color w:val="0070c0"/>
        <w:sz w:val="22"/>
      </w:rPr>
      <w:t xml:space="preserve">Lab</w:t>
    </w:r>
    <w:r>
      <w:rPr>
        <w:color w:val="0070c0"/>
        <w:sz w:val="22"/>
        <w:lang w:val="en-US"/>
      </w:rPr>
      <w:t xml:space="preserve">Trang </w:t>
    </w:r>
    <w:r>
      <w:rPr>
        <w:color w:val="0070c0"/>
        <w:sz w:val="22"/>
        <w:lang w:val="en-US"/>
      </w:rPr>
      <w:fldChar w:fldCharType="begin"/>
    </w:r>
    <w:r>
      <w:rPr>
        <w:color w:val="0070c0"/>
        <w:sz w:val="22"/>
        <w:lang w:val="en-US"/>
      </w:rPr>
      <w:instrText xml:space="preserve"> PAGE   \* MERGEFORMAT </w:instrText>
    </w:r>
    <w:r>
      <w:rPr>
        <w:color w:val="0070c0"/>
        <w:sz w:val="22"/>
        <w:lang w:val="en-US"/>
      </w:rPr>
      <w:fldChar w:fldCharType="separate"/>
    </w:r>
    <w:r>
      <w:rPr>
        <w:color w:val="0070c0"/>
        <w:sz w:val="22"/>
      </w:rPr>
      <w:t xml:space="preserve">1</w:t>
    </w:r>
    <w:r>
      <w:rPr>
        <w:color w:val="0070c0"/>
        <w:sz w:val="22"/>
        <w:lang w:val="en-US"/>
      </w:rPr>
      <w:fldChar w:fldCharType="end"/>
    </w:r>
    <w:r>
      <w:rPr>
        <w:color w:val="0070c0"/>
        <w:sz w:val="22"/>
        <w:lang w:val="en-US"/>
      </w:rPr>
      <w:t xml:space="preserve">/</w:t>
    </w:r>
    <w:r>
      <w:rPr>
        <w:color w:val="0070c0"/>
        <w:sz w:val="22"/>
        <w:lang w:val="en-US"/>
      </w:rPr>
      <w:fldChar w:fldCharType="begin"/>
    </w:r>
    <w:r>
      <w:rPr>
        <w:color w:val="0070c0"/>
        <w:sz w:val="22"/>
        <w:lang w:val="en-US"/>
      </w:rPr>
      <w:instrText xml:space="preserve"> NUMPAGES   \* MERGEFORMAT </w:instrText>
    </w:r>
    <w:r>
      <w:rPr>
        <w:color w:val="0070c0"/>
        <w:sz w:val="22"/>
        <w:lang w:val="en-US"/>
      </w:rPr>
      <w:fldChar w:fldCharType="separate"/>
    </w:r>
    <w:r>
      <w:rPr>
        <w:color w:val="0070c0"/>
        <w:sz w:val="22"/>
        <w:lang w:val="en-US"/>
      </w:rPr>
      <w:t xml:space="preserve">1</w:t>
    </w:r>
    <w:r>
      <w:rPr>
        <w:color w:val="0070c0"/>
        <w:sz w:val="22"/>
        <w:lang w:val="en-US"/>
      </w:rPr>
      <w:fldChar w:fldCharType="end"/>
    </w:r>
    <w:r>
      <w:rPr>
        <w:color w:val="0070c0"/>
        <w:sz w:val="22"/>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1CEE33" w14:textId="77777777">
    <w:pPr>
      <w:pStyle w:val="851"/>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35A62D" w14:textId="77777777">
    <w:pPr>
      <w:pStyle w:val="85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2A553B7" w14:textId="77777777">
      <w:pPr>
        <w:pBdr/>
        <w:spacing w:after="0" w:line="240" w:lineRule="auto"/>
        <w:ind/>
        <w:rPr/>
      </w:pPr>
      <w:r>
        <w:separator/>
      </w:r>
      <w:r/>
    </w:p>
  </w:footnote>
  <w:footnote w:type="continuationSeparator" w:id="0">
    <w:p w14:paraId="2E0C2450"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777E63" w14:textId="77777777">
    <w:pPr>
      <w:pStyle w:val="84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676C99" w14:textId="77777777">
    <w:pPr>
      <w:pStyle w:val="849"/>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7BFFFB" w14:textId="77777777">
    <w:pPr>
      <w:pStyle w:val="84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774EA"/>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
    <w:nsid w:val="13EB5835"/>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
    <w:nsid w:val="14276014"/>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nsid w:val="21B72DE3"/>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nsid w:val="350F4FB1"/>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5">
    <w:nsid w:val="392E5396"/>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39A53A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418E3372"/>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8">
    <w:nsid w:val="4E0841E1"/>
    <w:lvl w:ilvl="0">
      <w:isLgl w:val="false"/>
      <w:lvlJc w:val="right"/>
      <w:lvlText w:val="%1."/>
      <w:numFmt w:val="upperRoman"/>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4EAA2675"/>
    <w:lvl w:ilvl="0">
      <w:isLgl w:val="false"/>
      <w:lvlJc w:val="left"/>
      <w:lvlText w:val="%1."/>
      <w:numFmt w:val="decimal"/>
      <w:pPr>
        <w:pBdr/>
        <w:tabs>
          <w:tab w:val="num" w:leader="none" w:pos="720"/>
        </w:tabs>
        <w:spacing/>
        <w:ind w:hanging="720" w:left="720"/>
      </w:pPr>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pStyle w:val="818"/>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10">
    <w:nsid w:val="52901A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52A424CA"/>
    <w:lvl w:ilvl="0">
      <w:isLgl w:val="false"/>
      <w:lvlJc w:val="left"/>
      <w:lvlText w:val="%1. "/>
      <w:numFmt w:val="upperLetter"/>
      <w:pPr>
        <w:pBdr/>
        <w:spacing/>
        <w:ind w:hanging="432" w:left="432"/>
      </w:pPr>
      <w:pStyle w:val="811"/>
      <w:rPr>
        <w:rFonts w:hint="default"/>
      </w:rPr>
      <w:start w:val="1"/>
      <w:suff w:val="tab"/>
    </w:lvl>
    <w:lvl w:ilvl="1">
      <w:isLgl w:val="false"/>
      <w:lvlJc w:val="left"/>
      <w:lvlText w:val="%2. "/>
      <w:numFmt w:val="decimal"/>
      <w:pPr>
        <w:pBdr/>
        <w:spacing/>
        <w:ind w:hanging="576" w:left="576"/>
      </w:pPr>
      <w:pStyle w:val="812"/>
      <w:rPr>
        <w:rFonts w:hint="default"/>
      </w:rPr>
      <w:start w:val="1"/>
      <w:suff w:val="space"/>
    </w:lvl>
    <w:lvl w:ilvl="2">
      <w:isLgl w:val="false"/>
      <w:lvlJc w:val="left"/>
      <w:lvlText w:val="%3. "/>
      <w:numFmt w:val="lowerLetter"/>
      <w:pPr>
        <w:pBdr/>
        <w:spacing/>
        <w:ind w:hanging="720" w:left="720"/>
      </w:pPr>
      <w:pStyle w:val="813"/>
      <w:rPr>
        <w:rFonts w:hint="default"/>
      </w:rPr>
      <w:start w:val="1"/>
      <w:suff w:val="space"/>
    </w:lvl>
    <w:lvl w:ilvl="3">
      <w:isLgl w:val="false"/>
      <w:lvlJc w:val="left"/>
      <w:lvlText w:val="%1.%2.%3.%4"/>
      <w:numFmt w:val="decimal"/>
      <w:pPr>
        <w:pBdr/>
        <w:spacing/>
        <w:ind w:hanging="864" w:left="864"/>
      </w:pPr>
      <w:pStyle w:val="814"/>
      <w:rPr>
        <w:rFonts w:hint="default"/>
      </w:rPr>
      <w:start w:val="1"/>
      <w:suff w:val="tab"/>
    </w:lvl>
    <w:lvl w:ilvl="4">
      <w:isLgl w:val="false"/>
      <w:lvlJc w:val="left"/>
      <w:lvlText w:val="%1.%2.%3.%4.%5"/>
      <w:numFmt w:val="decimal"/>
      <w:pPr>
        <w:pBdr/>
        <w:spacing/>
        <w:ind w:hanging="1008" w:left="1008"/>
      </w:pPr>
      <w:pStyle w:val="815"/>
      <w:rPr>
        <w:rFonts w:hint="default"/>
      </w:rPr>
      <w:start w:val="1"/>
      <w:suff w:val="tab"/>
    </w:lvl>
    <w:lvl w:ilvl="5">
      <w:isLgl w:val="false"/>
      <w:lvlJc w:val="left"/>
      <w:lvlText w:val="%1.%2.%3.%4.%5.%6"/>
      <w:numFmt w:val="decimal"/>
      <w:pPr>
        <w:pBdr/>
        <w:spacing/>
        <w:ind w:hanging="1152" w:left="1152"/>
      </w:pPr>
      <w:pStyle w:val="816"/>
      <w:rPr>
        <w:rFonts w:hint="default"/>
      </w:rPr>
      <w:start w:val="1"/>
      <w:suff w:val="tab"/>
    </w:lvl>
    <w:lvl w:ilvl="6">
      <w:isLgl w:val="false"/>
      <w:lvlJc w:val="left"/>
      <w:lvlText w:val="%1.%2.%3.%4.%5.%6.%7"/>
      <w:numFmt w:val="decimal"/>
      <w:pPr>
        <w:pBdr/>
        <w:spacing/>
        <w:ind w:hanging="1296" w:left="1296"/>
      </w:pPr>
      <w:pStyle w:val="817"/>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pStyle w:val="819"/>
      <w:rPr>
        <w:rFonts w:hint="default"/>
      </w:rPr>
      <w:start w:val="1"/>
      <w:suff w:val="tab"/>
    </w:lvl>
  </w:abstractNum>
  <w:abstractNum w:abstractNumId="12">
    <w:nsid w:val="54603D79"/>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64E73C0C"/>
    <w:lvl w:ilvl="0">
      <w:isLgl w:val="false"/>
      <w:lvlJc w:val="left"/>
      <w:lvlText w:val="%1."/>
      <w:numFmt w:val="upperLetter"/>
      <w:pPr>
        <w:pBdr/>
        <w:spacing/>
        <w:ind w:hanging="360" w:left="360"/>
      </w:pPr>
      <w:rPr/>
      <w:start w:val="1"/>
      <w:suff w:val="tab"/>
    </w:lvl>
    <w:lvl w:ilvl="1">
      <w:isLgl w:val="false"/>
      <w:lvlJc w:val="left"/>
      <w:lvlText w:val="%2."/>
      <w:numFmt w:val="upp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4">
    <w:nsid w:val="659E3935"/>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66B16983"/>
    <w:lvl w:ilvl="0">
      <w:isLgl w:val="false"/>
      <w:lvlJc w:val="left"/>
      <w:lvlText w:val="Bài tập %1."/>
      <w:numFmt w:val="decimal"/>
      <w:pPr>
        <w:pBdr/>
        <w:spacing/>
        <w:ind w:hanging="360" w:left="360"/>
      </w:pPr>
      <w:pStyle w:val="825"/>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6">
    <w:nsid w:val="75C60B9F"/>
    <w:lvl w:ilvl="0">
      <w:isLgl w:val="false"/>
      <w:lvlJc w:val="left"/>
      <w:lvlText w:val="-"/>
      <w:numFmt w:val="bullet"/>
      <w:pPr>
        <w:pBdr/>
        <w:spacing/>
        <w:ind w:hanging="360" w:left="1080"/>
      </w:pPr>
      <w:rPr>
        <w:rFonts w:hint="default" w:ascii="Calibri" w:hAnsi="Calibri" w:cs="Calibri"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7">
    <w:nsid w:val="7FE8756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nsid w:val="39CD5802"/>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9">
    <w:nsid w:val="051DFDB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20"/>
      </w:pPr>
      <w:rPr/>
      <w:start w:val="1"/>
      <w:suff w:val="tab"/>
    </w:lvl>
    <w:lvl w:ilvl="2">
      <w:isLgl w:val="false"/>
      <w:lvlJc w:val="right"/>
      <w:lvlText w:val="%3."/>
      <w:numFmt w:val="lowerRoman"/>
      <w:pPr>
        <w:pBdr/>
        <w:spacing/>
        <w:ind w:hanging="180" w:left="1440"/>
      </w:pPr>
      <w:rPr/>
      <w:start w:val="1"/>
      <w:suff w:val="tab"/>
    </w:lvl>
    <w:lvl w:ilvl="3">
      <w:isLgl w:val="false"/>
      <w:lvlJc w:val="left"/>
      <w:lvlText w:val="%4."/>
      <w:numFmt w:val="decimal"/>
      <w:pPr>
        <w:pBdr/>
        <w:spacing/>
        <w:ind w:hanging="360" w:left="2160"/>
      </w:pPr>
      <w:rPr/>
      <w:start w:val="1"/>
      <w:suff w:val="tab"/>
    </w:lvl>
    <w:lvl w:ilvl="4">
      <w:isLgl w:val="false"/>
      <w:lvlJc w:val="left"/>
      <w:lvlText w:val="%5."/>
      <w:numFmt w:val="lowerLetter"/>
      <w:pPr>
        <w:pBdr/>
        <w:spacing/>
        <w:ind w:hanging="360" w:left="2880"/>
      </w:pPr>
      <w:rPr/>
      <w:start w:val="1"/>
      <w:suff w:val="tab"/>
    </w:lvl>
    <w:lvl w:ilvl="5">
      <w:isLgl w:val="false"/>
      <w:lvlJc w:val="right"/>
      <w:lvlText w:val="%6."/>
      <w:numFmt w:val="lowerRoman"/>
      <w:pPr>
        <w:pBdr/>
        <w:spacing/>
        <w:ind w:hanging="180" w:left="3600"/>
      </w:pPr>
      <w:rPr/>
      <w:start w:val="1"/>
      <w:suff w:val="tab"/>
    </w:lvl>
    <w:lvl w:ilvl="6">
      <w:isLgl w:val="false"/>
      <w:lvlJc w:val="left"/>
      <w:lvlText w:val="%7."/>
      <w:numFmt w:val="decimal"/>
      <w:pPr>
        <w:pBdr/>
        <w:spacing/>
        <w:ind w:hanging="360" w:left="4320"/>
      </w:pPr>
      <w:rPr/>
      <w:start w:val="1"/>
      <w:suff w:val="tab"/>
    </w:lvl>
    <w:lvl w:ilvl="7">
      <w:isLgl w:val="false"/>
      <w:lvlJc w:val="left"/>
      <w:lvlText w:val="%8."/>
      <w:numFmt w:val="lowerLetter"/>
      <w:pPr>
        <w:pBdr/>
        <w:spacing/>
        <w:ind w:hanging="360" w:left="5040"/>
      </w:pPr>
      <w:rPr/>
      <w:start w:val="1"/>
      <w:suff w:val="tab"/>
    </w:lvl>
    <w:lvl w:ilvl="8">
      <w:isLgl w:val="false"/>
      <w:lvlJc w:val="right"/>
      <w:lvlText w:val="%9."/>
      <w:numFmt w:val="lowerRoman"/>
      <w:pPr>
        <w:pBdr/>
        <w:spacing/>
        <w:ind w:hanging="180" w:left="5760"/>
      </w:pPr>
      <w:rPr/>
      <w:start w:val="1"/>
      <w:suff w:val="tab"/>
    </w:lvl>
  </w:abstractNum>
  <w:abstractNum w:abstractNumId="20">
    <w:nsid w:val="5E938D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nsid w:val="051DFDB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20"/>
      </w:pPr>
      <w:rPr/>
      <w:start w:val="1"/>
      <w:suff w:val="tab"/>
    </w:lvl>
    <w:lvl w:ilvl="2">
      <w:isLgl w:val="false"/>
      <w:lvlJc w:val="right"/>
      <w:lvlText w:val="%3."/>
      <w:numFmt w:val="lowerRoman"/>
      <w:pPr>
        <w:pBdr/>
        <w:spacing/>
        <w:ind w:hanging="180" w:left="1440"/>
      </w:pPr>
      <w:rPr/>
      <w:start w:val="1"/>
      <w:suff w:val="tab"/>
    </w:lvl>
    <w:lvl w:ilvl="3">
      <w:isLgl w:val="false"/>
      <w:lvlJc w:val="left"/>
      <w:lvlText w:val="%4."/>
      <w:numFmt w:val="decimal"/>
      <w:pPr>
        <w:pBdr/>
        <w:spacing/>
        <w:ind w:hanging="360" w:left="2160"/>
      </w:pPr>
      <w:rPr/>
      <w:start w:val="1"/>
      <w:suff w:val="tab"/>
    </w:lvl>
    <w:lvl w:ilvl="4">
      <w:isLgl w:val="false"/>
      <w:lvlJc w:val="left"/>
      <w:lvlText w:val="%5."/>
      <w:numFmt w:val="lowerLetter"/>
      <w:pPr>
        <w:pBdr/>
        <w:spacing/>
        <w:ind w:hanging="360" w:left="2880"/>
      </w:pPr>
      <w:rPr/>
      <w:start w:val="1"/>
      <w:suff w:val="tab"/>
    </w:lvl>
    <w:lvl w:ilvl="5">
      <w:isLgl w:val="false"/>
      <w:lvlJc w:val="right"/>
      <w:lvlText w:val="%6."/>
      <w:numFmt w:val="lowerRoman"/>
      <w:pPr>
        <w:pBdr/>
        <w:spacing/>
        <w:ind w:hanging="180" w:left="3600"/>
      </w:pPr>
      <w:rPr/>
      <w:start w:val="1"/>
      <w:suff w:val="tab"/>
    </w:lvl>
    <w:lvl w:ilvl="6">
      <w:isLgl w:val="false"/>
      <w:lvlJc w:val="left"/>
      <w:lvlText w:val="%7."/>
      <w:numFmt w:val="decimal"/>
      <w:pPr>
        <w:pBdr/>
        <w:spacing/>
        <w:ind w:hanging="360" w:left="4320"/>
      </w:pPr>
      <w:rPr/>
      <w:start w:val="1"/>
      <w:suff w:val="tab"/>
    </w:lvl>
    <w:lvl w:ilvl="7">
      <w:isLgl w:val="false"/>
      <w:lvlJc w:val="left"/>
      <w:lvlText w:val="%8."/>
      <w:numFmt w:val="lowerLetter"/>
      <w:pPr>
        <w:pBdr/>
        <w:spacing/>
        <w:ind w:hanging="360" w:left="5040"/>
      </w:pPr>
      <w:rPr/>
      <w:start w:val="1"/>
      <w:suff w:val="tab"/>
    </w:lvl>
    <w:lvl w:ilvl="8">
      <w:isLgl w:val="false"/>
      <w:lvlJc w:val="right"/>
      <w:lvlText w:val="%9."/>
      <w:numFmt w:val="lowerRoman"/>
      <w:pPr>
        <w:pBdr/>
        <w:spacing/>
        <w:ind w:hanging="180" w:left="5760"/>
      </w:pPr>
      <w:rPr/>
      <w:start w:val="1"/>
      <w:suff w:val="tab"/>
    </w:lvl>
  </w:abstractNum>
  <w:abstractNum w:abstractNumId="22">
    <w:nsid w:val="1805395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nsid w:val="4633E702"/>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594A17BA"/>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24D59BD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54366188"/>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4F2693D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8">
    <w:nsid w:val="54366188"/>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71D727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6BBF542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1">
    <w:nsid w:val="6BBF542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2">
    <w:nsid w:val="3C9F3E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51A54F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0B2D1320"/>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420C1F92"/>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54366188"/>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54366188"/>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1"/>
  </w:num>
  <w:num w:numId="2">
    <w:abstractNumId w:val="9"/>
  </w:num>
  <w:num w:numId="3">
    <w:abstractNumId w:val="15"/>
  </w:num>
  <w:num w:numId="4">
    <w:abstractNumId w:val="14"/>
  </w:num>
  <w:num w:numId="5">
    <w:abstractNumId w:val="6"/>
  </w:num>
  <w:num w:numId="6">
    <w:abstractNumId w:val="16"/>
  </w:num>
  <w:num w:numId="7">
    <w:abstractNumId w:val="10"/>
  </w:num>
  <w:num w:numId="8">
    <w:abstractNumId w:val="13"/>
  </w:num>
  <w:num w:numId="9">
    <w:abstractNumId w:val="8"/>
  </w:num>
  <w:num w:numId="10">
    <w:abstractNumId w:val="12"/>
  </w:num>
  <w:num w:numId="11">
    <w:abstractNumId w:val="3"/>
  </w:num>
  <w:num w:numId="12">
    <w:abstractNumId w:val="7"/>
  </w:num>
  <w:num w:numId="13">
    <w:abstractNumId w:val="2"/>
  </w:num>
  <w:num w:numId="14">
    <w:abstractNumId w:val="5"/>
  </w:num>
  <w:num w:numId="15">
    <w:abstractNumId w:val="1"/>
  </w:num>
  <w:num w:numId="16">
    <w:abstractNumId w:val="4"/>
  </w:num>
  <w:num w:numId="17">
    <w:abstractNumId w:val="0"/>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vi-V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3">
    <w:name w:val="Quote"/>
    <w:basedOn w:val="810"/>
    <w:next w:val="810"/>
    <w:link w:val="164"/>
    <w:uiPriority w:val="29"/>
    <w:qFormat/>
    <w:pPr>
      <w:pBdr/>
      <w:spacing w:before="160"/>
      <w:ind/>
      <w:jc w:val="center"/>
    </w:pPr>
    <w:rPr>
      <w:i/>
      <w:iCs/>
      <w:color w:val="404040" w:themeColor="text1" w:themeTint="BF"/>
    </w:rPr>
  </w:style>
  <w:style w:type="character" w:styleId="164">
    <w:name w:val="Quote Char"/>
    <w:basedOn w:val="820"/>
    <w:link w:val="163"/>
    <w:uiPriority w:val="29"/>
    <w:pPr>
      <w:pBdr/>
      <w:spacing/>
      <w:ind/>
    </w:pPr>
    <w:rPr>
      <w:i/>
      <w:iCs/>
      <w:color w:val="404040" w:themeColor="text1" w:themeTint="BF"/>
    </w:rPr>
  </w:style>
  <w:style w:type="character" w:styleId="166">
    <w:name w:val="Intense Emphasis"/>
    <w:basedOn w:val="820"/>
    <w:uiPriority w:val="21"/>
    <w:qFormat/>
    <w:pPr>
      <w:pBdr/>
      <w:spacing/>
      <w:ind/>
    </w:pPr>
    <w:rPr>
      <w:i/>
      <w:iCs/>
      <w:color w:val="0f4761" w:themeColor="accent1" w:themeShade="BF"/>
    </w:rPr>
  </w:style>
  <w:style w:type="paragraph" w:styleId="167">
    <w:name w:val="Intense Quote"/>
    <w:basedOn w:val="810"/>
    <w:next w:val="81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0"/>
    <w:link w:val="167"/>
    <w:uiPriority w:val="30"/>
    <w:pPr>
      <w:pBdr/>
      <w:spacing/>
      <w:ind/>
    </w:pPr>
    <w:rPr>
      <w:i/>
      <w:iCs/>
      <w:color w:val="0f4761" w:themeColor="accent1" w:themeShade="BF"/>
    </w:rPr>
  </w:style>
  <w:style w:type="character" w:styleId="169">
    <w:name w:val="Intense Reference"/>
    <w:basedOn w:val="820"/>
    <w:uiPriority w:val="32"/>
    <w:qFormat/>
    <w:pPr>
      <w:pBdr/>
      <w:spacing/>
      <w:ind/>
    </w:pPr>
    <w:rPr>
      <w:b/>
      <w:bCs/>
      <w:smallCaps/>
      <w:color w:val="0f4761" w:themeColor="accent1" w:themeShade="BF"/>
      <w:spacing w:val="5"/>
    </w:rPr>
  </w:style>
  <w:style w:type="paragraph" w:styleId="170">
    <w:name w:val="No Spacing"/>
    <w:basedOn w:val="810"/>
    <w:uiPriority w:val="1"/>
    <w:qFormat/>
    <w:pPr>
      <w:pBdr/>
      <w:spacing w:after="0" w:line="240" w:lineRule="auto"/>
      <w:ind/>
    </w:pPr>
  </w:style>
  <w:style w:type="character" w:styleId="171">
    <w:name w:val="Subtle Emphasis"/>
    <w:basedOn w:val="820"/>
    <w:uiPriority w:val="19"/>
    <w:qFormat/>
    <w:pPr>
      <w:pBdr/>
      <w:spacing/>
      <w:ind/>
    </w:pPr>
    <w:rPr>
      <w:i/>
      <w:iCs/>
      <w:color w:val="404040" w:themeColor="text1" w:themeTint="BF"/>
    </w:rPr>
  </w:style>
  <w:style w:type="character" w:styleId="173">
    <w:name w:val="Strong"/>
    <w:basedOn w:val="820"/>
    <w:uiPriority w:val="22"/>
    <w:qFormat/>
    <w:pPr>
      <w:pBdr/>
      <w:spacing/>
      <w:ind/>
    </w:pPr>
    <w:rPr>
      <w:b/>
      <w:bCs/>
    </w:rPr>
  </w:style>
  <w:style w:type="character" w:styleId="174">
    <w:name w:val="Subtle Reference"/>
    <w:basedOn w:val="820"/>
    <w:uiPriority w:val="31"/>
    <w:qFormat/>
    <w:pPr>
      <w:pBdr/>
      <w:spacing/>
      <w:ind/>
    </w:pPr>
    <w:rPr>
      <w:smallCaps/>
      <w:color w:val="5a5a5a" w:themeColor="text1" w:themeTint="A5"/>
    </w:rPr>
  </w:style>
  <w:style w:type="character" w:styleId="175">
    <w:name w:val="Book Title"/>
    <w:basedOn w:val="820"/>
    <w:uiPriority w:val="33"/>
    <w:qFormat/>
    <w:pPr>
      <w:pBdr/>
      <w:spacing/>
      <w:ind/>
    </w:pPr>
    <w:rPr>
      <w:b/>
      <w:bCs/>
      <w:i/>
      <w:iCs/>
      <w:spacing w:val="5"/>
    </w:rPr>
  </w:style>
  <w:style w:type="paragraph" w:styleId="181">
    <w:name w:val="footnote text"/>
    <w:basedOn w:val="810"/>
    <w:link w:val="182"/>
    <w:uiPriority w:val="99"/>
    <w:semiHidden/>
    <w:unhideWhenUsed/>
    <w:pPr>
      <w:pBdr/>
      <w:spacing w:after="0" w:line="240" w:lineRule="auto"/>
      <w:ind/>
    </w:pPr>
    <w:rPr>
      <w:sz w:val="20"/>
      <w:szCs w:val="20"/>
    </w:rPr>
  </w:style>
  <w:style w:type="character" w:styleId="182">
    <w:name w:val="Footnote Text Char"/>
    <w:basedOn w:val="820"/>
    <w:link w:val="181"/>
    <w:uiPriority w:val="99"/>
    <w:semiHidden/>
    <w:pPr>
      <w:pBdr/>
      <w:spacing/>
      <w:ind/>
    </w:pPr>
    <w:rPr>
      <w:sz w:val="20"/>
      <w:szCs w:val="20"/>
    </w:rPr>
  </w:style>
  <w:style w:type="character" w:styleId="183">
    <w:name w:val="footnote reference"/>
    <w:basedOn w:val="820"/>
    <w:uiPriority w:val="99"/>
    <w:semiHidden/>
    <w:unhideWhenUsed/>
    <w:pPr>
      <w:pBdr/>
      <w:spacing/>
      <w:ind/>
    </w:pPr>
    <w:rPr>
      <w:vertAlign w:val="superscript"/>
    </w:rPr>
  </w:style>
  <w:style w:type="paragraph" w:styleId="184">
    <w:name w:val="endnote text"/>
    <w:basedOn w:val="810"/>
    <w:link w:val="185"/>
    <w:uiPriority w:val="99"/>
    <w:semiHidden/>
    <w:unhideWhenUsed/>
    <w:pPr>
      <w:pBdr/>
      <w:spacing w:after="0" w:line="240" w:lineRule="auto"/>
      <w:ind/>
    </w:pPr>
    <w:rPr>
      <w:sz w:val="20"/>
      <w:szCs w:val="20"/>
    </w:rPr>
  </w:style>
  <w:style w:type="character" w:styleId="185">
    <w:name w:val="Endnote Text Char"/>
    <w:basedOn w:val="820"/>
    <w:link w:val="184"/>
    <w:uiPriority w:val="99"/>
    <w:semiHidden/>
    <w:pPr>
      <w:pBdr/>
      <w:spacing/>
      <w:ind/>
    </w:pPr>
    <w:rPr>
      <w:sz w:val="20"/>
      <w:szCs w:val="20"/>
    </w:rPr>
  </w:style>
  <w:style w:type="character" w:styleId="186">
    <w:name w:val="endnote reference"/>
    <w:basedOn w:val="820"/>
    <w:uiPriority w:val="99"/>
    <w:semiHidden/>
    <w:unhideWhenUsed/>
    <w:pPr>
      <w:pBdr/>
      <w:spacing/>
      <w:ind/>
    </w:pPr>
    <w:rPr>
      <w:vertAlign w:val="superscript"/>
    </w:rPr>
  </w:style>
  <w:style w:type="character" w:styleId="188">
    <w:name w:val="FollowedHyperlink"/>
    <w:basedOn w:val="820"/>
    <w:uiPriority w:val="99"/>
    <w:semiHidden/>
    <w:unhideWhenUsed/>
    <w:pPr>
      <w:pBdr/>
      <w:spacing/>
      <w:ind/>
    </w:pPr>
    <w:rPr>
      <w:color w:val="954f72" w:themeColor="followedHyperlink"/>
      <w:u w:val="single"/>
    </w:rPr>
  </w:style>
  <w:style w:type="paragraph" w:styleId="189">
    <w:name w:val="toc 1"/>
    <w:basedOn w:val="810"/>
    <w:next w:val="810"/>
    <w:uiPriority w:val="39"/>
    <w:unhideWhenUsed/>
    <w:pPr>
      <w:pBdr/>
      <w:spacing w:after="100"/>
      <w:ind/>
    </w:pPr>
  </w:style>
  <w:style w:type="paragraph" w:styleId="190">
    <w:name w:val="toc 2"/>
    <w:basedOn w:val="810"/>
    <w:next w:val="810"/>
    <w:uiPriority w:val="39"/>
    <w:unhideWhenUsed/>
    <w:pPr>
      <w:pBdr/>
      <w:spacing w:after="100"/>
      <w:ind w:left="220"/>
    </w:pPr>
  </w:style>
  <w:style w:type="paragraph" w:styleId="191">
    <w:name w:val="toc 3"/>
    <w:basedOn w:val="810"/>
    <w:next w:val="810"/>
    <w:uiPriority w:val="39"/>
    <w:unhideWhenUsed/>
    <w:pPr>
      <w:pBdr/>
      <w:spacing w:after="100"/>
      <w:ind w:left="440"/>
    </w:pPr>
  </w:style>
  <w:style w:type="paragraph" w:styleId="192">
    <w:name w:val="toc 4"/>
    <w:basedOn w:val="810"/>
    <w:next w:val="810"/>
    <w:uiPriority w:val="39"/>
    <w:unhideWhenUsed/>
    <w:pPr>
      <w:pBdr/>
      <w:spacing w:after="100"/>
      <w:ind w:left="660"/>
    </w:pPr>
  </w:style>
  <w:style w:type="paragraph" w:styleId="193">
    <w:name w:val="toc 5"/>
    <w:basedOn w:val="810"/>
    <w:next w:val="810"/>
    <w:uiPriority w:val="39"/>
    <w:unhideWhenUsed/>
    <w:pPr>
      <w:pBdr/>
      <w:spacing w:after="100"/>
      <w:ind w:left="880"/>
    </w:pPr>
  </w:style>
  <w:style w:type="paragraph" w:styleId="194">
    <w:name w:val="toc 6"/>
    <w:basedOn w:val="810"/>
    <w:next w:val="810"/>
    <w:uiPriority w:val="39"/>
    <w:unhideWhenUsed/>
    <w:pPr>
      <w:pBdr/>
      <w:spacing w:after="100"/>
      <w:ind w:left="1100"/>
    </w:pPr>
  </w:style>
  <w:style w:type="paragraph" w:styleId="195">
    <w:name w:val="toc 7"/>
    <w:basedOn w:val="810"/>
    <w:next w:val="810"/>
    <w:uiPriority w:val="39"/>
    <w:unhideWhenUsed/>
    <w:pPr>
      <w:pBdr/>
      <w:spacing w:after="100"/>
      <w:ind w:left="1320"/>
    </w:pPr>
  </w:style>
  <w:style w:type="paragraph" w:styleId="196">
    <w:name w:val="toc 8"/>
    <w:basedOn w:val="810"/>
    <w:next w:val="810"/>
    <w:uiPriority w:val="39"/>
    <w:unhideWhenUsed/>
    <w:pPr>
      <w:pBdr/>
      <w:spacing w:after="100"/>
      <w:ind w:left="1540"/>
    </w:pPr>
  </w:style>
  <w:style w:type="paragraph" w:styleId="197">
    <w:name w:val="toc 9"/>
    <w:basedOn w:val="810"/>
    <w:next w:val="810"/>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810"/>
    <w:next w:val="810"/>
    <w:uiPriority w:val="99"/>
    <w:unhideWhenUsed/>
    <w:pPr>
      <w:pBdr/>
      <w:spacing w:after="0" w:afterAutospacing="0"/>
      <w:ind/>
    </w:pPr>
  </w:style>
  <w:style w:type="paragraph" w:styleId="810" w:default="1">
    <w:name w:val="Normal"/>
    <w:qFormat/>
    <w:pPr>
      <w:pBdr/>
      <w:spacing w:after="120" w:line="300" w:lineRule="auto"/>
      <w:ind/>
      <w:contextualSpacing w:val="true"/>
      <w:jc w:val="both"/>
    </w:pPr>
    <w:rPr>
      <w:sz w:val="24"/>
    </w:rPr>
  </w:style>
  <w:style w:type="paragraph" w:styleId="811">
    <w:name w:val="Heading 1"/>
    <w:basedOn w:val="810"/>
    <w:next w:val="810"/>
    <w:link w:val="827"/>
    <w:uiPriority w:val="9"/>
    <w:qFormat/>
    <w:pPr>
      <w:keepNext w:val="true"/>
      <w:keepLines w:val="true"/>
      <w:numPr>
        <w:numId w:val="1"/>
      </w:numPr>
      <w:pBdr/>
      <w:spacing w:after="0" w:before="240"/>
      <w:ind/>
      <w:outlineLvl w:val="0"/>
    </w:pPr>
    <w:rPr>
      <w:rFonts w:asciiTheme="majorHAnsi" w:hAnsiTheme="majorHAnsi" w:eastAsiaTheme="majorEastAsia" w:cstheme="majorBidi"/>
      <w:color w:val="ed7d31" w:themeColor="accent2"/>
      <w:sz w:val="32"/>
      <w:szCs w:val="32"/>
    </w:rPr>
  </w:style>
  <w:style w:type="paragraph" w:styleId="812">
    <w:name w:val="Heading 2"/>
    <w:basedOn w:val="810"/>
    <w:next w:val="810"/>
    <w:link w:val="828"/>
    <w:uiPriority w:val="9"/>
    <w:unhideWhenUsed/>
    <w:qFormat/>
    <w:pPr>
      <w:keepNext w:val="true"/>
      <w:keepLines w:val="true"/>
      <w:numPr>
        <w:ilvl w:val="1"/>
        <w:numId w:val="1"/>
      </w:numPr>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813">
    <w:name w:val="Heading 3"/>
    <w:basedOn w:val="810"/>
    <w:next w:val="810"/>
    <w:link w:val="829"/>
    <w:uiPriority w:val="9"/>
    <w:unhideWhenUsed/>
    <w:qFormat/>
    <w:pPr>
      <w:keepNext w:val="true"/>
      <w:keepLines w:val="true"/>
      <w:numPr>
        <w:ilvl w:val="2"/>
        <w:numId w:val="1"/>
      </w:numPr>
      <w:pBdr/>
      <w:spacing w:after="0" w:before="40"/>
      <w:ind/>
      <w:outlineLvl w:val="2"/>
    </w:pPr>
    <w:rPr>
      <w:rFonts w:asciiTheme="majorHAnsi" w:hAnsiTheme="majorHAnsi" w:eastAsiaTheme="majorEastAsia" w:cstheme="majorBidi"/>
      <w:color w:val="1f4d78" w:themeColor="accent1" w:themeShade="7F"/>
      <w:szCs w:val="24"/>
    </w:rPr>
  </w:style>
  <w:style w:type="paragraph" w:styleId="814">
    <w:name w:val="Heading 4"/>
    <w:basedOn w:val="810"/>
    <w:next w:val="810"/>
    <w:link w:val="830"/>
    <w:uiPriority w:val="9"/>
    <w:semiHidden/>
    <w:unhideWhenUsed/>
    <w:qFormat/>
    <w:pPr>
      <w:keepNext w:val="true"/>
      <w:keepLines w:val="true"/>
      <w:numPr>
        <w:ilvl w:val="3"/>
        <w:numId w:val="1"/>
      </w:numPr>
      <w:pBdr/>
      <w:spacing w:after="0" w:before="40"/>
      <w:ind/>
      <w:outlineLvl w:val="3"/>
    </w:pPr>
    <w:rPr>
      <w:rFonts w:asciiTheme="majorHAnsi" w:hAnsiTheme="majorHAnsi" w:eastAsiaTheme="majorEastAsia" w:cstheme="majorBidi"/>
      <w:i/>
      <w:iCs/>
      <w:color w:val="2e74b5" w:themeColor="accent1" w:themeShade="BF"/>
      <w:sz w:val="22"/>
    </w:rPr>
  </w:style>
  <w:style w:type="paragraph" w:styleId="815">
    <w:name w:val="Heading 5"/>
    <w:basedOn w:val="810"/>
    <w:next w:val="810"/>
    <w:link w:val="831"/>
    <w:uiPriority w:val="9"/>
    <w:semiHidden/>
    <w:unhideWhenUsed/>
    <w:qFormat/>
    <w:pPr>
      <w:keepNext w:val="true"/>
      <w:keepLines w:val="true"/>
      <w:numPr>
        <w:ilvl w:val="4"/>
        <w:numId w:val="1"/>
      </w:numPr>
      <w:pBdr/>
      <w:spacing w:after="0" w:before="40"/>
      <w:ind/>
      <w:outlineLvl w:val="4"/>
    </w:pPr>
    <w:rPr>
      <w:rFonts w:asciiTheme="majorHAnsi" w:hAnsiTheme="majorHAnsi" w:eastAsiaTheme="majorEastAsia" w:cstheme="majorBidi"/>
      <w:color w:val="2e74b5" w:themeColor="accent1" w:themeShade="BF"/>
      <w:sz w:val="22"/>
    </w:rPr>
  </w:style>
  <w:style w:type="paragraph" w:styleId="816">
    <w:name w:val="Heading 6"/>
    <w:basedOn w:val="810"/>
    <w:next w:val="810"/>
    <w:link w:val="832"/>
    <w:uiPriority w:val="9"/>
    <w:semiHidden/>
    <w:unhideWhenUsed/>
    <w:qFormat/>
    <w:pPr>
      <w:keepNext w:val="true"/>
      <w:keepLines w:val="true"/>
      <w:numPr>
        <w:ilvl w:val="5"/>
        <w:numId w:val="1"/>
      </w:numPr>
      <w:pBdr/>
      <w:spacing w:after="0" w:before="40"/>
      <w:ind/>
      <w:outlineLvl w:val="5"/>
    </w:pPr>
    <w:rPr>
      <w:rFonts w:asciiTheme="majorHAnsi" w:hAnsiTheme="majorHAnsi" w:eastAsiaTheme="majorEastAsia" w:cstheme="majorBidi"/>
      <w:color w:val="1f4d78" w:themeColor="accent1" w:themeShade="7F"/>
      <w:sz w:val="22"/>
    </w:rPr>
  </w:style>
  <w:style w:type="paragraph" w:styleId="817">
    <w:name w:val="Heading 7"/>
    <w:basedOn w:val="810"/>
    <w:next w:val="810"/>
    <w:link w:val="833"/>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4d78" w:themeColor="accent1" w:themeShade="7F"/>
      <w:sz w:val="22"/>
    </w:rPr>
  </w:style>
  <w:style w:type="paragraph" w:styleId="818">
    <w:name w:val="Heading 8"/>
    <w:basedOn w:val="810"/>
    <w:next w:val="810"/>
    <w:link w:val="834"/>
    <w:uiPriority w:val="9"/>
    <w:semiHidden/>
    <w:unhideWhenUsed/>
    <w:qFormat/>
    <w:pPr>
      <w:keepNext w:val="true"/>
      <w:keepLines w:val="true"/>
      <w:numPr>
        <w:ilvl w:val="7"/>
        <w:numId w:val="2"/>
      </w:numPr>
      <w:pBdr/>
      <w:spacing w:after="0" w:before="40"/>
      <w:ind w:hanging="1440" w:left="1440"/>
      <w:outlineLvl w:val="7"/>
    </w:pPr>
    <w:rPr>
      <w:rFonts w:asciiTheme="majorHAnsi" w:hAnsiTheme="majorHAnsi" w:eastAsiaTheme="majorEastAsia" w:cstheme="majorBidi"/>
      <w:color w:val="272727" w:themeColor="text1" w:themeTint="D8"/>
      <w:sz w:val="21"/>
      <w:szCs w:val="21"/>
    </w:rPr>
  </w:style>
  <w:style w:type="paragraph" w:styleId="819">
    <w:name w:val="Heading 9"/>
    <w:basedOn w:val="810"/>
    <w:next w:val="810"/>
    <w:link w:val="835"/>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820" w:default="1">
    <w:name w:val="Default Paragraph Font"/>
    <w:uiPriority w:val="1"/>
    <w:unhideWhenUsed/>
    <w:pPr>
      <w:pBdr/>
      <w:spacing/>
      <w:ind/>
    </w:pPr>
  </w:style>
  <w:style w:type="table" w:styleId="8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2" w:default="1">
    <w:name w:val="No List"/>
    <w:uiPriority w:val="99"/>
    <w:semiHidden/>
    <w:unhideWhenUsed/>
    <w:pPr>
      <w:pBdr/>
      <w:spacing/>
      <w:ind/>
    </w:pPr>
  </w:style>
  <w:style w:type="paragraph" w:styleId="823" w:customStyle="1">
    <w:name w:val="Style1"/>
    <w:basedOn w:val="810"/>
    <w:link w:val="824"/>
    <w:pPr>
      <w:pBdr>
        <w:top w:val="single" w:color="4472c4" w:themeColor="accent5" w:sz="4" w:space="1"/>
        <w:bottom w:val="single" w:color="4472c4" w:themeColor="accent5" w:sz="4" w:space="1"/>
      </w:pBdr>
      <w:spacing/>
      <w:ind w:right="851" w:left="851"/>
    </w:pPr>
    <w:rPr>
      <w:i/>
      <w:color w:val="ff0000"/>
    </w:rPr>
  </w:style>
  <w:style w:type="character" w:styleId="824" w:customStyle="1">
    <w:name w:val="Style1 Char"/>
    <w:basedOn w:val="820"/>
    <w:link w:val="823"/>
    <w:pPr>
      <w:pBdr/>
      <w:spacing/>
      <w:ind/>
    </w:pPr>
    <w:rPr>
      <w:i/>
      <w:color w:val="ff0000"/>
    </w:rPr>
  </w:style>
  <w:style w:type="paragraph" w:styleId="825" w:customStyle="1">
    <w:name w:val="Bài tập"/>
    <w:basedOn w:val="810"/>
    <w:next w:val="810"/>
    <w:link w:val="826"/>
    <w:qFormat/>
    <w:pPr>
      <w:numPr>
        <w:numId w:val="3"/>
      </w:numPr>
      <w:pBdr/>
      <w:spacing w:after="0" w:before="240"/>
      <w:ind/>
    </w:pPr>
  </w:style>
  <w:style w:type="character" w:styleId="826" w:customStyle="1">
    <w:name w:val="Bài tập Char"/>
    <w:basedOn w:val="820"/>
    <w:link w:val="825"/>
    <w:pPr>
      <w:pBdr/>
      <w:spacing/>
      <w:ind/>
    </w:pPr>
    <w:rPr>
      <w:sz w:val="24"/>
    </w:rPr>
  </w:style>
  <w:style w:type="character" w:styleId="827" w:customStyle="1">
    <w:name w:val="Heading 1 Char"/>
    <w:basedOn w:val="820"/>
    <w:link w:val="811"/>
    <w:uiPriority w:val="9"/>
    <w:pPr>
      <w:pBdr/>
      <w:spacing/>
      <w:ind/>
    </w:pPr>
    <w:rPr>
      <w:rFonts w:asciiTheme="majorHAnsi" w:hAnsiTheme="majorHAnsi" w:eastAsiaTheme="majorEastAsia" w:cstheme="majorBidi"/>
      <w:color w:val="ed7d31" w:themeColor="accent2"/>
      <w:sz w:val="32"/>
      <w:szCs w:val="32"/>
    </w:rPr>
  </w:style>
  <w:style w:type="character" w:styleId="828" w:customStyle="1">
    <w:name w:val="Heading 2 Char"/>
    <w:basedOn w:val="820"/>
    <w:link w:val="812"/>
    <w:uiPriority w:val="9"/>
    <w:pPr>
      <w:pBdr/>
      <w:spacing/>
      <w:ind/>
    </w:pPr>
    <w:rPr>
      <w:rFonts w:asciiTheme="majorHAnsi" w:hAnsiTheme="majorHAnsi" w:eastAsiaTheme="majorEastAsia" w:cstheme="majorBidi"/>
      <w:color w:val="2e74b5" w:themeColor="accent1" w:themeShade="BF"/>
      <w:sz w:val="26"/>
      <w:szCs w:val="26"/>
    </w:rPr>
  </w:style>
  <w:style w:type="character" w:styleId="829" w:customStyle="1">
    <w:name w:val="Heading 3 Char"/>
    <w:basedOn w:val="820"/>
    <w:link w:val="813"/>
    <w:uiPriority w:val="9"/>
    <w:pPr>
      <w:pBdr/>
      <w:spacing/>
      <w:ind/>
    </w:pPr>
    <w:rPr>
      <w:rFonts w:asciiTheme="majorHAnsi" w:hAnsiTheme="majorHAnsi" w:eastAsiaTheme="majorEastAsia" w:cstheme="majorBidi"/>
      <w:color w:val="1f4d78" w:themeColor="accent1" w:themeShade="7F"/>
      <w:sz w:val="24"/>
      <w:szCs w:val="24"/>
    </w:rPr>
  </w:style>
  <w:style w:type="character" w:styleId="830" w:customStyle="1">
    <w:name w:val="Heading 4 Char"/>
    <w:basedOn w:val="820"/>
    <w:link w:val="814"/>
    <w:uiPriority w:val="9"/>
    <w:semiHidden/>
    <w:pPr>
      <w:pBdr/>
      <w:spacing/>
      <w:ind/>
    </w:pPr>
    <w:rPr>
      <w:rFonts w:asciiTheme="majorHAnsi" w:hAnsiTheme="majorHAnsi" w:eastAsiaTheme="majorEastAsia" w:cstheme="majorBidi"/>
      <w:i/>
      <w:iCs/>
      <w:color w:val="2e74b5" w:themeColor="accent1" w:themeShade="BF"/>
    </w:rPr>
  </w:style>
  <w:style w:type="character" w:styleId="831" w:customStyle="1">
    <w:name w:val="Heading 5 Char"/>
    <w:basedOn w:val="820"/>
    <w:link w:val="815"/>
    <w:uiPriority w:val="9"/>
    <w:semiHidden/>
    <w:pPr>
      <w:pBdr/>
      <w:spacing/>
      <w:ind/>
    </w:pPr>
    <w:rPr>
      <w:rFonts w:asciiTheme="majorHAnsi" w:hAnsiTheme="majorHAnsi" w:eastAsiaTheme="majorEastAsia" w:cstheme="majorBidi"/>
      <w:color w:val="2e74b5" w:themeColor="accent1" w:themeShade="BF"/>
    </w:rPr>
  </w:style>
  <w:style w:type="character" w:styleId="832" w:customStyle="1">
    <w:name w:val="Heading 6 Char"/>
    <w:basedOn w:val="820"/>
    <w:link w:val="816"/>
    <w:uiPriority w:val="9"/>
    <w:semiHidden/>
    <w:pPr>
      <w:pBdr/>
      <w:spacing/>
      <w:ind/>
    </w:pPr>
    <w:rPr>
      <w:rFonts w:asciiTheme="majorHAnsi" w:hAnsiTheme="majorHAnsi" w:eastAsiaTheme="majorEastAsia" w:cstheme="majorBidi"/>
      <w:color w:val="1f4d78" w:themeColor="accent1" w:themeShade="7F"/>
    </w:rPr>
  </w:style>
  <w:style w:type="character" w:styleId="833" w:customStyle="1">
    <w:name w:val="Heading 7 Char"/>
    <w:basedOn w:val="820"/>
    <w:link w:val="817"/>
    <w:uiPriority w:val="9"/>
    <w:semiHidden/>
    <w:pPr>
      <w:pBdr/>
      <w:spacing/>
      <w:ind/>
    </w:pPr>
    <w:rPr>
      <w:rFonts w:asciiTheme="majorHAnsi" w:hAnsiTheme="majorHAnsi" w:eastAsiaTheme="majorEastAsia" w:cstheme="majorBidi"/>
      <w:i/>
      <w:iCs/>
      <w:color w:val="1f4d78" w:themeColor="accent1" w:themeShade="7F"/>
    </w:rPr>
  </w:style>
  <w:style w:type="character" w:styleId="834" w:customStyle="1">
    <w:name w:val="Heading 8 Char"/>
    <w:basedOn w:val="820"/>
    <w:link w:val="818"/>
    <w:uiPriority w:val="9"/>
    <w:semiHidden/>
    <w:pPr>
      <w:pBdr/>
      <w:spacing/>
      <w:ind/>
    </w:pPr>
    <w:rPr>
      <w:rFonts w:asciiTheme="majorHAnsi" w:hAnsiTheme="majorHAnsi" w:eastAsiaTheme="majorEastAsia" w:cstheme="majorBidi"/>
      <w:color w:val="272727" w:themeColor="text1" w:themeTint="D8"/>
      <w:sz w:val="21"/>
      <w:szCs w:val="21"/>
    </w:rPr>
  </w:style>
  <w:style w:type="character" w:styleId="835" w:customStyle="1">
    <w:name w:val="Heading 9 Char"/>
    <w:basedOn w:val="820"/>
    <w:link w:val="819"/>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836">
    <w:name w:val="Title"/>
    <w:basedOn w:val="810"/>
    <w:next w:val="810"/>
    <w:link w:val="837"/>
    <w:uiPriority w:val="10"/>
    <w:qFormat/>
    <w:pPr>
      <w:pBdr/>
      <w:spacing w:line="240" w:lineRule="auto"/>
      <w:ind/>
      <w:jc w:val="center"/>
    </w:pPr>
    <w:rPr>
      <w:rFonts w:ascii="Cambria" w:hAnsi="Cambria" w:eastAsiaTheme="majorEastAsia" w:cstheme="majorBidi"/>
      <w:color w:val="0070c0"/>
      <w:spacing w:val="-10"/>
      <w:sz w:val="48"/>
      <w:szCs w:val="56"/>
    </w:rPr>
  </w:style>
  <w:style w:type="character" w:styleId="837" w:customStyle="1">
    <w:name w:val="Title Char"/>
    <w:basedOn w:val="820"/>
    <w:link w:val="836"/>
    <w:uiPriority w:val="10"/>
    <w:pPr>
      <w:pBdr/>
      <w:spacing/>
      <w:ind/>
    </w:pPr>
    <w:rPr>
      <w:rFonts w:ascii="Cambria" w:hAnsi="Cambria" w:eastAsiaTheme="majorEastAsia" w:cstheme="majorBidi"/>
      <w:color w:val="0070c0"/>
      <w:spacing w:val="-10"/>
      <w:sz w:val="48"/>
      <w:szCs w:val="56"/>
    </w:rPr>
  </w:style>
  <w:style w:type="paragraph" w:styleId="838">
    <w:name w:val="Subtitle"/>
    <w:basedOn w:val="810"/>
    <w:next w:val="810"/>
    <w:link w:val="839"/>
    <w:uiPriority w:val="11"/>
    <w:qFormat/>
    <w:pPr>
      <w:numPr>
        <w:ilvl w:val="1"/>
      </w:numPr>
      <w:pBdr/>
      <w:spacing w:line="240" w:lineRule="auto"/>
      <w:ind/>
      <w:jc w:val="center"/>
    </w:pPr>
    <w:rPr>
      <w:rFonts w:eastAsiaTheme="minorEastAsia"/>
      <w:color w:val="5a5a5a" w:themeColor="text1" w:themeTint="A5"/>
      <w:spacing w:val="15"/>
      <w:sz w:val="40"/>
    </w:rPr>
  </w:style>
  <w:style w:type="character" w:styleId="839" w:customStyle="1">
    <w:name w:val="Subtitle Char"/>
    <w:basedOn w:val="820"/>
    <w:link w:val="838"/>
    <w:uiPriority w:val="11"/>
    <w:pPr>
      <w:pBdr/>
      <w:spacing/>
      <w:ind/>
    </w:pPr>
    <w:rPr>
      <w:rFonts w:eastAsiaTheme="minorEastAsia"/>
      <w:color w:val="5a5a5a" w:themeColor="text1" w:themeTint="A5"/>
      <w:spacing w:val="15"/>
      <w:sz w:val="40"/>
    </w:rPr>
  </w:style>
  <w:style w:type="character" w:styleId="840">
    <w:name w:val="Emphasis"/>
    <w:basedOn w:val="820"/>
    <w:uiPriority w:val="20"/>
    <w:qFormat/>
    <w:pPr>
      <w:pBdr/>
      <w:spacing/>
      <w:ind/>
    </w:pPr>
    <w:rPr>
      <w:i/>
      <w:iCs/>
      <w:color w:val="ff0000"/>
    </w:rPr>
  </w:style>
  <w:style w:type="paragraph" w:styleId="841">
    <w:name w:val="List Paragraph"/>
    <w:basedOn w:val="810"/>
    <w:uiPriority w:val="34"/>
    <w:qFormat/>
    <w:pPr>
      <w:pBdr/>
      <w:spacing/>
      <w:ind w:left="720"/>
    </w:pPr>
  </w:style>
  <w:style w:type="character" w:styleId="842">
    <w:name w:val="annotation reference"/>
    <w:basedOn w:val="820"/>
    <w:uiPriority w:val="99"/>
    <w:semiHidden/>
    <w:unhideWhenUsed/>
    <w:pPr>
      <w:pBdr/>
      <w:spacing/>
      <w:ind/>
    </w:pPr>
    <w:rPr>
      <w:sz w:val="16"/>
      <w:szCs w:val="16"/>
    </w:rPr>
  </w:style>
  <w:style w:type="paragraph" w:styleId="843">
    <w:name w:val="annotation text"/>
    <w:basedOn w:val="810"/>
    <w:link w:val="844"/>
    <w:uiPriority w:val="99"/>
    <w:semiHidden/>
    <w:unhideWhenUsed/>
    <w:pPr>
      <w:pBdr/>
      <w:spacing w:line="240" w:lineRule="auto"/>
      <w:ind/>
    </w:pPr>
    <w:rPr>
      <w:sz w:val="20"/>
      <w:szCs w:val="20"/>
    </w:rPr>
  </w:style>
  <w:style w:type="character" w:styleId="844" w:customStyle="1">
    <w:name w:val="Comment Text Char"/>
    <w:basedOn w:val="820"/>
    <w:link w:val="843"/>
    <w:uiPriority w:val="99"/>
    <w:semiHidden/>
    <w:pPr>
      <w:pBdr/>
      <w:spacing/>
      <w:ind/>
    </w:pPr>
    <w:rPr>
      <w:sz w:val="20"/>
      <w:szCs w:val="20"/>
    </w:rPr>
  </w:style>
  <w:style w:type="paragraph" w:styleId="845">
    <w:name w:val="annotation subject"/>
    <w:basedOn w:val="843"/>
    <w:next w:val="843"/>
    <w:link w:val="846"/>
    <w:uiPriority w:val="99"/>
    <w:semiHidden/>
    <w:unhideWhenUsed/>
    <w:pPr>
      <w:pBdr/>
      <w:spacing/>
      <w:ind/>
    </w:pPr>
    <w:rPr>
      <w:b/>
      <w:bCs/>
    </w:rPr>
  </w:style>
  <w:style w:type="character" w:styleId="846" w:customStyle="1">
    <w:name w:val="Comment Subject Char"/>
    <w:basedOn w:val="844"/>
    <w:link w:val="845"/>
    <w:uiPriority w:val="99"/>
    <w:semiHidden/>
    <w:pPr>
      <w:pBdr/>
      <w:spacing/>
      <w:ind/>
    </w:pPr>
    <w:rPr>
      <w:b/>
      <w:bCs/>
      <w:sz w:val="20"/>
      <w:szCs w:val="20"/>
    </w:rPr>
  </w:style>
  <w:style w:type="paragraph" w:styleId="847">
    <w:name w:val="Balloon Text"/>
    <w:basedOn w:val="810"/>
    <w:link w:val="848"/>
    <w:uiPriority w:val="99"/>
    <w:semiHidden/>
    <w:unhideWhenUsed/>
    <w:pPr>
      <w:pBdr/>
      <w:spacing w:after="0" w:line="240" w:lineRule="auto"/>
      <w:ind/>
    </w:pPr>
    <w:rPr>
      <w:rFonts w:ascii="Segoe UI" w:hAnsi="Segoe UI" w:cs="Segoe UI"/>
      <w:sz w:val="18"/>
      <w:szCs w:val="18"/>
    </w:rPr>
  </w:style>
  <w:style w:type="character" w:styleId="848" w:customStyle="1">
    <w:name w:val="Balloon Text Char"/>
    <w:basedOn w:val="820"/>
    <w:link w:val="847"/>
    <w:uiPriority w:val="99"/>
    <w:semiHidden/>
    <w:pPr>
      <w:pBdr/>
      <w:spacing/>
      <w:ind/>
    </w:pPr>
    <w:rPr>
      <w:rFonts w:ascii="Segoe UI" w:hAnsi="Segoe UI" w:cs="Segoe UI"/>
      <w:sz w:val="18"/>
      <w:szCs w:val="18"/>
    </w:rPr>
  </w:style>
  <w:style w:type="paragraph" w:styleId="849">
    <w:name w:val="Header"/>
    <w:basedOn w:val="810"/>
    <w:link w:val="850"/>
    <w:uiPriority w:val="99"/>
    <w:unhideWhenUsed/>
    <w:pPr>
      <w:pBdr/>
      <w:tabs>
        <w:tab w:val="center" w:leader="none" w:pos="4513"/>
        <w:tab w:val="right" w:leader="none" w:pos="9026"/>
      </w:tabs>
      <w:spacing w:after="0" w:line="240" w:lineRule="auto"/>
      <w:ind/>
    </w:pPr>
  </w:style>
  <w:style w:type="character" w:styleId="850" w:customStyle="1">
    <w:name w:val="Header Char"/>
    <w:basedOn w:val="820"/>
    <w:link w:val="849"/>
    <w:uiPriority w:val="99"/>
    <w:pPr>
      <w:pBdr/>
      <w:spacing/>
      <w:ind/>
    </w:pPr>
    <w:rPr>
      <w:sz w:val="24"/>
    </w:rPr>
  </w:style>
  <w:style w:type="paragraph" w:styleId="851">
    <w:name w:val="Footer"/>
    <w:basedOn w:val="810"/>
    <w:link w:val="852"/>
    <w:uiPriority w:val="99"/>
    <w:unhideWhenUsed/>
    <w:pPr>
      <w:pBdr/>
      <w:tabs>
        <w:tab w:val="center" w:leader="none" w:pos="4513"/>
        <w:tab w:val="right" w:leader="none" w:pos="9026"/>
      </w:tabs>
      <w:spacing w:after="0" w:line="240" w:lineRule="auto"/>
      <w:ind/>
    </w:pPr>
  </w:style>
  <w:style w:type="character" w:styleId="852" w:customStyle="1">
    <w:name w:val="Footer Char"/>
    <w:basedOn w:val="820"/>
    <w:link w:val="851"/>
    <w:uiPriority w:val="99"/>
    <w:pPr>
      <w:pBdr/>
      <w:spacing/>
      <w:ind/>
    </w:pPr>
    <w:rPr>
      <w:sz w:val="24"/>
    </w:rPr>
  </w:style>
  <w:style w:type="paragraph" w:styleId="853">
    <w:name w:val="Caption"/>
    <w:basedOn w:val="810"/>
    <w:next w:val="810"/>
    <w:uiPriority w:val="35"/>
    <w:unhideWhenUsed/>
    <w:qFormat/>
    <w:pPr>
      <w:pBdr/>
      <w:spacing w:after="200" w:line="240" w:lineRule="auto"/>
      <w:ind/>
      <w:jc w:val="center"/>
    </w:pPr>
    <w:rPr>
      <w:i/>
      <w:iCs/>
      <w:color w:val="44546a" w:themeColor="text2"/>
      <w:sz w:val="18"/>
      <w:szCs w:val="18"/>
    </w:rPr>
  </w:style>
  <w:style w:type="character" w:styleId="854">
    <w:name w:val="Placeholder Text"/>
    <w:basedOn w:val="820"/>
    <w:uiPriority w:val="99"/>
    <w:semiHidden/>
    <w:pPr>
      <w:pBdr/>
      <w:spacing/>
      <w:ind/>
    </w:pPr>
    <w:rPr>
      <w:color w:val="808080"/>
    </w:rPr>
  </w:style>
  <w:style w:type="table" w:styleId="855">
    <w:name w:val="Table Grid"/>
    <w:basedOn w:val="82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6">
    <w:name w:val="Hyperlink"/>
    <w:basedOn w:val="820"/>
    <w:uiPriority w:val="99"/>
    <w:unhideWhenUsed/>
    <w:pPr>
      <w:pBdr/>
      <w:spacing/>
      <w:ind/>
    </w:pPr>
    <w:rPr>
      <w:color w:val="0563c1" w:themeColor="hyperlink"/>
      <w:u w:val="single"/>
    </w:rPr>
  </w:style>
  <w:style w:type="paragraph" w:styleId="857">
    <w:name w:val="Normal (Web)"/>
    <w:basedOn w:val="810"/>
    <w:uiPriority w:val="99"/>
    <w:semiHidden/>
    <w:unhideWhenUsed/>
    <w:pPr>
      <w:pBdr/>
      <w:spacing w:after="100" w:afterAutospacing="1" w:before="100" w:beforeAutospacing="1" w:line="240" w:lineRule="auto"/>
      <w:ind/>
      <w:contextualSpacing w:val="false"/>
      <w:jc w:val="left"/>
    </w:pPr>
    <w:rPr>
      <w:rFonts w:ascii="Times New Roman" w:hAnsi="Times New Roman" w:eastAsia="Times New Roman" w:cs="Times New Roman"/>
      <w:szCs w:val="24"/>
      <w:lang w:val="en-US"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Dinh Khoi</dc:creator>
  <cp:keywords/>
  <dc:description/>
  <cp:revision>68</cp:revision>
  <dcterms:created xsi:type="dcterms:W3CDTF">2024-03-12T08:34:00Z</dcterms:created>
  <dcterms:modified xsi:type="dcterms:W3CDTF">2026-03-29T15:31:51Z</dcterms:modified>
</cp:coreProperties>
</file>