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848"/>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Natural Language Processing</w:t>
      </w:r>
      <w:r>
        <w:rPr>
          <w:rFonts w:ascii="IBM Plex Serif" w:hAnsi="IBM Plex Serif" w:eastAsia="IBM Plex Serif" w:cs="IBM Plex Serif"/>
          <w:sz w:val="40"/>
          <w:szCs w:val="40"/>
          <w:lang w:val="en-US"/>
        </w:rPr>
        <w:t xml:space="preserve"> (AI</w:t>
      </w:r>
      <w:r>
        <w:rPr>
          <w:rFonts w:ascii="IBM Plex Serif" w:hAnsi="IBM Plex Serif" w:eastAsia="IBM Plex Serif" w:cs="IBM Plex Serif"/>
          <w:sz w:val="40"/>
          <w:szCs w:val="40"/>
          <w:lang w:val="en-US"/>
        </w:rPr>
        <w:t xml:space="preserve">408</w:t>
      </w:r>
      <w:r>
        <w:rPr>
          <w:rFonts w:ascii="IBM Plex Serif" w:hAnsi="IBM Plex Serif" w:eastAsia="IBM Plex Serif" w:cs="IBM Plex Serif"/>
          <w:sz w:val="40"/>
          <w:szCs w:val="40"/>
          <w:lang w:val="en-US"/>
        </w:rPr>
        <w:t xml:space="preserve">DV01)</w:t>
      </w:r>
      <w:r>
        <w:rPr>
          <w:rFonts w:ascii="IBM Plex Serif" w:hAnsi="IBM Plex Serif" w:eastAsia="IBM Plex Serif" w:cs="IBM Plex Serif"/>
          <w:sz w:val="40"/>
          <w:szCs w:val="40"/>
          <w:lang w:val="en-US"/>
        </w:rPr>
      </w:r>
    </w:p>
    <w:p w14:paraId="7F048EEA" w14:textId="05190378">
      <w:pPr>
        <w:pStyle w:val="848"/>
        <w:pBdr/>
        <w:spacing w:line="276" w:lineRule="auto"/>
        <w:ind/>
        <w:rPr>
          <w:rFonts w:ascii="IBM Plex Serif" w:hAnsi="IBM Plex Serif" w:cs="IBM Plex Serif"/>
          <w:sz w:val="40"/>
          <w:szCs w:val="40"/>
        </w:rPr>
      </w:pPr>
      <w:r>
        <w:rPr>
          <w:rFonts w:ascii="IBM Plex Serif" w:hAnsi="IBM Plex Serif" w:eastAsia="IBM Plex Serif" w:cs="IBM Plex Serif"/>
          <w:sz w:val="40"/>
          <w:szCs w:val="40"/>
          <w:lang w:val="en-US"/>
        </w:rPr>
        <w:t xml:space="preserve">Bài tập thực hành cá nhân</w:t>
      </w:r>
      <w:r>
        <w:rPr>
          <w:rFonts w:ascii="IBM Plex Serif" w:hAnsi="IBM Plex Serif" w:eastAsia="IBM Plex Serif" w:cs="IBM Plex Serif"/>
          <w:sz w:val="40"/>
          <w:szCs w:val="40"/>
          <w:lang w:val="en-US"/>
        </w:rPr>
        <w:t xml:space="preserve"> – Tuần 0</w:t>
      </w:r>
      <w:r>
        <w:rPr>
          <w:rFonts w:ascii="IBM Plex Serif" w:hAnsi="IBM Plex Serif" w:eastAsia="IBM Plex Serif" w:cs="IBM Plex Serif"/>
          <w:sz w:val="40"/>
          <w:szCs w:val="40"/>
          <w:lang w:val="en-US"/>
        </w:rPr>
        <w:t xml:space="preserve">5</w:t>
      </w:r>
      <w:r>
        <w:rPr>
          <w:rFonts w:ascii="IBM Plex Serif" w:hAnsi="IBM Plex Serif" w:eastAsia="IBM Plex Serif" w:cs="IBM Plex Serif"/>
          <w:sz w:val="40"/>
          <w:szCs w:val="40"/>
          <w:lang w:val="en-US"/>
        </w:rPr>
      </w:r>
    </w:p>
    <w:tbl>
      <w:tblPr>
        <w:tblStyle w:val="867"/>
        <w:tblW w:w="5000" w:type="pct"/>
        <w:tblBorders/>
        <w:tblLayout w:type="fixed"/>
        <w:tblLook w:val="04A0" w:firstRow="1" w:lastRow="0" w:firstColumn="1" w:lastColumn="0" w:noHBand="0" w:noVBand="1"/>
      </w:tblPr>
      <w:tblGrid>
        <w:gridCol w:w="2387"/>
        <w:gridCol w:w="6639"/>
      </w:tblGrid>
      <w:tr>
        <w:trPr/>
        <w:tc>
          <w:tcPr>
            <w:tcBorders/>
            <w:tcW w:w="2387" w:type="dxa"/>
          </w:tcPr>
          <w:p w14:paraId="5E82A682" w14:textId="12497A81">
            <w:pPr>
              <w:pBdr/>
              <w:spacing/>
              <w:ind/>
              <w:rPr>
                <w:rFonts w:ascii="IBM Plex Serif" w:hAnsi="IBM Plex Serif" w:cs="IBM Plex Serif"/>
                <w:b/>
                <w:bCs/>
              </w:rPr>
            </w:pPr>
            <w:r>
              <w:rPr>
                <w:rFonts w:ascii="IBM Plex Serif" w:hAnsi="IBM Plex Serif" w:eastAsia="IBM Plex Serif" w:cs="IBM Plex Serif"/>
                <w:b/>
                <w:bCs/>
              </w:rPr>
              <w:t xml:space="preserve">Name</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639" w:type="dxa"/>
          </w:tcPr>
          <w:p w14:paraId="553ABCCD" w14:textId="77777777">
            <w:pPr>
              <w:pBdr/>
              <w:spacing/>
              <w:ind/>
              <w:rPr>
                <w:rFonts w:ascii="IBM Plex Serif" w:hAnsi="IBM Plex Serif" w:cs="IBM Plex Serif"/>
                <w:b w:val="0"/>
                <w:bCs w:val="0"/>
              </w:rPr>
            </w:pPr>
            <w:r>
              <w:rPr>
                <w:rFonts w:ascii="IBM Plex Serif" w:hAnsi="IBM Plex Serif" w:eastAsia="IBM Plex Serif" w:cs="IBM Plex Serif"/>
                <w:b w:val="0"/>
                <w:bCs w:val="0"/>
                <w:lang w:val="en-US"/>
              </w:rPr>
              <w:t xml:space="preserve">Nguyễn </w:t>
            </w:r>
            <w:r>
              <w:rPr>
                <w:rFonts w:ascii="IBM Plex Serif" w:hAnsi="IBM Plex Serif" w:eastAsia="IBM Plex Serif" w:cs="IBM Plex Serif"/>
                <w:b w:val="0"/>
                <w:bCs w:val="0"/>
                <w:lang w:val="en-US"/>
              </w:rPr>
              <w:t xml:space="preserve">Phúc </w:t>
            </w:r>
            <w:r>
              <w:rPr>
                <w:rFonts w:ascii="IBM Plex Serif" w:hAnsi="IBM Plex Serif" w:eastAsia="IBM Plex Serif" w:cs="IBM Plex Serif"/>
                <w:b w:val="0"/>
                <w:bCs w:val="0"/>
                <w:lang w:val="en-US"/>
              </w:rPr>
              <w:t xml:space="preserve">Minh </w:t>
            </w:r>
            <w:r>
              <w:rPr>
                <w:rFonts w:ascii="IBM Plex Serif" w:hAnsi="IBM Plex Serif" w:eastAsia="IBM Plex Serif" w:cs="IBM Plex Serif"/>
                <w:b w:val="0"/>
                <w:bCs w:val="0"/>
                <w:lang w:val="en-US"/>
              </w:rPr>
              <w:t xml:space="preserve">Châ</w:t>
            </w:r>
            <w:r>
              <w:rPr>
                <w:rFonts w:ascii="IBM Plex Serif" w:hAnsi="IBM Plex Serif" w:eastAsia="IBM Plex Serif" w:cs="IBM Plex Serif"/>
                <w:b w:val="0"/>
                <w:bCs w:val="0"/>
                <w:lang w:val="en-US"/>
              </w:rPr>
              <w:t xml:space="preserve">u</w:t>
            </w:r>
            <w:r>
              <w:rPr>
                <w:rFonts w:ascii="IBM Plex Serif" w:hAnsi="IBM Plex Serif" w:eastAsia="IBM Plex Serif" w:cs="IBM Plex Serif"/>
                <w:b w:val="0"/>
                <w:bCs w:val="0"/>
                <w:lang w:val="en-US"/>
              </w:rPr>
            </w:r>
            <w:r>
              <w:rPr>
                <w:rFonts w:ascii="IBM Plex Serif" w:hAnsi="IBM Plex Serif" w:eastAsia="IBM Plex Serif" w:cs="IBM Plex Serif"/>
                <w:b w:val="0"/>
                <w:bCs w:val="0"/>
              </w:rPr>
            </w:r>
          </w:p>
        </w:tc>
      </w:tr>
      <w:tr>
        <w:trPr/>
        <w:tc>
          <w:tcPr>
            <w:tcBorders/>
            <w:tcW w:w="2387" w:type="dxa"/>
          </w:tcPr>
          <w:p w14:paraId="016DA79B" w14:textId="4F26E68C">
            <w:pPr>
              <w:pBdr/>
              <w:spacing/>
              <w:ind w:hanging="360" w:left="360"/>
              <w:rPr>
                <w:rFonts w:ascii="IBM Plex Serif" w:hAnsi="IBM Plex Serif" w:cs="IBM Plex Serif"/>
                <w:b/>
                <w:bCs/>
              </w:rPr>
            </w:pPr>
            <w:r>
              <w:rPr>
                <w:rFonts w:ascii="IBM Plex Serif" w:hAnsi="IBM Plex Serif" w:eastAsia="IBM Plex Serif" w:cs="IBM Plex Serif"/>
                <w:b/>
                <w:bCs/>
              </w:rPr>
              <w:t xml:space="preserve">Student ID</w:t>
            </w:r>
            <w:r>
              <w:rPr>
                <w:rFonts w:ascii="IBM Plex Serif" w:hAnsi="IBM Plex Serif" w:eastAsia="IBM Plex Serif" w:cs="IBM Plex Serif"/>
                <w:b/>
                <w:bCs/>
                <w:lang w:val="en-US"/>
              </w:rPr>
              <w:t xml:space="preserve">:</w:t>
            </w:r>
            <w:r>
              <w:rPr>
                <w:rFonts w:ascii="IBM Plex Serif" w:hAnsi="IBM Plex Serif" w:eastAsia="IBM Plex Serif" w:cs="IBM Plex Serif"/>
                <w:b/>
                <w:bCs/>
                <w:lang w:val="en-US"/>
              </w:rPr>
            </w:r>
          </w:p>
        </w:tc>
        <w:tc>
          <w:tcPr>
            <w:tcBorders/>
            <w:tcW w:w="6639" w:type="dxa"/>
          </w:tcPr>
          <w:p w14:paraId="66C38587" w14:textId="77777777">
            <w:pPr>
              <w:pBdr/>
              <w:spacing/>
              <w:ind/>
              <w:rPr>
                <w:rFonts w:ascii="IBM Plex Serif" w:hAnsi="IBM Plex Serif" w:cs="IBM Plex Serif"/>
                <w:b w:val="0"/>
                <w:bCs w:val="0"/>
              </w:rPr>
            </w:pPr>
            <w:r>
              <w:rPr>
                <w:rFonts w:ascii="IBM Plex Serif" w:hAnsi="IBM Plex Serif" w:eastAsia="IBM Plex Serif" w:cs="IBM Plex Serif"/>
                <w:b w:val="0"/>
                <w:bCs w:val="0"/>
              </w:rPr>
              <w:t xml:space="preserve">22302421</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387" w:type="dxa"/>
          </w:tcPr>
          <w:p w14:paraId="237AA542" w14:textId="68D78A2A">
            <w:pPr>
              <w:pBdr/>
              <w:spacing/>
              <w:ind/>
              <w:rPr>
                <w:rFonts w:ascii="IBM Plex Serif" w:hAnsi="IBM Plex Serif" w:cs="IBM Plex Serif"/>
                <w:b/>
                <w:bCs/>
              </w:rPr>
            </w:pPr>
            <w:r>
              <w:rPr>
                <w:rFonts w:ascii="IBM Plex Serif" w:hAnsi="IBM Plex Serif" w:eastAsia="IBM Plex Serif" w:cs="IBM Plex Serif"/>
                <w:b/>
                <w:bCs/>
              </w:rPr>
              <w:t xml:space="preserve">Deadline:</w:t>
            </w:r>
            <w:r>
              <w:rPr>
                <w:rFonts w:ascii="IBM Plex Serif" w:hAnsi="IBM Plex Serif" w:eastAsia="IBM Plex Serif" w:cs="IBM Plex Serif"/>
                <w:b/>
                <w:bCs/>
              </w:rPr>
            </w:r>
          </w:p>
        </w:tc>
        <w:tc>
          <w:tcPr>
            <w:tcBorders/>
            <w:tcW w:w="6639" w:type="dxa"/>
          </w:tcPr>
          <w:p w14:paraId="332287B4" w14:textId="71B31A49">
            <w:pPr>
              <w:pBdr/>
              <w:spacing/>
              <w:ind/>
              <w:rPr>
                <w:rFonts w:ascii="IBM Plex Serif" w:hAnsi="IBM Plex Serif" w:cs="IBM Plex Serif"/>
                <w:b w:val="0"/>
                <w:bCs w:val="0"/>
              </w:rPr>
            </w:pPr>
            <w:r>
              <w:rPr>
                <w:rFonts w:ascii="IBM Plex Serif" w:hAnsi="IBM Plex Serif" w:eastAsia="IBM Plex Serif" w:cs="IBM Plex Serif"/>
                <w:b w:val="0"/>
                <w:bCs w:val="0"/>
              </w:rPr>
              <w:t xml:space="preserve">13</w:t>
            </w:r>
            <w:r>
              <w:rPr>
                <w:rFonts w:ascii="IBM Plex Serif" w:hAnsi="IBM Plex Serif" w:eastAsia="IBM Plex Serif" w:cs="IBM Plex Serif"/>
                <w:b w:val="0"/>
                <w:bCs w:val="0"/>
                <w:lang w:val="en-US"/>
              </w:rPr>
              <w:t xml:space="preserve">/</w:t>
            </w:r>
            <w:r>
              <w:rPr>
                <w:rFonts w:ascii="IBM Plex Serif" w:hAnsi="IBM Plex Serif" w:eastAsia="IBM Plex Serif" w:cs="IBM Plex Serif"/>
                <w:b w:val="0"/>
                <w:bCs w:val="0"/>
                <w:lang w:val="en-US"/>
              </w:rPr>
              <w:t xml:space="preserve">04/</w:t>
            </w:r>
            <w:r>
              <w:rPr>
                <w:rFonts w:ascii="IBM Plex Serif" w:hAnsi="IBM Plex Serif" w:eastAsia="IBM Plex Serif" w:cs="IBM Plex Serif"/>
                <w:b w:val="0"/>
                <w:bCs w:val="0"/>
                <w:lang w:val="en-US"/>
              </w:rPr>
              <w:t xml:space="preserve">2026 - </w:t>
            </w:r>
            <w:r>
              <w:rPr>
                <w:rFonts w:ascii="IBM Plex Serif" w:hAnsi="IBM Plex Serif" w:eastAsia="IBM Plex Serif" w:cs="IBM Plex Serif"/>
                <w:b w:val="0"/>
                <w:bCs w:val="0"/>
                <w:lang w:val="en-US"/>
              </w:rPr>
              <w:t xml:space="preserve">20/</w:t>
            </w:r>
            <w:r>
              <w:rPr>
                <w:rFonts w:ascii="IBM Plex Serif" w:hAnsi="IBM Plex Serif" w:eastAsia="IBM Plex Serif" w:cs="IBM Plex Serif"/>
                <w:b w:val="0"/>
                <w:bCs w:val="0"/>
                <w:lang w:val="en-US"/>
              </w:rPr>
              <w:t xml:space="preserve">04/</w:t>
            </w:r>
            <w:r>
              <w:rPr>
                <w:rFonts w:ascii="IBM Plex Serif" w:hAnsi="IBM Plex Serif" w:eastAsia="IBM Plex Serif" w:cs="IBM Plex Serif"/>
                <w:b w:val="0"/>
                <w:bCs w:val="0"/>
                <w:lang w:val="en-US"/>
              </w:rPr>
              <w:t xml:space="preserve">2026</w:t>
            </w:r>
            <w:r>
              <w:rPr>
                <w:rFonts w:ascii="IBM Plex Serif" w:hAnsi="IBM Plex Serif" w:eastAsia="IBM Plex Serif" w:cs="IBM Plex Serif"/>
                <w:b w:val="0"/>
                <w:bCs w:val="0"/>
              </w:rPr>
            </w:r>
            <w:r>
              <w:rPr>
                <w:rFonts w:ascii="IBM Plex Serif" w:hAnsi="IBM Plex Serif" w:eastAsia="IBM Plex Serif" w:cs="IBM Plex Serif"/>
                <w:b w:val="0"/>
                <w:bCs w:val="0"/>
              </w:rPr>
            </w:r>
          </w:p>
        </w:tc>
      </w:tr>
      <w:tr>
        <w:trPr/>
        <w:tc>
          <w:tcPr>
            <w:tcBorders/>
            <w:tcW w:w="2387" w:type="dxa"/>
          </w:tcPr>
          <w:p w14:paraId="3E7B310C" w14:textId="34C08987">
            <w:pPr>
              <w:pBdr/>
              <w:spacing/>
              <w:ind/>
              <w:rPr>
                <w:rFonts w:ascii="IBM Plex Serif" w:hAnsi="IBM Plex Serif" w:cs="IBM Plex Serif"/>
                <w:b/>
                <w:bCs/>
              </w:rPr>
            </w:pPr>
            <w:r>
              <w:rPr>
                <w:rFonts w:ascii="IBM Plex Serif" w:hAnsi="IBM Plex Serif" w:eastAsia="IBM Plex Serif" w:cs="IBM Plex Serif"/>
                <w:b/>
                <w:bCs/>
              </w:rPr>
              <w:t xml:space="preserve">File name format:</w:t>
            </w:r>
            <w:r>
              <w:rPr>
                <w:rFonts w:ascii="IBM Plex Serif" w:hAnsi="IBM Plex Serif" w:eastAsia="IBM Plex Serif" w:cs="IBM Plex Serif"/>
                <w:b/>
                <w:bCs/>
              </w:rPr>
            </w:r>
          </w:p>
        </w:tc>
        <w:tc>
          <w:tcPr>
            <w:tcBorders/>
            <w:tcW w:w="6639" w:type="dxa"/>
          </w:tcPr>
          <w:p w14:paraId="171563D7" w14:textId="7EDE43D9">
            <w:pPr>
              <w:pBdr/>
              <w:spacing/>
              <w:ind/>
              <w:rPr>
                <w:rFonts w:ascii="IBM Plex Serif" w:hAnsi="IBM Plex Serif" w:cs="IBM Plex Serif"/>
                <w:b/>
                <w:bCs/>
              </w:rPr>
            </w:pPr>
            <w:r>
              <w:rPr>
                <w:rFonts w:ascii="IBM Plex Serif" w:hAnsi="IBM Plex Serif" w:eastAsia="IBM Plex Serif" w:cs="IBM Plex Serif"/>
              </w:rPr>
              <w:t xml:space="preserve">A</w:t>
            </w:r>
            <w:r>
              <w:rPr>
                <w:rFonts w:ascii="IBM Plex Serif" w:hAnsi="IBM Plex Serif" w:eastAsia="IBM Plex Serif" w:cs="IBM Plex Serif"/>
                <w:lang w:val="en-US"/>
              </w:rPr>
              <w:t xml:space="preserve">I301DV01</w:t>
            </w:r>
            <w:r>
              <w:rPr>
                <w:rFonts w:ascii="IBM Plex Serif" w:hAnsi="IBM Plex Serif" w:eastAsia="IBM Plex Serif" w:cs="IBM Plex Serif"/>
                <w:lang w:val="en-US"/>
              </w:rPr>
              <w:t xml:space="preserve">-</w:t>
            </w:r>
            <w:r>
              <w:rPr>
                <w:rFonts w:ascii="IBM Plex Serif" w:hAnsi="IBM Plex Serif" w:eastAsia="IBM Plex Serif" w:cs="IBM Plex Serif"/>
              </w:rPr>
              <w:t xml:space="preserve">Lab-</w:t>
            </w:r>
            <w:r>
              <w:rPr>
                <w:rFonts w:ascii="IBM Plex Serif" w:hAnsi="IBM Plex Serif" w:eastAsia="IBM Plex Serif" w:cs="IBM Plex Serif"/>
              </w:rPr>
              <w:t xml:space="preserve">05</w:t>
            </w:r>
            <w:r>
              <w:rPr>
                <w:rFonts w:ascii="IBM Plex Serif" w:hAnsi="IBM Plex Serif" w:eastAsia="IBM Plex Serif" w:cs="IBM Plex Serif"/>
              </w:rPr>
              <w:t xml:space="preserve">-</w:t>
            </w:r>
            <w:r>
              <w:rPr>
                <w:rFonts w:ascii="IBM Plex Serif" w:hAnsi="IBM Plex Serif" w:eastAsia="IBM Plex Serif" w:cs="IBM Plex Serif"/>
              </w:rPr>
              <w:t xml:space="preserve">22302421</w:t>
            </w:r>
            <w:r>
              <w:rPr>
                <w:rFonts w:ascii="IBM Plex Serif" w:hAnsi="IBM Plex Serif" w:eastAsia="IBM Plex Serif" w:cs="IBM Plex Serif"/>
              </w:rPr>
              <w:t xml:space="preserve">.pdf</w:t>
            </w:r>
            <w:r>
              <w:rPr>
                <w:rFonts w:ascii="IBM Plex Serif" w:hAnsi="IBM Plex Serif" w:eastAsia="IBM Plex Serif" w:cs="IBM Plex Serif"/>
              </w:rPr>
            </w:r>
            <w:r>
              <w:rPr>
                <w:rFonts w:ascii="IBM Plex Serif" w:hAnsi="IBM Plex Serif" w:eastAsia="IBM Plex Serif" w:cs="IBM Plex Serif"/>
                <w:b/>
                <w:bCs/>
              </w:rPr>
            </w:r>
          </w:p>
        </w:tc>
      </w:tr>
    </w:tbl>
    <w:p w14:paraId="27E20FB6" w14:textId="4D364DDD">
      <w:pPr>
        <w:pStyle w:val="823"/>
        <w:pBdr/>
        <w:spacing/>
        <w:ind/>
        <w:rPr>
          <w:rFonts w:ascii="IBM Plex Serif" w:hAnsi="IBM Plex Serif" w:cs="IBM Plex Serif"/>
        </w:rPr>
      </w:pPr>
      <w:r>
        <w:rPr>
          <w:rFonts w:ascii="IBM Plex Serif" w:hAnsi="IBM Plex Serif" w:eastAsia="IBM Plex Serif" w:cs="IBM Plex Serif"/>
          <w:lang w:val="en-US"/>
        </w:rPr>
        <w:t xml:space="preserve">Chuẩn bị</w:t>
      </w:r>
      <w:r>
        <w:rPr>
          <w:rFonts w:ascii="IBM Plex Serif" w:hAnsi="IBM Plex Serif" w:eastAsia="IBM Plex Serif" w:cs="IBM Plex Serif"/>
          <w:lang w:val="en-US"/>
        </w:rPr>
      </w:r>
    </w:p>
    <w:p w14:paraId="3755FBFD" w14:textId="16D5B9AD">
      <w:pPr>
        <w:pStyle w:val="853"/>
        <w:numPr>
          <w:ilvl w:val="0"/>
          <w:numId w:val="4"/>
        </w:numPr>
        <w:pBdr/>
        <w:spacing/>
        <w:ind/>
        <w:rPr>
          <w:rFonts w:ascii="IBM Plex Serif" w:hAnsi="IBM Plex Serif" w:cs="IBM Plex Serif"/>
        </w:rPr>
      </w:pPr>
      <w:r>
        <w:rPr>
          <w:rFonts w:ascii="IBM Plex Serif" w:hAnsi="IBM Plex Serif" w:eastAsia="IBM Plex Serif" w:cs="IBM Plex Serif"/>
          <w:lang w:val="en-US"/>
        </w:rPr>
        <w:t xml:space="preserve">Đọc kỹ slide bài giảng</w:t>
      </w:r>
      <w:r>
        <w:rPr>
          <w:rFonts w:ascii="IBM Plex Serif" w:hAnsi="IBM Plex Serif" w:eastAsia="IBM Plex Serif" w:cs="IBM Plex Serif"/>
          <w:lang w:val="en-US"/>
        </w:rPr>
        <w:t xml:space="preserve"> </w:t>
      </w:r>
      <w:r>
        <w:rPr>
          <w:rFonts w:ascii="IBM Plex Serif" w:hAnsi="IBM Plex Serif" w:eastAsia="IBM Plex Serif" w:cs="IBM Plex Serif"/>
        </w:rPr>
        <w:t xml:space="preserve">Part-of-Speech Tagging</w:t>
      </w:r>
      <w:r>
        <w:rPr>
          <w:rFonts w:ascii="IBM Plex Serif" w:hAnsi="IBM Plex Serif" w:eastAsia="IBM Plex Serif" w:cs="IBM Plex Serif"/>
          <w:lang w:val="en-US"/>
        </w:rPr>
        <w:t xml:space="preserve"> (POS)</w:t>
      </w:r>
      <w:r>
        <w:rPr>
          <w:rFonts w:ascii="IBM Plex Serif" w:hAnsi="IBM Plex Serif" w:eastAsia="IBM Plex Serif" w:cs="IBM Plex Serif"/>
          <w:lang w:val="en-US"/>
        </w:rPr>
      </w:r>
    </w:p>
    <w:p w14:paraId="0C185A0E" w14:textId="5967E4A5">
      <w:pPr>
        <w:pStyle w:val="853"/>
        <w:numPr>
          <w:ilvl w:val="0"/>
          <w:numId w:val="4"/>
        </w:numPr>
        <w:pBdr/>
        <w:spacing w:after="0" w:line="240" w:lineRule="auto"/>
        <w:ind/>
        <w:rPr>
          <w:rFonts w:ascii="IBM Plex Serif" w:hAnsi="IBM Plex Serif" w:cs="IBM Plex Serif"/>
        </w:rPr>
      </w:pPr>
      <w:r>
        <w:rPr>
          <w:rFonts w:ascii="IBM Plex Serif" w:hAnsi="IBM Plex Serif" w:eastAsia="IBM Plex Serif" w:cs="IBM Plex Serif"/>
          <w:color w:val="034ea2"/>
          <w:szCs w:val="24"/>
          <w:lang w:val="en-US" w:eastAsia="en-US"/>
        </w:rPr>
        <w:t xml:space="preserve">[1] </w:t>
      </w:r>
      <w:r>
        <w:rPr>
          <w:rFonts w:ascii="IBM Plex Serif" w:hAnsi="IBM Plex Serif" w:eastAsia="IBM Plex Serif" w:cs="IBM Plex Serif"/>
          <w:color w:val="c00000"/>
          <w:szCs w:val="24"/>
          <w:lang w:val="en-US" w:eastAsia="en-US"/>
        </w:rPr>
        <w:t xml:space="preserve">Chapter </w:t>
      </w:r>
      <w:r>
        <w:rPr>
          <w:rFonts w:ascii="IBM Plex Serif" w:hAnsi="IBM Plex Serif" w:eastAsia="IBM Plex Serif" w:cs="IBM Plex Serif"/>
          <w:color w:val="c00000"/>
          <w:szCs w:val="24"/>
          <w:lang w:val="en-US" w:eastAsia="en-US"/>
        </w:rPr>
        <w:t xml:space="preserve">17</w:t>
      </w:r>
      <w:r>
        <w:rPr>
          <w:rFonts w:ascii="IBM Plex Serif" w:hAnsi="IBM Plex Serif" w:eastAsia="IBM Plex Serif" w:cs="IBM Plex Serif"/>
          <w:color w:val="034ea2"/>
          <w:szCs w:val="24"/>
          <w:lang w:val="en-US" w:eastAsia="en-US"/>
        </w:rPr>
        <w:t xml:space="preserve">. Dan Jurafsky and James H. Martin, </w:t>
      </w:r>
      <w:r>
        <w:rPr>
          <w:rFonts w:ascii="IBM Plex Serif" w:hAnsi="IBM Plex Serif" w:eastAsia="IBM Plex Serif" w:cs="IBM Plex Serif"/>
          <w:i/>
          <w:iCs/>
          <w:color w:val="c00000"/>
          <w:szCs w:val="24"/>
          <w:lang w:val="en-US" w:eastAsia="en-US"/>
        </w:rPr>
        <w:t xml:space="preserve">Speech and Language Processing</w:t>
      </w:r>
      <w:r>
        <w:rPr>
          <w:rFonts w:ascii="IBM Plex Serif" w:hAnsi="IBM Plex Serif" w:eastAsia="IBM Plex Serif" w:cs="IBM Plex Serif"/>
          <w:color w:val="c00000"/>
          <w:szCs w:val="24"/>
          <w:lang w:val="en-US" w:eastAsia="en-US"/>
        </w:rPr>
        <w:t xml:space="preserve">, 3rd ed</w:t>
      </w:r>
      <w:r>
        <w:rPr>
          <w:rFonts w:ascii="IBM Plex Serif" w:hAnsi="IBM Plex Serif" w:eastAsia="IBM Plex Serif" w:cs="IBM Plex Serif"/>
          <w:color w:val="034ea2"/>
          <w:szCs w:val="24"/>
          <w:lang w:val="en-US" w:eastAsia="en-US"/>
        </w:rPr>
        <w:t xml:space="preserve">. Pearson, 2026.</w:t>
      </w:r>
      <w:r>
        <w:rPr>
          <w:rFonts w:ascii="IBM Plex Serif" w:hAnsi="IBM Plex Serif" w:eastAsia="IBM Plex Serif" w:cs="IBM Plex Serif"/>
          <w:lang w:val="en-US"/>
        </w:rPr>
      </w:r>
    </w:p>
    <w:p w14:paraId="1536F717" w14:textId="3942A1CE">
      <w:pPr>
        <w:pStyle w:val="823"/>
        <w:pBdr/>
        <w:spacing/>
        <w:ind/>
        <w:rPr>
          <w:rFonts w:ascii="IBM Plex Serif" w:hAnsi="IBM Plex Serif" w:cs="IBM Plex Serif"/>
        </w:rPr>
      </w:pPr>
      <w:r>
        <w:rPr>
          <w:rFonts w:ascii="IBM Plex Serif" w:hAnsi="IBM Plex Serif" w:eastAsia="IBM Plex Serif" w:cs="IBM Plex Serif"/>
          <w:lang w:val="en-US"/>
        </w:rPr>
        <w:t xml:space="preserve">Câu hỏi lý thuyế</w:t>
      </w:r>
      <w:r>
        <w:rPr>
          <w:rFonts w:ascii="IBM Plex Serif" w:hAnsi="IBM Plex Serif" w:eastAsia="IBM Plex Serif" w:cs="IBM Plex Serif"/>
          <w:lang w:val="en-US"/>
        </w:rPr>
        <w:t xml:space="preserve">t</w:t>
      </w:r>
      <w:r>
        <w:rPr>
          <w:rFonts w:ascii="IBM Plex Serif" w:hAnsi="IBM Plex Serif" w:eastAsia="IBM Plex Serif" w:cs="IBM Plex Serif"/>
          <w:lang w:val="en-US"/>
        </w:rPr>
      </w:r>
    </w:p>
    <w:p w14:paraId="4C462B42" w14:textId="25FE8362">
      <w:pPr>
        <w:pStyle w:val="837"/>
        <w:pBdr/>
        <w:spacing/>
        <w:ind/>
        <w:rPr>
          <w:rFonts w:ascii="IBM Plex Serif" w:hAnsi="IBM Plex Serif" w:cs="IBM Plex Serif"/>
        </w:rPr>
      </w:pPr>
      <w:r>
        <w:rPr>
          <w:rFonts w:ascii="IBM Plex Serif" w:hAnsi="IBM Plex Serif" w:eastAsia="IBM Plex Serif" w:cs="IBM Plex Serif"/>
          <w:lang w:val="en-US"/>
        </w:rPr>
        <w:t xml:space="preserve">(xem file đính kèm </w:t>
      </w:r>
      <w:r>
        <w:rPr>
          <w:rFonts w:ascii="IBM Plex Serif" w:hAnsi="IBM Plex Serif" w:eastAsia="IBM Plex Serif" w:cs="IBM Plex Serif"/>
          <w:i/>
          <w:iCs/>
          <w:color w:val="0070c0"/>
          <w:lang w:val="en-US"/>
        </w:rPr>
        <w:t xml:space="preserve">17_Sequence Labeling for Parts of Speech and Named Entities</w:t>
      </w:r>
      <w:r>
        <w:rPr>
          <w:rFonts w:ascii="IBM Plex Serif" w:hAnsi="IBM Plex Serif" w:eastAsia="IBM Plex Serif" w:cs="IBM Plex Serif"/>
          <w:i/>
          <w:iCs/>
          <w:color w:val="0070c0"/>
          <w:lang w:val="en-US"/>
        </w:rPr>
        <w:t xml:space="preserve">.pdf</w:t>
      </w:r>
      <w:r>
        <w:rPr>
          <w:rFonts w:ascii="IBM Plex Serif" w:hAnsi="IBM Plex Serif" w:eastAsia="IBM Plex Serif" w:cs="IBM Plex Serif"/>
          <w:lang w:val="en-US"/>
        </w:rPr>
        <w:t xml:space="preserve">)</w:t>
      </w:r>
      <w:r>
        <w:rPr>
          <w:rFonts w:ascii="IBM Plex Serif" w:hAnsi="IBM Plex Serif" w:eastAsia="IBM Plex Serif" w:cs="IBM Plex Serif"/>
          <w:lang w:val="en-US"/>
        </w:rPr>
      </w:r>
    </w:p>
    <w:p w14:paraId="76926ADC" w14:textId="2CCD1722">
      <w:pPr>
        <w:pBdr/>
        <w:spacing/>
        <w:ind/>
        <w:rPr>
          <w:rFonts w:ascii="IBM Plex Serif" w:hAnsi="IBM Plex Serif" w:eastAsia="IBM Plex Serif" w:cs="IBM Plex Serif"/>
          <w:highlight w:val="none"/>
          <w:lang w:val="en-US"/>
        </w:rPr>
      </w:pPr>
      <w:r>
        <w:rPr>
          <w:rFonts w:ascii="IBM Plex Serif" w:hAnsi="IBM Plex Serif" w:eastAsia="IBM Plex Serif" w:cs="IBM Plex Serif"/>
          <w:b/>
          <w:bCs/>
          <w:lang w:val="en-US"/>
        </w:rPr>
        <w:t xml:space="preserve">Trình bày</w:t>
      </w:r>
      <w:r>
        <w:rPr>
          <w:rFonts w:ascii="IBM Plex Serif" w:hAnsi="IBM Plex Serif" w:eastAsia="IBM Plex Serif" w:cs="IBM Plex Serif"/>
          <w:b/>
          <w:bCs/>
          <w:lang w:val="en-US"/>
        </w:rPr>
        <w:t xml:space="preserve"> </w:t>
      </w:r>
      <w:r>
        <w:rPr>
          <w:rFonts w:ascii="IBM Plex Serif" w:hAnsi="IBM Plex Serif" w:eastAsia="IBM Plex Serif" w:cs="IBM Plex Serif"/>
          <w:b/>
          <w:bCs/>
          <w:lang w:val="en-US"/>
        </w:rPr>
        <w:t xml:space="preserve">Conditional Random Fields (CRFs)</w:t>
      </w:r>
      <w:r>
        <w:rPr>
          <w:rFonts w:ascii="IBM Plex Serif" w:hAnsi="IBM Plex Serif" w:eastAsia="IBM Plex Serif" w:cs="IBM Plex Serif"/>
          <w:b/>
          <w:bCs/>
          <w:lang w:val="en-US"/>
        </w:rPr>
        <w:t xml:space="preserve">:</w:t>
      </w:r>
      <w:r>
        <w:rPr>
          <w:rFonts w:ascii="IBM Plex Serif" w:hAnsi="IBM Plex Serif" w:cs="IBM Plex Serif"/>
        </w:rPr>
      </w:r>
    </w:p>
    <w:p w14:paraId="4C99BF1D">
      <w:pPr>
        <w:pBdr/>
        <w:spacing/>
        <w:ind w:firstLine="720"/>
        <w:rPr/>
      </w:pPr>
      <w:r>
        <w:rPr>
          <w:rFonts w:ascii="IBM Plex Serif" w:hAnsi="IBM Plex Serif" w:eastAsia="IBM Plex Serif" w:cs="IBM Plex Serif"/>
          <w:highlight w:val="none"/>
          <w:lang w:val="en-US"/>
        </w:rPr>
        <w:t xml:space="preserve">Conditional Random Fields </w:t>
      </w:r>
      <w:r>
        <w:rPr>
          <w:rFonts w:ascii="IBM Plex Serif" w:hAnsi="IBM Plex Serif" w:eastAsia="IBM Plex Serif" w:cs="IBM Plex Serif"/>
          <w:b/>
          <w:bCs/>
          <w:highlight w:val="none"/>
          <w:lang w:val="en-US"/>
        </w:rPr>
        <w:t xml:space="preserve">(CRFs)</w:t>
      </w:r>
      <w:r>
        <w:rPr>
          <w:rFonts w:ascii="IBM Plex Serif" w:hAnsi="IBM Plex Serif" w:eastAsia="IBM Plex Serif" w:cs="IBM Plex Serif"/>
          <w:highlight w:val="none"/>
          <w:lang w:val="en-US"/>
        </w:rPr>
        <w:t xml:space="preserve">, đặc biệt là phiên bản linear-chain CRF, là một mô hình chuỗi phân biệt (discriminative sequence model) được sử dụng rộng rãi trong xử lý ngôn ngữ tự nhiên để giải quyết các bài toán như gán nhãn từ loại (POS tagging) hoặc n</w:t>
      </w:r>
      <w:r>
        <w:rPr>
          <w:rFonts w:ascii="IBM Plex Serif" w:hAnsi="IBM Plex Serif" w:eastAsia="IBM Plex Serif" w:cs="IBM Plex Serif"/>
          <w:highlight w:val="none"/>
          <w:lang w:val="en-US"/>
        </w:rPr>
        <w:t xml:space="preserve">hận dạng thực thể có tên (NER)</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41ECFAC" w14:textId="0DF318BD">
      <w:pPr>
        <w:pStyle w:val="853"/>
        <w:numPr>
          <w:ilvl w:val="0"/>
          <w:numId w:val="20"/>
        </w:numPr>
        <w:pBdr/>
        <w:spacing/>
        <w:ind/>
        <w:rPr>
          <w:rFonts w:ascii="IBM Plex Serif" w:hAnsi="IBM Plex Serif" w:cs="IBM Plex Serif"/>
          <w:b/>
          <w:bCs/>
        </w:rPr>
      </w:pPr>
      <w:r>
        <w:rPr>
          <w:rFonts w:ascii="IBM Plex Serif" w:hAnsi="IBM Plex Serif" w:eastAsia="IBM Plex Serif" w:cs="IBM Plex Serif"/>
          <w:b/>
          <w:bCs/>
          <w:lang w:val="en-US"/>
        </w:rPr>
        <w:t xml:space="preserve">Các tính năng của trình </w:t>
      </w:r>
      <w:r>
        <w:rPr>
          <w:rFonts w:ascii="IBM Plex Serif" w:hAnsi="IBM Plex Serif" w:eastAsia="IBM Plex Serif" w:cs="IBM Plex Serif"/>
          <w:b/>
          <w:bCs/>
          <w:lang w:val="en-US"/>
        </w:rPr>
        <w:t xml:space="preserve">gán</w:t>
      </w:r>
      <w:r>
        <w:rPr>
          <w:rFonts w:ascii="IBM Plex Serif" w:hAnsi="IBM Plex Serif" w:eastAsia="IBM Plex Serif" w:cs="IBM Plex Serif"/>
          <w:b/>
          <w:bCs/>
          <w:lang w:val="en-US"/>
        </w:rPr>
        <w:t xml:space="preserve"> nhãn (tagger) CRF</w:t>
      </w:r>
      <w:r>
        <w:rPr>
          <w:rFonts w:ascii="IBM Plex Serif" w:hAnsi="IBM Plex Serif" w:cs="IBM Plex Serif"/>
          <w:b/>
          <w:bCs/>
        </w:rPr>
      </w:r>
    </w:p>
    <w:p w14:paraId="4A45160D">
      <w:pPr>
        <w:pBdr/>
        <w:spacing/>
        <w:ind w:firstLine="720" w:left="720"/>
        <w:rPr/>
      </w:pPr>
      <w:r>
        <w:rPr>
          <w:rFonts w:ascii="IBM Plex Serif" w:hAnsi="IBM Plex Serif" w:eastAsia="IBM Plex Serif" w:cs="IBM Plex Serif"/>
          <w:highlight w:val="none"/>
          <w:lang w:val="en-US"/>
        </w:rPr>
        <w:t xml:space="preserve">Khác với các mô hình tạo sinh (generative) như HMM vốn khó kết hợp nhiều nguồn thông tin, CRF cho phép tích hợp các đặc trưng tùy ý một cách linh hoạt</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0109E037">
      <w:pPr>
        <w:pStyle w:val="853"/>
        <w:numPr>
          <w:ilvl w:val="0"/>
          <w:numId w:val="24"/>
        </w:numPr>
        <w:pBdr/>
        <w:spacing/>
        <w:ind/>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Đặc trưng cục bộ (Local Features):</w:t>
      </w:r>
      <w:r>
        <w:rPr>
          <w:rFonts w:ascii="IBM Plex Serif" w:hAnsi="IBM Plex Serif" w:eastAsia="IBM Plex Serif" w:cs="IBM Plex Serif"/>
          <w:highlight w:val="none"/>
          <w:lang w:val="en-US"/>
        </w:rPr>
        <w:t xml:space="preserve"> Một đặc trưng </w:t>
      </w:r>
      <w:r>
        <w:rPr>
          <w:rFonts w:ascii="IBM Plex Serif" w:hAnsi="IBM Plex Serif" w:eastAsia="IBM Plex Serif" w:cs="IBM Plex Serif"/>
          <w:b/>
          <w:bCs/>
          <w:i/>
          <w:iCs/>
          <w:highlight w:val="none"/>
          <w:lang w:val="en-US"/>
        </w:rPr>
        <w:t xml:space="preserve">f </w:t>
      </w:r>
      <w:r>
        <w:rPr>
          <w:rFonts w:ascii="IBM Plex Serif" w:hAnsi="IBM Plex Serif" w:eastAsia="IBM Plex Serif" w:cs="IBM Plex Serif"/>
          <w:b/>
          <w:bCs/>
          <w:i/>
          <w:iCs/>
          <w:highlight w:val="none"/>
          <w:vertAlign w:val="subscript"/>
          <w:lang w:val="en-US"/>
        </w:rPr>
        <w:t xml:space="preserve">k</w:t>
      </w:r>
      <w:r>
        <w:rPr>
          <w:rFonts w:ascii="IBM Plex Serif" w:hAnsi="IBM Plex Serif" w:eastAsia="IBM Plex Serif" w:cs="IBM Plex Serif"/>
          <w:i/>
          <w:iCs/>
          <w:highlight w:val="none"/>
          <w:lang w:val="en-US"/>
        </w:rPr>
        <w:t xml:space="preserve">​ </w:t>
      </w:r>
      <w:r>
        <w:rPr>
          <w:rFonts w:ascii="IBM Plex Serif" w:hAnsi="IBM Plex Serif" w:eastAsia="IBM Plex Serif" w:cs="IBM Plex Serif"/>
          <w:highlight w:val="none"/>
          <w:lang w:val="en-US"/>
        </w:rPr>
        <w:t xml:space="preserve">tại vị trí </w:t>
      </w:r>
      <w:r>
        <w:rPr>
          <w:rFonts w:ascii="IBM Plex Serif" w:hAnsi="IBM Plex Serif" w:eastAsia="IBM Plex Serif" w:cs="IBM Plex Serif"/>
          <w:b/>
          <w:bCs/>
          <w:i/>
          <w:iCs/>
          <w:highlight w:val="none"/>
          <w:lang w:val="en-US"/>
        </w:rPr>
        <w:t xml:space="preserve">i</w:t>
      </w:r>
      <w:r>
        <w:rPr>
          <w:rFonts w:ascii="IBM Plex Serif" w:hAnsi="IBM Plex Serif" w:eastAsia="IBM Plex Serif" w:cs="IBM Plex Serif"/>
          <w:highlight w:val="none"/>
          <w:lang w:val="en-US"/>
        </w:rPr>
        <w:t xml:space="preserve"> trong chuỗi có thể phụ thuộc vào nhãn hiện tại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i/>
          <w:iCs/>
          <w:highlight w:val="none"/>
          <w:lang w:val="en-US"/>
        </w:rPr>
        <w:t xml:space="preserve">y</w:t>
      </w:r>
      <w:r>
        <w:rPr>
          <w:rFonts w:ascii="IBM Plex Serif" w:hAnsi="IBM Plex Serif" w:eastAsia="IBM Plex Serif" w:cs="IBM Plex Serif"/>
          <w:b/>
          <w:bCs/>
          <w:i/>
          <w:iCs/>
          <w:highlight w:val="none"/>
          <w:vertAlign w:val="subscript"/>
          <w:lang w:val="en-US"/>
        </w:rPr>
        <w:t xml:space="preserve">i</w:t>
      </w:r>
      <w:r>
        <w:rPr>
          <w:rFonts w:ascii="IBM Plex Serif" w:hAnsi="IBM Plex Serif" w:eastAsia="IBM Plex Serif" w:cs="IBM Plex Serif"/>
          <w:b/>
          <w:bCs/>
          <w:highlight w:val="none"/>
          <w:lang w:val="en-US"/>
        </w:rPr>
        <w:t xml:space="preserve"> )</w:t>
      </w:r>
      <w:r>
        <w:rPr>
          <w:rFonts w:ascii="IBM Plex Serif" w:hAnsi="IBM Plex Serif" w:eastAsia="IBM Plex Serif" w:cs="IBM Plex Serif"/>
          <w:highlight w:val="none"/>
          <w:lang w:val="en-US"/>
        </w:rPr>
        <w:t xml:space="preserve">, nhãn ngay trước đó </w:t>
      </w:r>
      <w:r>
        <w:rPr>
          <w:rFonts w:ascii="IBM Plex Serif" w:hAnsi="IBM Plex Serif" w:eastAsia="IBM Plex Serif" w:cs="IBM Plex Serif"/>
          <w:b/>
          <w:bCs/>
          <w:highlight w:val="none"/>
          <w:lang w:val="en-US"/>
        </w:rPr>
        <w:t xml:space="preserve">(</w:t>
      </w:r>
      <w:r>
        <w:rPr>
          <w:rFonts w:ascii="IBM Plex Serif" w:hAnsi="IBM Plex Serif" w:eastAsia="IBM Plex Serif" w:cs="IBM Plex Serif"/>
          <w:b/>
          <w:bCs/>
          <w:i/>
          <w:iCs/>
          <w:highlight w:val="none"/>
          <w:lang w:val="en-US"/>
        </w:rPr>
        <w:t xml:space="preserve">y </w:t>
      </w:r>
      <w:r>
        <w:rPr>
          <w:rFonts w:ascii="IBM Plex Serif" w:hAnsi="IBM Plex Serif" w:eastAsia="IBM Plex Serif" w:cs="IBM Plex Serif"/>
          <w:b/>
          <w:bCs/>
          <w:i/>
          <w:iCs/>
          <w:highlight w:val="none"/>
          <w:vertAlign w:val="subscript"/>
          <w:lang w:val="en-US"/>
        </w:rPr>
        <w:t xml:space="preserve">i−1</w:t>
      </w:r>
      <w:r>
        <w:rPr>
          <w:rFonts w:ascii="IBM Plex Serif" w:hAnsi="IBM Plex Serif" w:eastAsia="IBM Plex Serif" w:cs="IBM Plex Serif"/>
          <w:b/>
          <w:bCs/>
          <w:highlight w:val="none"/>
          <w:lang w:val="en-US"/>
        </w:rPr>
        <w:t xml:space="preserve"> )</w:t>
      </w:r>
      <w:r>
        <w:rPr>
          <w:rFonts w:ascii="IBM Plex Serif" w:hAnsi="IBM Plex Serif" w:eastAsia="IBM Plex Serif" w:cs="IBM Plex Serif"/>
          <w:highlight w:val="none"/>
          <w:lang w:val="en-US"/>
        </w:rPr>
        <w:t xml:space="preserve">, và toàn bộ chuỗi quan sát đầu vào X</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1AAEDDE1">
      <w:pPr>
        <w:pStyle w:val="853"/>
        <w:numPr>
          <w:ilvl w:val="0"/>
          <w:numId w:val="24"/>
        </w:num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Khuôn mẫu đặc trưng (Feature Templates):</w:t>
      </w:r>
      <w:r>
        <w:rPr>
          <w:rFonts w:ascii="IBM Plex Serif" w:hAnsi="IBM Plex Serif" w:eastAsia="IBM Plex Serif" w:cs="IBM Plex Serif"/>
          <w:highlight w:val="none"/>
          <w:lang w:val="en-US"/>
        </w:rPr>
        <w:t xml:space="preserve"> Thay vì tạo đặc trưng thủ công, các nhà thiết kế sử dụng khuôn mẫu để tự động sinh ra hàng ngàn đặc trưng từ dữ liệu huấn luyện</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 Ví dụ: một khuôn mẫu có thể kết hợp "từ hiện tại là back" và "nhãn hiện tại là VB"</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1E3A6ECF">
      <w:pPr>
        <w:pStyle w:val="853"/>
        <w:numPr>
          <w:ilvl w:val="0"/>
          <w:numId w:val="24"/>
        </w:num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Xử lý từ chưa biết (Unknown Word Features):</w:t>
      </w:r>
      <w:r>
        <w:rPr>
          <w:rFonts w:ascii="IBM Plex Serif" w:hAnsi="IBM Plex Serif" w:eastAsia="IBM Plex Serif" w:cs="IBM Plex Serif"/>
          <w:highlight w:val="none"/>
          <w:lang w:val="en-US"/>
        </w:rPr>
        <w:t xml:space="preserve"> CRF cực kỳ mạnh mẽ trong việc xử lý các từ không có trong từ điển nhờ các đặc trưng hình thái học</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55CAE0A2">
      <w:pPr>
        <w:pStyle w:val="853"/>
        <w:numPr>
          <w:ilvl w:val="1"/>
          <w:numId w:val="24"/>
        </w:num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Hình dạng từ (Word Shape):</w:t>
      </w:r>
      <w:r>
        <w:rPr>
          <w:rFonts w:ascii="IBM Plex Serif" w:hAnsi="IBM Plex Serif" w:eastAsia="IBM Plex Serif" w:cs="IBM Plex Serif"/>
          <w:highlight w:val="none"/>
          <w:lang w:val="en-US"/>
        </w:rPr>
        <w:t xml:space="preserve"> Ánh xạ từ thành các chuỗi trừu tượng (ví dụ: "I.M.F." thành "X.X.X.") để nhận diện các quy luật viết hoa hoặc ký hiệu</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3C9BA5EE">
      <w:pPr>
        <w:pStyle w:val="853"/>
        <w:numPr>
          <w:ilvl w:val="1"/>
          <w:numId w:val="24"/>
        </w:num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Tiền tố và Hậu tố:</w:t>
      </w:r>
      <w:r>
        <w:rPr>
          <w:rFonts w:ascii="IBM Plex Serif" w:hAnsi="IBM Plex Serif" w:eastAsia="IBM Plex Serif" w:cs="IBM Plex Serif"/>
          <w:highlight w:val="none"/>
          <w:lang w:val="en-US"/>
        </w:rPr>
        <w:t xml:space="preserve"> Kiểm tra các phần đầu/cuối của từ (như "-ed" thường là động từ quá khứ)</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7F12A82C">
      <w:pPr>
        <w:pStyle w:val="853"/>
        <w:numPr>
          <w:ilvl w:val="0"/>
          <w:numId w:val="24"/>
        </w:numPr>
        <w:pBdr/>
        <w:spacing/>
        <w:ind/>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b/>
          <w:bCs/>
          <w:highlight w:val="none"/>
          <w:lang w:val="en-US"/>
        </w:rPr>
        <w:t xml:space="preserve">Sử dụng ngữ cảnh rộng:</w:t>
      </w:r>
      <w:r>
        <w:rPr>
          <w:rFonts w:ascii="IBM Plex Serif" w:hAnsi="IBM Plex Serif" w:eastAsia="IBM Plex Serif" w:cs="IBM Plex Serif"/>
          <w:highlight w:val="none"/>
          <w:lang w:val="en-US"/>
        </w:rPr>
        <w:t xml:space="preserve"> Đặc trưng có thể nhìn vào các từ lân cận (từ đứng trước, đứng sau hoặc xa hơn) để đưa ra quyết định gán nhãn chính xác hơn</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p>
    <w:p w14:paraId="5E405211" w14:textId="3D72D559">
      <w:pPr>
        <w:pStyle w:val="853"/>
        <w:numPr>
          <w:ilvl w:val="0"/>
          <w:numId w:val="20"/>
        </w:numPr>
        <w:pBdr/>
        <w:spacing/>
        <w:ind/>
        <w:rPr>
          <w:rFonts w:ascii="IBM Plex Serif" w:hAnsi="IBM Plex Serif" w:eastAsia="IBM Plex Serif" w:cs="IBM Plex Serif"/>
          <w:b/>
          <w:bCs/>
          <w:lang w:val="en-US"/>
        </w:rPr>
      </w:pPr>
      <w:r>
        <w:rPr>
          <w:rFonts w:ascii="IBM Plex Serif" w:hAnsi="IBM Plex Serif" w:eastAsia="IBM Plex Serif" w:cs="IBM Plex Serif"/>
          <w:b/>
          <w:bCs/>
          <w:lang w:val="en-US"/>
        </w:rPr>
        <w:t xml:space="preserve">Cơ chế suy luận và huấn luyện CRFs</w:t>
      </w:r>
      <w:r>
        <w:rPr>
          <w:rFonts w:ascii="IBM Plex Serif" w:hAnsi="IBM Plex Serif" w:cs="IBM Plex Serif"/>
          <w:b/>
          <w:bCs/>
        </w:rPr>
      </w:r>
    </w:p>
    <w:p w14:paraId="638CC6D8">
      <w:pPr>
        <w:pBdr/>
        <w:spacing/>
        <w:ind w:firstLine="0" w:left="720"/>
        <w:rPr>
          <w:rFonts w:ascii="IBM Plex Serif" w:hAnsi="IBM Plex Serif" w:cs="IBM Plex Serif"/>
          <w:b/>
          <w:bCs/>
        </w:rPr>
      </w:pPr>
      <w:r>
        <w:rPr>
          <w:rFonts w:ascii="IBM Plex Serif" w:hAnsi="IBM Plex Serif" w:eastAsia="IBM Plex Serif" w:cs="IBM Plex Serif"/>
          <w:b/>
          <w:bCs/>
          <w:lang w:val="en-US"/>
        </w:rPr>
        <w:t xml:space="preserve">+ </w:t>
      </w:r>
      <w:r>
        <w:rPr>
          <w:rFonts w:ascii="IBM Plex Serif" w:hAnsi="IBM Plex Serif" w:eastAsia="IBM Plex Serif" w:cs="IBM Plex Serif"/>
          <w:b/>
          <w:bCs/>
          <w:highlight w:val="none"/>
          <w:lang w:val="en-US"/>
        </w:rPr>
        <w:t xml:space="preserve">Cơ chế suy luận (Inference)</w:t>
      </w:r>
      <w:r>
        <w:rPr>
          <w:rFonts w:ascii="IBM Plex Serif" w:hAnsi="IBM Plex Serif" w:cs="IBM Plex Serif"/>
          <w:b/>
          <w:bCs/>
        </w:rPr>
      </w:r>
      <w:r/>
    </w:p>
    <w:p w14:paraId="18A7DCEB">
      <w:pPr>
        <w:pBdr/>
        <w:spacing/>
        <w:ind w:firstLine="720" w:left="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Mục tiêu của suy luận là tìm chuỗi nhãn </w:t>
      </w:r>
      <m:oMath>
        <m:acc>
          <m:accPr>
            <m:ctrlPr>
              <w:rPr>
                <w:rFonts w:hint="default" w:ascii="Cambria Math" w:hAnsi="Cambria Math" w:eastAsia="Cambria Math" w:cs="Cambria Math"/>
                <w:b/>
                <w:i/>
                <w:highlight w:val="none"/>
                <w:lang w:val="en-US"/>
              </w:rPr>
            </m:ctrlPr>
          </m:accPr>
          <m:e>
            <m:r>
              <w:rPr>
                <w:rFonts w:hint="default" w:ascii="Cambria Math" w:hAnsi="Cambria Math" w:eastAsia="Cambria Math" w:cs="Cambria Math"/>
                <w:highlight w:val="none"/>
                <w:lang w:val="en-US" w:bidi="en-US"/>
              </w:rPr>
              <m:rPr>
                <m:sty m:val="bi"/>
              </m:rPr>
              <m:t>Y</m:t>
            </m:r>
          </m:e>
        </m:acc>
      </m:oMath>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có xác suất cao nhất cho một chuỗi quan sát </w:t>
      </w:r>
      <w:r>
        <w:rPr>
          <w:rFonts w:ascii="IBM Plex Serif" w:hAnsi="IBM Plex Serif" w:eastAsia="IBM Plex Serif" w:cs="IBM Plex Serif"/>
          <w:b/>
          <w:bCs/>
          <w:i/>
          <w:iCs/>
          <w:highlight w:val="none"/>
          <w:lang w:val="en-US"/>
        </w:rPr>
        <w:t xml:space="preserve">X</w:t>
      </w:r>
      <w:r>
        <w:rPr>
          <w:rFonts w:ascii="IBM Plex Serif" w:hAnsi="IBM Plex Serif" w:eastAsia="IBM Plex Serif" w:cs="IBM Plex Serif"/>
          <w:highlight w:val="none"/>
          <w:lang w:val="en-US"/>
        </w:rPr>
        <w:t xml:space="preserve"> cho trước</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Tương tự như trong HMM, CRF sử dụng thuật toán Viterbi để tìm kiếm chuỗi nhãn tối ưu một cách hiệu quả</w:t>
      </w:r>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73BBE79F">
      <w:pPr>
        <w:pBdr/>
        <w:spacing/>
        <w:ind w:firstLine="720" w:left="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Trong CRF, thay vì nhân các xác suất chuyển tiếp và xác suất phát xạ, thuật toán Viterbi sẽ tính toán dựa trên tổng trọng số của các đặc trưng</w:t>
      </w:r>
      <w:r>
        <w:rPr>
          <w:rFonts w:ascii="IBM Plex Serif" w:hAnsi="IBM Plex Serif" w:eastAsia="IBM Plex Serif" w:cs="IBM Plex Serif"/>
          <w:highlight w:val="none"/>
          <w:lang w:val="en-US"/>
        </w:rPr>
        <w:t xml:space="preserve">. Tại mỗi bước thời gian t cho trạng thái j, giá trị Viterbi được tính bằng cách lấy cực đại của tổng giá trị Viterbi trước đó cộng với tổng các trọng số đặc trưng tại vị trí hiện tại</w:t>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bidi="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1C5C194F">
      <w:pPr>
        <w:pBdr/>
        <w:spacing/>
        <w:ind w:firstLine="0" w:left="720"/>
        <w:rPr>
          <w:rFonts w:ascii="IBM Plex Serif" w:hAnsi="IBM Plex Serif" w:eastAsia="IBM Plex Serif" w:cs="IBM Plex Serif"/>
          <w:highlight w:val="none"/>
          <w:lang w:val="en-US"/>
        </w:rPr>
      </w:pPr>
      <w:r>
        <w:rPr>
          <w:rFonts w:ascii="IBM Plex Serif" w:hAnsi="IBM Plex Serif" w:eastAsia="IBM Plex Serif" w:cs="IBM Plex Serif"/>
          <w:b/>
          <w:bCs/>
          <w:highlight w:val="none"/>
          <w:lang w:val="en-US"/>
        </w:rPr>
        <w:t xml:space="preserve">+ </w:t>
      </w:r>
      <w:r>
        <w:rPr>
          <w:rFonts w:ascii="IBM Plex Serif" w:hAnsi="IBM Plex Serif" w:eastAsia="IBM Plex Serif" w:cs="IBM Plex Serif"/>
          <w:b/>
          <w:bCs/>
          <w:highlight w:val="none"/>
          <w:lang w:val="en-US"/>
        </w:rPr>
        <w:t xml:space="preserve">Cơ chế huấn luyện (Training)</w:t>
      </w:r>
      <w:r>
        <w:rPr>
          <w:rFonts w:ascii="IBM Plex Serif" w:hAnsi="IBM Plex Serif" w:eastAsia="IBM Plex Serif" w:cs="IBM Plex Serif"/>
          <w:b/>
          <w:bCs/>
          <w:highlight w:val="none"/>
          <w:lang w:val="en-US"/>
        </w:rPr>
      </w:r>
      <w:r/>
    </w:p>
    <w:p w14:paraId="10CA5D07">
      <w:pPr>
        <w:pBdr/>
        <w:spacing/>
        <w:ind w:firstLine="720" w:left="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t xml:space="preserve">Huấn luyện CRF là quá trình học các trọng số </w:t>
      </w:r>
      <w:r>
        <w:rPr>
          <w:rFonts w:ascii="IBM Plex Serif" w:hAnsi="IBM Plex Serif" w:eastAsia="IBM Plex Serif" w:cs="IBM Plex Serif"/>
          <w:b/>
          <w:bCs/>
          <w:i/>
          <w:iCs/>
          <w:highlight w:val="none"/>
          <w:lang w:val="en-US"/>
        </w:rPr>
        <w:t xml:space="preserve">w</w:t>
      </w:r>
      <w:r>
        <w:rPr>
          <w:rFonts w:ascii="IBM Plex Serif" w:hAnsi="IBM Plex Serif" w:eastAsia="IBM Plex Serif" w:cs="IBM Plex Serif"/>
          <w:b/>
          <w:bCs/>
          <w:i/>
          <w:iCs/>
          <w:highlight w:val="none"/>
          <w:vertAlign w:val="subscript"/>
          <w:lang w:val="en-US"/>
        </w:rPr>
        <w:t xml:space="preserve">k </w:t>
      </w:r>
      <w:r>
        <w:rPr>
          <w:rFonts w:ascii="IBM Plex Serif" w:hAnsi="IBM Plex Serif" w:eastAsia="IBM Plex Serif" w:cs="IBM Plex Serif"/>
          <w:highlight w:val="none"/>
          <w:lang w:val="en-US"/>
        </w:rPr>
        <w:t xml:space="preserve">cho mỗi đặc trưng </w:t>
      </w:r>
      <w:r>
        <w:rPr>
          <w:rFonts w:ascii="IBM Plex Serif" w:hAnsi="IBM Plex Serif" w:eastAsia="IBM Plex Serif" w:cs="IBM Plex Serif"/>
          <w:b/>
          <w:bCs/>
          <w:i/>
          <w:iCs/>
          <w:highlight w:val="none"/>
          <w:lang w:val="en-US"/>
        </w:rPr>
        <w:t xml:space="preserve">f</w:t>
      </w:r>
      <w:r>
        <w:rPr>
          <w:rFonts w:ascii="IBM Plex Serif" w:hAnsi="IBM Plex Serif" w:eastAsia="IBM Plex Serif" w:cs="IBM Plex Serif"/>
          <w:b/>
          <w:bCs/>
          <w:i/>
          <w:iCs/>
          <w:highlight w:val="none"/>
          <w:vertAlign w:val="subscript"/>
          <w:lang w:val="en-US"/>
        </w:rPr>
        <w:t xml:space="preserve">k </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s</w:t>
      </w:r>
      <w:r>
        <w:rPr>
          <w:rFonts w:ascii="IBM Plex Serif" w:hAnsi="IBM Plex Serif" w:eastAsia="IBM Plex Serif" w:cs="IBM Plex Serif"/>
          <w:highlight w:val="none"/>
          <w:lang w:val="en-US"/>
        </w:rPr>
        <w:t xml:space="preserve">ao cho mô hình giải thích tốt nhất dữ liệu đã được gán nhãn thủ công</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Sử dụng phương pháp ước lượng hợp lý cực đại có điều kiện (conditional maximum likelihood estimation), tương tự như trong hồi quy logistic</w:t>
      </w:r>
      <w:r>
        <w:rPr>
          <w:rFonts w:ascii="IBM Plex Serif" w:hAnsi="IBM Plex Serif" w:eastAsia="IBM Plex Serif" w:cs="IBM Plex Serif"/>
          <w:highlight w:val="none"/>
          <w:lang w:val="en-US"/>
        </w:rPr>
        <w:t xml:space="preserve">. Trọng số được điều chỉnh để tối đa hóa log-likelihood của chuỗi nhãn đúng trên toàn bộ tập huấn luyện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w:t>
      </w:r>
      <w:r>
        <w:rPr>
          <w:rFonts w:ascii="IBM Plex Serif" w:hAnsi="IBM Plex Serif" w:eastAsia="IBM Plex Serif" w:cs="IBM Plex Serif"/>
          <w:highlight w:val="none"/>
          <w:lang w:val="en-US"/>
        </w:rPr>
        <w:t xml:space="preserve">v</w:t>
      </w:r>
      <w:r>
        <w:rPr>
          <w:rFonts w:ascii="IBM Plex Serif" w:hAnsi="IBM Plex Serif" w:eastAsia="IBM Plex Serif" w:cs="IBM Plex Serif"/>
          <w:highlight w:val="none"/>
          <w:lang w:val="en-US"/>
        </w:rPr>
        <w:t xml:space="preserve">à</w:t>
      </w:r>
      <w:r>
        <w:rPr>
          <w:rFonts w:ascii="IBM Plex Serif" w:hAnsi="IBM Plex Serif" w:eastAsia="IBM Plex Serif" w:cs="IBM Plex Serif"/>
          <w:highlight w:val="none"/>
          <w:lang w:val="en-US"/>
        </w:rPr>
        <w:t xml:space="preserve"> sử dụng thuật toán Hạ giang ngẫu nhiên (Stochastic Gradient Descent - SGD) để </w:t>
      </w:r>
      <w:r>
        <w:rPr>
          <w:rFonts w:ascii="IBM Plex Serif" w:hAnsi="IBM Plex Serif" w:eastAsia="IBM Plex Serif" w:cs="IBM Plex Serif"/>
          <w:highlight w:val="none"/>
          <w:lang w:val="en-US"/>
        </w:rPr>
        <w:t xml:space="preserve">tối </w:t>
      </w:r>
      <w:r>
        <w:rPr>
          <w:rFonts w:ascii="IBM Plex Serif" w:hAnsi="IBM Plex Serif" w:eastAsia="IBM Plex Serif" w:cs="IBM Plex Serif"/>
          <w:highlight w:val="none"/>
          <w:lang w:val="en-US"/>
        </w:rPr>
        <w:t xml:space="preserve">ưu </w:t>
      </w:r>
      <w:r>
        <w:rPr>
          <w:rFonts w:ascii="IBM Plex Serif" w:hAnsi="IBM Plex Serif" w:eastAsia="IBM Plex Serif" w:cs="IBM Plex Serif"/>
          <w:highlight w:val="none"/>
          <w:lang w:val="en-US"/>
        </w:rPr>
        <w:t xml:space="preserve">hóa,</w:t>
      </w:r>
      <w:r>
        <w:rPr>
          <w:rFonts w:ascii="IBM Plex Serif" w:hAnsi="IBM Plex Serif" w:eastAsia="IBM Plex Serif" w:cs="IBM Plex Serif"/>
          <w:highlight w:val="none"/>
          <w:lang w:val="en-US"/>
        </w:rPr>
        <w:t xml:space="preserve"> cập nhật trọng số</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p>
    <w:p w14:paraId="7A438925">
      <w:pPr>
        <w:pBdr/>
        <w:spacing/>
        <w:ind w:firstLine="720" w:left="720"/>
        <w:rPr>
          <w:rFonts w:ascii="IBM Plex Serif" w:hAnsi="IBM Plex Serif" w:eastAsia="IBM Plex Serif" w:cs="IBM Plex Serif"/>
          <w:highlight w:val="none"/>
          <w:lang w:val="en-US"/>
        </w:rPr>
      </w:pP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Để tính toán các đạo hàm cần thiết cho việc cập nhật trọng số một cách hiệu quả, CRF áp dụng một phiên bản mở rộng của thuật toán Forward-Backward từ HMM</w:t>
      </w:r>
      <w:r>
        <w:rPr>
          <w:rFonts w:ascii="IBM Plex Serif" w:hAnsi="IBM Plex Serif" w:eastAsia="IBM Plex Serif" w:cs="IBM Plex Serif"/>
          <w:highlight w:val="none"/>
          <w:lang w:val="en-US"/>
        </w:rPr>
      </w: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 Để tránh hiện tượng quá khớp (overfitting), các kỹ thuật điều chuẩn L1 hoặc L2 thường được áp dụng trong quá trình huấn luyện</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t xml:space="preserve">.</w:t>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r>
        <w:rPr>
          <w:rFonts w:ascii="IBM Plex Serif" w:hAnsi="IBM Plex Serif" w:eastAsia="IBM Plex Serif" w:cs="IBM Plex Serif"/>
          <w:highlight w:val="none"/>
          <w:lang w:val="en-US"/>
        </w:rPr>
      </w:r>
    </w:p>
    <w:p w14:paraId="46D40DAC" w14:textId="77777777">
      <w:pPr>
        <w:pStyle w:val="837"/>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3921AD8D" w14:textId="4DFB6CFB">
      <w:pPr>
        <w:pBdr/>
        <w:spacing/>
        <w:ind/>
        <w:rPr>
          <w:rFonts w:ascii="IBM Plex Serif" w:hAnsi="IBM Plex Serif" w:eastAsia="IBM Plex Serif" w:cs="IBM Plex Serif"/>
          <w:b/>
          <w:bCs/>
          <w:highlight w:val="none"/>
        </w:rPr>
      </w:pPr>
      <w:r>
        <w:rPr>
          <w:rFonts w:ascii="IBM Plex Serif" w:hAnsi="IBM Plex Serif" w:eastAsia="IBM Plex Serif" w:cs="IBM Plex Serif"/>
          <w:b/>
          <w:bCs/>
          <w:lang w:val="en-US"/>
        </w:rPr>
        <w:t xml:space="preserve">Trình bày một số ứng dụng cụ thể của Gán nhãn từ loại (POS tagging)</w:t>
      </w:r>
      <w:r>
        <w:rPr>
          <w:rFonts w:ascii="IBM Plex Serif" w:hAnsi="IBM Plex Serif" w:cs="IBM Plex Serif"/>
          <w:b/>
          <w:bCs/>
        </w:rPr>
      </w:r>
    </w:p>
    <w:p w14:paraId="278D8318">
      <w:pPr>
        <w:pStyle w:val="853"/>
        <w:numPr>
          <w:ilvl w:val="0"/>
          <w:numId w:val="25"/>
        </w:numPr>
        <w:pBdr/>
        <w:spacing/>
        <w:ind/>
        <w:rPr/>
      </w:pPr>
      <w:r>
        <w:rPr>
          <w:rFonts w:ascii="IBM Plex Serif" w:hAnsi="IBM Plex Serif" w:eastAsia="IBM Plex Serif" w:cs="IBM Plex Serif"/>
          <w:b/>
          <w:bCs/>
          <w:highlight w:val="none"/>
          <w:lang w:val="en-US"/>
        </w:rPr>
        <w:t xml:space="preserve">P</w:t>
      </w:r>
      <w:r>
        <w:rPr>
          <w:rFonts w:ascii="IBM Plex Serif" w:hAnsi="IBM Plex Serif" w:eastAsia="IBM Plex Serif" w:cs="IBM Plex Serif"/>
          <w:b/>
          <w:bCs/>
          <w:highlight w:val="none"/>
          <w:lang w:val="en-US"/>
        </w:rPr>
        <w:t xml:space="preserve">hân tích cú pháp (Parsing):</w:t>
      </w:r>
      <w:r>
        <w:rPr>
          <w:rFonts w:ascii="IBM Plex Serif" w:hAnsi="IBM Plex Serif" w:eastAsia="IBM Plex Serif" w:cs="IBM Plex Serif"/>
          <w:b w:val="0"/>
          <w:bCs w:val="0"/>
          <w:highlight w:val="none"/>
          <w:lang w:val="en-US"/>
        </w:rPr>
        <w:t xml:space="preserve"> POS tagging giúp cải thiện việc phân tích cấu trúc câu bằng cách xác định vai trò ngữ pháp của từ, từ đó dự đoán các từ liên kết xung quanh (ví dụ: danh từ thường đi sau định từ)</w:t>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p w14:paraId="7127FD01">
      <w:pPr>
        <w:pStyle w:val="853"/>
        <w:numPr>
          <w:ilvl w:val="0"/>
          <w:numId w:val="25"/>
        </w:numPr>
        <w:pBdr/>
        <w:spacing/>
        <w:ind/>
        <w:rPr/>
      </w:pPr>
      <w:r>
        <w:rPr>
          <w:rFonts w:ascii="IBM Plex Serif" w:hAnsi="IBM Plex Serif" w:eastAsia="IBM Plex Serif" w:cs="IBM Plex Serif"/>
          <w:b/>
          <w:bCs/>
          <w:highlight w:val="none"/>
          <w:lang w:val="en-US"/>
        </w:rPr>
        <w:t xml:space="preserve">Dịch máy (Machine Translation):</w:t>
      </w:r>
      <w:r>
        <w:rPr>
          <w:rFonts w:ascii="IBM Plex Serif" w:hAnsi="IBM Plex Serif" w:eastAsia="IBM Plex Serif" w:cs="IBM Plex Serif"/>
          <w:b w:val="0"/>
          <w:bCs w:val="0"/>
          <w:highlight w:val="none"/>
          <w:lang w:val="en-US"/>
        </w:rPr>
        <w:t xml:space="preserve"> Hỗ trợ việc sắp xếp lại thứ tự từ ngữ giữa các ngôn ngữ có cấu trúc khác nhau, chẳng hạn như vị trí của tính từ so với danh từ trong tiếng Việt và tiếng An</w:t>
      </w:r>
      <w:r>
        <w:rPr>
          <w:rFonts w:ascii="IBM Plex Serif" w:hAnsi="IBM Plex Serif" w:eastAsia="IBM Plex Serif" w:cs="IBM Plex Serif"/>
          <w:b w:val="0"/>
          <w:bCs w:val="0"/>
          <w:highlight w:val="none"/>
          <w:lang w:val="en-US"/>
        </w:rPr>
        <w:t xml:space="preserve">h</w:t>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p w14:paraId="7B0ED504">
      <w:pPr>
        <w:pStyle w:val="853"/>
        <w:numPr>
          <w:ilvl w:val="0"/>
          <w:numId w:val="25"/>
        </w:numPr>
        <w:pBdr/>
        <w:spacing/>
        <w:ind/>
        <w:rPr/>
      </w:pPr>
      <w:r>
        <w:rPr>
          <w:rFonts w:ascii="IBM Plex Serif" w:hAnsi="IBM Plex Serif" w:eastAsia="IBM Plex Serif" w:cs="IBM Plex Serif"/>
          <w:b/>
          <w:bCs/>
          <w:highlight w:val="none"/>
          <w:lang w:val="en-US"/>
        </w:rPr>
        <w:t xml:space="preserve">Chuyển văn bản thành giọng nói (TTS):</w:t>
      </w:r>
      <w:r>
        <w:rPr>
          <w:rFonts w:ascii="IBM Plex Serif" w:hAnsi="IBM Plex Serif" w:eastAsia="IBM Plex Serif" w:cs="IBM Plex Serif"/>
          <w:b w:val="0"/>
          <w:bCs w:val="0"/>
          <w:highlight w:val="none"/>
          <w:lang w:val="en-US"/>
        </w:rPr>
        <w:t xml:space="preserve"> Giúp hệ thống biết cách phát âm chính xác các từ viết giống nhau nhưng khác từ loại (như "record" là danh từ hay động từ) và dự đoán các ranh giới ngữ điệu trong câu</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p w14:paraId="4FD995CD">
      <w:pPr>
        <w:pStyle w:val="853"/>
        <w:numPr>
          <w:ilvl w:val="0"/>
          <w:numId w:val="25"/>
        </w:numPr>
        <w:pBdr/>
        <w:spacing/>
        <w:ind/>
        <w:rPr/>
      </w:pPr>
      <w:r>
        <w:rPr>
          <w:rFonts w:ascii="IBM Plex Serif" w:hAnsi="IBM Plex Serif" w:eastAsia="IBM Plex Serif" w:cs="IBM Plex Serif"/>
          <w:b/>
          <w:bCs/>
          <w:highlight w:val="none"/>
          <w:lang w:val="en-US"/>
        </w:rPr>
        <w:t xml:space="preserve">Phân tích cảm xúc (Sentiment Analysis):</w:t>
      </w:r>
      <w:r>
        <w:rPr>
          <w:rFonts w:ascii="IBM Plex Serif" w:hAnsi="IBM Plex Serif" w:eastAsia="IBM Plex Serif" w:cs="IBM Plex Serif"/>
          <w:b w:val="0"/>
          <w:bCs w:val="0"/>
          <w:highlight w:val="none"/>
          <w:lang w:val="en-US"/>
        </w:rPr>
        <w:t xml:space="preserve"> Việc phân biệt tính từ với các từ loại khác giúp hệ thống nhận diện tốt hơn các sắc thái biểu cảm và thái độ của người viết</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p w14:paraId="13DB4F7A">
      <w:pPr>
        <w:pStyle w:val="853"/>
        <w:numPr>
          <w:ilvl w:val="0"/>
          <w:numId w:val="25"/>
        </w:numPr>
        <w:pBdr/>
        <w:spacing/>
        <w:ind/>
        <w:rPr/>
      </w:pPr>
      <w:r>
        <w:rPr>
          <w:rFonts w:ascii="IBM Plex Serif" w:hAnsi="IBM Plex Serif" w:eastAsia="IBM Plex Serif" w:cs="IBM Plex Serif"/>
          <w:b/>
          <w:bCs/>
          <w:highlight w:val="none"/>
          <w:lang w:val="en-US"/>
        </w:rPr>
        <w:t xml:space="preserve">Nhận dạng thực thể có tên (NER):</w:t>
      </w:r>
      <w:r>
        <w:rPr>
          <w:rFonts w:ascii="IBM Plex Serif" w:hAnsi="IBM Plex Serif" w:eastAsia="IBM Plex Serif" w:cs="IBM Plex Serif"/>
          <w:b w:val="0"/>
          <w:bCs w:val="0"/>
          <w:highlight w:val="none"/>
          <w:lang w:val="en-US"/>
        </w:rPr>
        <w:t xml:space="preserve"> Là bước đầu tiên để xác định các thực thể như tên người, tổ chức hay địa danh (ví dụ: phân biệt "Washington" là tên người hay tên thành phố)</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p w14:paraId="4CCB7A62">
      <w:pPr>
        <w:pStyle w:val="853"/>
        <w:numPr>
          <w:ilvl w:val="0"/>
          <w:numId w:val="25"/>
        </w:numPr>
        <w:pBdr/>
        <w:spacing/>
        <w:ind/>
        <w:rPr/>
      </w:pPr>
      <w:r>
        <w:rPr>
          <w:rFonts w:ascii="IBM Plex Serif" w:hAnsi="IBM Plex Serif" w:eastAsia="IBM Plex Serif" w:cs="IBM Plex Serif"/>
          <w:b/>
          <w:bCs/>
          <w:highlight w:val="none"/>
          <w:lang w:val="en-US"/>
        </w:rPr>
        <w:t xml:space="preserve">Nghiên cứu ngôn ngữ học:</w:t>
      </w:r>
      <w:r>
        <w:rPr>
          <w:rFonts w:ascii="IBM Plex Serif" w:hAnsi="IBM Plex Serif" w:eastAsia="IBM Plex Serif" w:cs="IBM Plex Serif"/>
          <w:b w:val="0"/>
          <w:bCs w:val="0"/>
          <w:highlight w:val="none"/>
          <w:lang w:val="en-US"/>
        </w:rPr>
        <w:t xml:space="preserve"> Hỗ trợ kiểm soát từ loại khi đo lường sự thay đổi nghĩa của từ hoặc nghiên cứu cách tạo ra các từ mới trong ngôn ngữ</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p>
    <w:p w14:paraId="05EF8320">
      <w:pPr>
        <w:pStyle w:val="853"/>
        <w:numPr>
          <w:ilvl w:val="0"/>
          <w:numId w:val="25"/>
        </w:numPr>
        <w:pBdr/>
        <w:spacing/>
        <w:ind/>
        <w:rPr/>
      </w:pPr>
      <w:r>
        <w:rPr>
          <w:rFonts w:ascii="IBM Plex Serif" w:hAnsi="IBM Plex Serif" w:eastAsia="IBM Plex Serif" w:cs="IBM Plex Serif"/>
          <w:b/>
          <w:bCs/>
          <w:highlight w:val="none"/>
          <w:lang w:val="en-US"/>
        </w:rPr>
        <w:t xml:space="preserve">Xử lý dấu câu:</w:t>
      </w:r>
      <w:r>
        <w:rPr>
          <w:rFonts w:ascii="IBM Plex Serif" w:hAnsi="IBM Plex Serif" w:eastAsia="IBM Plex Serif" w:cs="IBM Plex Serif"/>
          <w:b w:val="0"/>
          <w:bCs w:val="0"/>
          <w:highlight w:val="none"/>
          <w:lang w:val="en-US"/>
        </w:rPr>
        <w:t xml:space="preserve"> Giúp phân biệt dấu chấm cuối câu với dấu chấm trong các từ viết tắt (như "Prof.") dựa trên ngữ cảnh từ loại xung quanh</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t xml:space="preserve">.</w:t>
      </w:r>
      <w:r>
        <w:rPr>
          <w:rFonts w:ascii="IBM Plex Serif" w:hAnsi="IBM Plex Serif" w:eastAsia="IBM Plex Serif" w:cs="IBM Plex Serif"/>
          <w:b w:val="0"/>
          <w:bCs w:val="0"/>
          <w:highlight w:val="none"/>
          <w:lang w:val="en-US"/>
        </w:rPr>
      </w:r>
      <w:r>
        <w:rPr>
          <w:rFonts w:ascii="IBM Plex Serif" w:hAnsi="IBM Plex Serif" w:eastAsia="IBM Plex Serif" w:cs="IBM Plex Serif"/>
          <w:b w:val="0"/>
          <w:bCs w:val="0"/>
          <w:highlight w:val="none"/>
          <w:lang w:val="en-US"/>
        </w:rPr>
      </w:r>
      <w:r>
        <w:rPr>
          <w:rFonts w:ascii="IBM Plex Serif" w:hAnsi="IBM Plex Serif" w:eastAsia="IBM Plex Serif" w:cs="IBM Plex Serif"/>
          <w:highlight w:val="none"/>
          <w:lang w:val="en-US"/>
        </w:rPr>
      </w:r>
      <w:r>
        <w:rPr>
          <w:rFonts w:ascii="IBM Plex Serif" w:hAnsi="IBM Plex Serif" w:cs="IBM Plex Serif"/>
          <w:b w:val="0"/>
          <w:bCs w:val="0"/>
        </w:rPr>
      </w:r>
      <w:r>
        <w:rPr>
          <w:rFonts w:ascii="IBM Plex Serif" w:hAnsi="IBM Plex Serif" w:eastAsia="IBM Plex Serif" w:cs="IBM Plex Serif"/>
          <w:b w:val="0"/>
          <w:bCs w:val="0"/>
          <w:highlight w:val="none"/>
          <w:lang w:val="en-US"/>
        </w:rPr>
      </w:r>
    </w:p>
    <w:p w14:paraId="4E6BD36B" w14:textId="77777777">
      <w:pPr>
        <w:pStyle w:val="837"/>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5044DD27" w14:textId="62AA0AF3">
      <w:pPr>
        <w:pBdr/>
        <w:spacing/>
        <w:ind/>
        <w:rPr>
          <w:rFonts w:ascii="IBM Plex Serif" w:hAnsi="IBM Plex Serif" w:cs="IBM Plex Serif"/>
        </w:rPr>
      </w:pPr>
      <w:r>
        <w:rPr>
          <w:rFonts w:ascii="IBM Plex Serif" w:hAnsi="IBM Plex Serif" w:eastAsia="IBM Plex Serif" w:cs="IBM Plex Serif"/>
          <w:lang w:val="en-US"/>
        </w:rPr>
        <w:t xml:space="preserve">Tìm hiểu và demo minh họa 2 trình </w:t>
      </w:r>
      <w:r>
        <w:rPr>
          <w:rFonts w:ascii="IBM Plex Serif" w:hAnsi="IBM Plex Serif" w:eastAsia="IBM Plex Serif" w:cs="IBM Plex Serif"/>
          <w:lang w:val="en-US"/>
        </w:rPr>
        <w:t xml:space="preserve">gán</w:t>
      </w:r>
      <w:r>
        <w:rPr>
          <w:rFonts w:ascii="IBM Plex Serif" w:hAnsi="IBM Plex Serif" w:eastAsia="IBM Plex Serif" w:cs="IBM Plex Serif"/>
          <w:lang w:val="en-US"/>
        </w:rPr>
        <w:t xml:space="preserve"> nhãn</w:t>
      </w:r>
      <w:r>
        <w:rPr>
          <w:rFonts w:ascii="IBM Plex Serif" w:hAnsi="IBM Plex Serif" w:eastAsia="IBM Plex Serif" w:cs="IBM Plex Serif"/>
          <w:lang w:val="en-US"/>
        </w:rPr>
        <w:t xml:space="preserve"> từ loại  </w:t>
      </w:r>
      <w:r>
        <w:rPr>
          <w:rFonts w:ascii="IBM Plex Serif" w:hAnsi="IBM Plex Serif" w:eastAsia="IBM Plex Serif" w:cs="IBM Plex Serif"/>
          <w:lang w:val="en-US"/>
        </w:rPr>
        <w:t xml:space="preserve"> (POS tagger) dành cho tiếng Anh.</w:t>
      </w:r>
      <w:r>
        <w:rPr>
          <w:rFonts w:ascii="IBM Plex Serif" w:hAnsi="IBM Plex Serif" w:eastAsia="IBM Plex Serif" w:cs="IBM Plex Serif"/>
          <w:lang w:val="en-US"/>
        </w:rPr>
      </w:r>
    </w:p>
    <w:p w14:paraId="4BB29B2C" w14:textId="77777777">
      <w:pPr>
        <w:pStyle w:val="837"/>
        <w:pBdr/>
        <w:spacing/>
        <w:ind/>
        <w:rPr>
          <w:rFonts w:ascii="IBM Plex Serif" w:hAnsi="IBM Plex Serif" w:cs="IBM Plex Serif"/>
        </w:rPr>
      </w:pPr>
      <w:r>
        <w:rPr>
          <w:rFonts w:ascii="IBM Plex Serif" w:hAnsi="IBM Plex Serif" w:eastAsia="IBM Plex Serif" w:cs="IBM Plex Serif"/>
          <w:lang w:val="en-US"/>
        </w:rPr>
      </w:r>
      <w:r>
        <w:rPr>
          <w:rFonts w:ascii="IBM Plex Serif" w:hAnsi="IBM Plex Serif" w:eastAsia="IBM Plex Serif" w:cs="IBM Plex Serif"/>
          <w:lang w:val="en-US"/>
        </w:rPr>
      </w:r>
    </w:p>
    <w:p w14:paraId="0B88E21A" w14:textId="43577A0B">
      <w:pPr>
        <w:pBdr/>
        <w:spacing/>
        <w:ind/>
        <w:rPr>
          <w:rFonts w:ascii="IBM Plex Serif" w:hAnsi="IBM Plex Serif" w:cs="IBM Plex Serif"/>
        </w:rPr>
      </w:pPr>
      <w:r>
        <w:rPr>
          <w:rFonts w:ascii="IBM Plex Serif" w:hAnsi="IBM Plex Serif" w:eastAsia="IBM Plex Serif" w:cs="IBM Plex Serif"/>
          <w:lang w:val="en-US"/>
        </w:rPr>
        <w:t xml:space="preserve">Tìm hiểu và demo minh họa 2 trình </w:t>
      </w:r>
      <w:r>
        <w:rPr>
          <w:rFonts w:ascii="IBM Plex Serif" w:hAnsi="IBM Plex Serif" w:eastAsia="IBM Plex Serif" w:cs="IBM Plex Serif"/>
          <w:lang w:val="en-US"/>
        </w:rPr>
        <w:t xml:space="preserve">gán</w:t>
      </w:r>
      <w:r>
        <w:rPr>
          <w:rFonts w:ascii="IBM Plex Serif" w:hAnsi="IBM Plex Serif" w:eastAsia="IBM Plex Serif" w:cs="IBM Plex Serif"/>
          <w:lang w:val="en-US"/>
        </w:rPr>
        <w:t xml:space="preserve"> nhãn</w:t>
      </w:r>
      <w:r>
        <w:rPr>
          <w:rFonts w:ascii="IBM Plex Serif" w:hAnsi="IBM Plex Serif" w:eastAsia="IBM Plex Serif" w:cs="IBM Plex Serif"/>
          <w:lang w:val="en-US"/>
        </w:rPr>
        <w:t xml:space="preserve"> từ loại</w:t>
      </w:r>
      <w:r>
        <w:rPr>
          <w:rFonts w:ascii="IBM Plex Serif" w:hAnsi="IBM Plex Serif" w:eastAsia="IBM Plex Serif" w:cs="IBM Plex Serif"/>
          <w:lang w:val="en-US"/>
        </w:rPr>
        <w:t xml:space="preserve"> (POS tagger) dành cho tiếng Việt.</w:t>
      </w:r>
      <w:r>
        <w:rPr>
          <w:rFonts w:ascii="IBM Plex Serif" w:hAnsi="IBM Plex Serif" w:eastAsia="IBM Plex Serif" w:cs="IBM Plex Serif"/>
          <w:lang w:val="en-US"/>
        </w:rPr>
      </w:r>
    </w:p>
    <w:p w14:paraId="616D4310" w14:textId="3B6CD645">
      <w:pPr>
        <w:pStyle w:val="837"/>
        <w:pBdr/>
        <w:spacing/>
        <w:ind/>
        <w:rPr>
          <w:rFonts w:ascii="IBM Plex Serif" w:hAnsi="IBM Plex Serif" w:cs="IBM Plex Serif"/>
        </w:rPr>
      </w:pPr>
      <w:r>
        <w:rPr>
          <w:rFonts w:ascii="IBM Plex Serif" w:hAnsi="IBM Plex Serif" w:eastAsia="IBM Plex Serif" w:cs="IBM Plex Serif"/>
          <w:lang w:val="en-US"/>
        </w:rPr>
        <w:t xml:space="preserve">(***)</w:t>
      </w:r>
      <w:r>
        <w:rPr>
          <w:rFonts w:ascii="IBM Plex Serif" w:hAnsi="IBM Plex Serif" w:eastAsia="IBM Plex Serif" w:cs="IBM Plex Serif"/>
          <w:lang w:val="en-US"/>
        </w:rPr>
      </w:r>
    </w:p>
    <w:p w14:paraId="6CA0652F" w14:textId="566AFDDC">
      <w:pPr>
        <w:pBdr/>
        <w:spacing/>
        <w:ind/>
        <w:rPr>
          <w:rFonts w:ascii="IBM Plex Serif" w:hAnsi="IBM Plex Serif" w:cs="IBM Plex Serif"/>
        </w:rPr>
      </w:pPr>
      <w:r>
        <w:rPr>
          <w:rFonts w:ascii="IBM Plex Serif" w:hAnsi="IBM Plex Serif" w:eastAsia="IBM Plex Serif" w:cs="IBM Plex Serif"/>
          <w:lang w:val="en-US"/>
        </w:rPr>
        <w:t xml:space="preserve">Xây dựng một bộ gán nhãn từ loại đơn giản sử dụng Hidden Markov Model (</w:t>
      </w:r>
      <w:r>
        <w:rPr>
          <w:rFonts w:ascii="IBM Plex Serif" w:hAnsi="IBM Plex Serif" w:eastAsia="IBM Plex Serif" w:cs="IBM Plex Serif"/>
          <w:lang w:val="en-US"/>
        </w:rPr>
        <w:t xml:space="preserve">bigram HMM tagge</w:t>
      </w:r>
      <w:r>
        <w:rPr>
          <w:rFonts w:ascii="IBM Plex Serif" w:hAnsi="IBM Plex Serif" w:eastAsia="IBM Plex Serif" w:cs="IBM Plex Serif"/>
          <w:lang w:val="en-US"/>
        </w:rPr>
        <w:t xml:space="preserve">r).</w:t>
      </w:r>
      <w:r>
        <w:rPr>
          <w:rFonts w:ascii="IBM Plex Serif" w:hAnsi="IBM Plex Serif" w:eastAsia="IBM Plex Serif" w:cs="IBM Plex Serif"/>
          <w:lang w:val="en-US"/>
        </w:rPr>
      </w:r>
    </w:p>
    <w:p w14:paraId="61BE3B16" w14:textId="24E4D55F">
      <w:pPr>
        <w:pStyle w:val="853"/>
        <w:numPr>
          <w:ilvl w:val="0"/>
          <w:numId w:val="23"/>
        </w:numPr>
        <w:pBdr/>
        <w:spacing/>
        <w:ind/>
        <w:rPr>
          <w:rFonts w:ascii="IBM Plex Serif" w:hAnsi="IBM Plex Serif" w:cs="IBM Plex Serif"/>
        </w:rPr>
      </w:pPr>
      <w:r>
        <w:rPr>
          <w:rFonts w:ascii="IBM Plex Serif" w:hAnsi="IBM Plex Serif" w:eastAsia="IBM Plex Serif" w:cs="IBM Plex Serif"/>
          <w:lang w:val="en-US"/>
        </w:rPr>
        <w:t xml:space="preserve">Cần bộ ngữ liệu đã gán nhãn (</w:t>
      </w:r>
      <w:r>
        <w:rPr>
          <w:rFonts w:ascii="IBM Plex Serif" w:hAnsi="IBM Plex Serif" w:eastAsia="IBM Plex Serif" w:cs="IBM Plex Serif"/>
          <w:lang w:val="en-US"/>
        </w:rPr>
        <w:t xml:space="preserve">part-of-speech-tagged corpus</w:t>
      </w:r>
      <w:r>
        <w:rPr>
          <w:rFonts w:ascii="IBM Plex Serif" w:hAnsi="IBM Plex Serif" w:eastAsia="IBM Plex Serif" w:cs="IBM Plex Serif"/>
          <w:lang w:val="en-US"/>
        </w:rPr>
        <w:t xml:space="preserve">)</w:t>
      </w:r>
      <w:r>
        <w:rPr>
          <w:rFonts w:ascii="IBM Plex Serif" w:hAnsi="IBM Plex Serif" w:eastAsia="IBM Plex Serif" w:cs="IBM Plex Serif"/>
          <w:lang w:val="en-US"/>
        </w:rPr>
      </w:r>
    </w:p>
    <w:p w14:paraId="47B527D5" w14:textId="10FE69F3">
      <w:pPr>
        <w:pStyle w:val="853"/>
        <w:numPr>
          <w:ilvl w:val="0"/>
          <w:numId w:val="23"/>
        </w:numPr>
        <w:pBdr/>
        <w:spacing/>
        <w:ind/>
        <w:rPr>
          <w:rFonts w:ascii="IBM Plex Serif" w:hAnsi="IBM Plex Serif" w:cs="IBM Plex Serif"/>
        </w:rPr>
      </w:pPr>
      <w:r>
        <w:rPr>
          <w:rFonts w:ascii="IBM Plex Serif" w:hAnsi="IBM Plex Serif" w:eastAsia="IBM Plex Serif" w:cs="IBM Plex Serif"/>
          <w:lang w:val="en-US"/>
        </w:rPr>
        <w:t xml:space="preserve">Chia ngữ liệu thành 2 tập: huấn luyện (training set) và tập kiểm thử (test set)</w:t>
      </w:r>
      <w:r>
        <w:rPr>
          <w:rFonts w:ascii="IBM Plex Serif" w:hAnsi="IBM Plex Serif" w:eastAsia="IBM Plex Serif" w:cs="IBM Plex Serif"/>
          <w:lang w:val="en-US"/>
        </w:rPr>
      </w:r>
    </w:p>
    <w:p w14:paraId="49B70AB9" w14:textId="27A67EC5">
      <w:pPr>
        <w:pStyle w:val="853"/>
        <w:numPr>
          <w:ilvl w:val="0"/>
          <w:numId w:val="23"/>
        </w:numPr>
        <w:pBdr/>
        <w:spacing/>
        <w:ind/>
        <w:rPr>
          <w:rFonts w:ascii="IBM Plex Serif" w:hAnsi="IBM Plex Serif" w:cs="IBM Plex Serif"/>
        </w:rPr>
      </w:pPr>
      <w:r>
        <w:rPr>
          <w:rFonts w:ascii="IBM Plex Serif" w:hAnsi="IBM Plex Serif" w:eastAsia="IBM Plex Serif" w:cs="IBM Plex Serif"/>
          <w:lang w:val="en-US"/>
        </w:rPr>
        <w:t xml:space="preserve">Tính các xác suất chuyển trạng thái và xác suất quan sát (</w:t>
      </w:r>
      <w:r>
        <w:rPr>
          <w:rFonts w:ascii="IBM Plex Serif" w:hAnsi="IBM Plex Serif" w:eastAsia="IBM Plex Serif" w:cs="IBM Plex Serif"/>
          <w:lang w:val="en-US"/>
        </w:rPr>
        <w:t xml:space="preserve">transition and observation probabilities</w:t>
      </w:r>
      <w:r>
        <w:rPr>
          <w:rFonts w:ascii="IBM Plex Serif" w:hAnsi="IBM Plex Serif" w:eastAsia="IBM Plex Serif" w:cs="IBM Plex Serif"/>
          <w:lang w:val="en-US"/>
        </w:rPr>
        <w:t xml:space="preserve">)</w:t>
      </w:r>
      <w:r>
        <w:rPr>
          <w:rFonts w:ascii="IBM Plex Serif" w:hAnsi="IBM Plex Serif" w:eastAsia="IBM Plex Serif" w:cs="IBM Plex Serif"/>
          <w:lang w:val="en-US"/>
        </w:rPr>
      </w:r>
    </w:p>
    <w:p w14:paraId="4ECAA173" w14:textId="33FFBD96">
      <w:pPr>
        <w:pStyle w:val="853"/>
        <w:numPr>
          <w:ilvl w:val="0"/>
          <w:numId w:val="23"/>
        </w:numPr>
        <w:pBdr/>
        <w:spacing/>
        <w:ind/>
        <w:rPr>
          <w:rFonts w:ascii="IBM Plex Serif" w:hAnsi="IBM Plex Serif" w:cs="IBM Plex Serif"/>
        </w:rPr>
      </w:pPr>
      <w:r>
        <w:rPr>
          <w:rFonts w:ascii="IBM Plex Serif" w:hAnsi="IBM Plex Serif" w:eastAsia="IBM Plex Serif" w:cs="IBM Plex Serif"/>
          <w:lang w:val="en-US"/>
        </w:rPr>
        <w:t xml:space="preserve">Triển khai thuật toán </w:t>
      </w:r>
      <w:r>
        <w:rPr>
          <w:rFonts w:ascii="IBM Plex Serif" w:hAnsi="IBM Plex Serif" w:eastAsia="IBM Plex Serif" w:cs="IBM Plex Serif"/>
          <w:lang w:val="en-US"/>
        </w:rPr>
        <w:t xml:space="preserve">Viterbi</w:t>
      </w:r>
      <w:r>
        <w:rPr>
          <w:rFonts w:ascii="IBM Plex Serif" w:hAnsi="IBM Plex Serif" w:eastAsia="IBM Plex Serif" w:cs="IBM Plex Serif"/>
          <w:lang w:val="en-US"/>
        </w:rPr>
      </w:r>
    </w:p>
    <w:p w14:paraId="0E0344EB" w14:textId="73454DE4">
      <w:pPr>
        <w:pStyle w:val="853"/>
        <w:numPr>
          <w:ilvl w:val="0"/>
          <w:numId w:val="23"/>
        </w:numPr>
        <w:pBdr/>
        <w:spacing/>
        <w:ind/>
        <w:rPr>
          <w:rFonts w:ascii="IBM Plex Serif" w:hAnsi="IBM Plex Serif" w:cs="IBM Plex Serif"/>
        </w:rPr>
      </w:pPr>
      <w:r>
        <w:rPr>
          <w:rFonts w:ascii="IBM Plex Serif" w:hAnsi="IBM Plex Serif" w:eastAsia="IBM Plex Serif" w:cs="IBM Plex Serif"/>
          <w:lang w:val="en-US"/>
        </w:rPr>
        <w:t xml:space="preserve">Chạy thuật toán trên tập kiểm thử và và ghi nhận tỷ lệ lỗi (error rate), F1-scores…</w:t>
      </w:r>
      <w:r>
        <w:rPr>
          <w:rFonts w:ascii="IBM Plex Serif" w:hAnsi="IBM Plex Serif" w:eastAsia="IBM Plex Serif" w:cs="IBM Plex Serif"/>
          <w:lang w:val="en-US"/>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5669B03" w14:textId="77777777">
      <w:pPr>
        <w:pBdr/>
        <w:spacing w:after="0" w:line="240" w:lineRule="auto"/>
        <w:ind/>
        <w:rPr/>
      </w:pPr>
      <w:r>
        <w:separator/>
      </w:r>
      <w:r/>
    </w:p>
  </w:endnote>
  <w:endnote w:type="continuationSeparator" w:id="0">
    <w:p w14:paraId="7FA7190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Courier New">
    <w:panose1 w:val="02070309020205020404"/>
  </w:font>
  <w:font w:name="IBM Plex Serif">
    <w:panose1 w:val="02060503050406000203"/>
  </w:font>
  <w:font w:name="Calibri">
    <w:panose1 w:val="020F05020202040302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863"/>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863"/>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86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9700370" w14:textId="77777777">
      <w:pPr>
        <w:pBdr/>
        <w:spacing w:after="0" w:line="240" w:lineRule="auto"/>
        <w:ind/>
        <w:rPr/>
      </w:pPr>
      <w:r>
        <w:separator/>
      </w:r>
      <w:r/>
    </w:p>
  </w:footnote>
  <w:footnote w:type="continuationSeparator" w:id="0">
    <w:p w14:paraId="4000E569"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86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861"/>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86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774EA"/>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nsid w:val="21D80F8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5654749"/>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257B07F8"/>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350F4FB1"/>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8">
    <w:nsid w:val="3823659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830"/>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14">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52A424CA"/>
    <w:lvl w:ilvl="0">
      <w:isLgl w:val="false"/>
      <w:lvlJc w:val="left"/>
      <w:lvlText w:val="%1. "/>
      <w:numFmt w:val="upperLetter"/>
      <w:pPr>
        <w:pBdr/>
        <w:spacing/>
        <w:ind w:hanging="432" w:left="432"/>
      </w:pPr>
      <w:pStyle w:val="823"/>
      <w:rPr>
        <w:rFonts w:hint="default"/>
      </w:rPr>
      <w:start w:val="1"/>
      <w:suff w:val="tab"/>
    </w:lvl>
    <w:lvl w:ilvl="1">
      <w:isLgl w:val="false"/>
      <w:lvlJc w:val="left"/>
      <w:lvlText w:val="%2. "/>
      <w:numFmt w:val="decimal"/>
      <w:pPr>
        <w:pBdr/>
        <w:spacing/>
        <w:ind w:hanging="576" w:left="576"/>
      </w:pPr>
      <w:pStyle w:val="824"/>
      <w:rPr>
        <w:rFonts w:hint="default"/>
      </w:rPr>
      <w:start w:val="1"/>
      <w:suff w:val="space"/>
    </w:lvl>
    <w:lvl w:ilvl="2">
      <w:isLgl w:val="false"/>
      <w:lvlJc w:val="left"/>
      <w:lvlText w:val="%3. "/>
      <w:numFmt w:val="lowerLetter"/>
      <w:pPr>
        <w:pBdr/>
        <w:spacing/>
        <w:ind w:hanging="720" w:left="720"/>
      </w:pPr>
      <w:pStyle w:val="825"/>
      <w:rPr>
        <w:rFonts w:hint="default"/>
      </w:rPr>
      <w:start w:val="1"/>
      <w:suff w:val="space"/>
    </w:lvl>
    <w:lvl w:ilvl="3">
      <w:isLgl w:val="false"/>
      <w:lvlJc w:val="left"/>
      <w:lvlText w:val="%1.%2.%3.%4"/>
      <w:numFmt w:val="decimal"/>
      <w:pPr>
        <w:pBdr/>
        <w:spacing/>
        <w:ind w:hanging="864" w:left="864"/>
      </w:pPr>
      <w:pStyle w:val="826"/>
      <w:rPr>
        <w:rFonts w:hint="default"/>
      </w:rPr>
      <w:start w:val="1"/>
      <w:suff w:val="tab"/>
    </w:lvl>
    <w:lvl w:ilvl="4">
      <w:isLgl w:val="false"/>
      <w:lvlJc w:val="left"/>
      <w:lvlText w:val="%1.%2.%3.%4.%5"/>
      <w:numFmt w:val="decimal"/>
      <w:pPr>
        <w:pBdr/>
        <w:spacing/>
        <w:ind w:hanging="1008" w:left="1008"/>
      </w:pPr>
      <w:pStyle w:val="827"/>
      <w:rPr>
        <w:rFonts w:hint="default"/>
      </w:rPr>
      <w:start w:val="1"/>
      <w:suff w:val="tab"/>
    </w:lvl>
    <w:lvl w:ilvl="5">
      <w:isLgl w:val="false"/>
      <w:lvlJc w:val="left"/>
      <w:lvlText w:val="%1.%2.%3.%4.%5.%6"/>
      <w:numFmt w:val="decimal"/>
      <w:pPr>
        <w:pBdr/>
        <w:spacing/>
        <w:ind w:hanging="1152" w:left="1152"/>
      </w:pPr>
      <w:pStyle w:val="828"/>
      <w:rPr>
        <w:rFonts w:hint="default"/>
      </w:rPr>
      <w:start w:val="1"/>
      <w:suff w:val="tab"/>
    </w:lvl>
    <w:lvl w:ilvl="6">
      <w:isLgl w:val="false"/>
      <w:lvlJc w:val="left"/>
      <w:lvlText w:val="%1.%2.%3.%4.%5.%6.%7"/>
      <w:numFmt w:val="decimal"/>
      <w:pPr>
        <w:pBdr/>
        <w:spacing/>
        <w:ind w:hanging="1296" w:left="1296"/>
      </w:pPr>
      <w:pStyle w:val="829"/>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831"/>
      <w:rPr>
        <w:rFonts w:hint="default"/>
      </w:rPr>
      <w:start w:val="1"/>
      <w:suff w:val="tab"/>
    </w:lvl>
  </w:abstractNum>
  <w:abstractNum w:abstractNumId="16">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7">
    <w:nsid w:val="60880DEF"/>
    <w:lvl w:ilvl="0">
      <w:isLgl w:val="false"/>
      <w:lvlJc w:val="left"/>
      <w:lvlText w:val="%1."/>
      <w:numFmt w:val="lowerLetter"/>
      <w:pPr>
        <w:pBdr/>
        <w:spacing/>
        <w:ind w:hanging="360" w:left="720"/>
      </w:pPr>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nsid w:val="659E3935"/>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66B16983"/>
    <w:lvl w:ilvl="0">
      <w:isLgl w:val="false"/>
      <w:lvlJc w:val="left"/>
      <w:lvlText w:val="Bài tập %1."/>
      <w:numFmt w:val="decimal"/>
      <w:pPr>
        <w:pBdr/>
        <w:spacing/>
        <w:ind w:hanging="360" w:left="360"/>
      </w:pPr>
      <w:pStyle w:val="837"/>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1">
    <w:nsid w:val="68141678"/>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3">
    <w:nsid w:val="6329EC68"/>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4">
    <w:nsid w:val="515F62D1"/>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5"/>
  </w:num>
  <w:num w:numId="2">
    <w:abstractNumId w:val="13"/>
  </w:num>
  <w:num w:numId="3">
    <w:abstractNumId w:val="20"/>
  </w:num>
  <w:num w:numId="4">
    <w:abstractNumId w:val="19"/>
  </w:num>
  <w:num w:numId="5">
    <w:abstractNumId w:val="10"/>
  </w:num>
  <w:num w:numId="6">
    <w:abstractNumId w:val="22"/>
  </w:num>
  <w:num w:numId="7">
    <w:abstractNumId w:val="14"/>
  </w:num>
  <w:num w:numId="8">
    <w:abstractNumId w:val="18"/>
  </w:num>
  <w:num w:numId="9">
    <w:abstractNumId w:val="12"/>
  </w:num>
  <w:num w:numId="10">
    <w:abstractNumId w:val="16"/>
  </w:num>
  <w:num w:numId="11">
    <w:abstractNumId w:val="3"/>
  </w:num>
  <w:num w:numId="12">
    <w:abstractNumId w:val="11"/>
  </w:num>
  <w:num w:numId="13">
    <w:abstractNumId w:val="2"/>
  </w:num>
  <w:num w:numId="14">
    <w:abstractNumId w:val="9"/>
  </w:num>
  <w:num w:numId="15">
    <w:abstractNumId w:val="1"/>
  </w:num>
  <w:num w:numId="16">
    <w:abstractNumId w:val="7"/>
  </w:num>
  <w:num w:numId="17">
    <w:abstractNumId w:val="0"/>
  </w:num>
  <w:num w:numId="18">
    <w:abstractNumId w:val="6"/>
  </w:num>
  <w:num w:numId="19">
    <w:abstractNumId w:val="4"/>
  </w:num>
  <w:num w:numId="20">
    <w:abstractNumId w:val="21"/>
  </w:num>
  <w:num w:numId="21">
    <w:abstractNumId w:val="8"/>
  </w:num>
  <w:num w:numId="22">
    <w:abstractNumId w:val="17"/>
  </w:num>
  <w:num w:numId="23">
    <w:abstractNumId w:val="5"/>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
    <w:name w:val="Quote"/>
    <w:basedOn w:val="822"/>
    <w:next w:val="822"/>
    <w:link w:val="164"/>
    <w:uiPriority w:val="29"/>
    <w:qFormat/>
    <w:pPr>
      <w:pBdr/>
      <w:spacing w:before="160"/>
      <w:ind/>
      <w:jc w:val="center"/>
    </w:pPr>
    <w:rPr>
      <w:i/>
      <w:iCs/>
      <w:color w:val="404040" w:themeColor="text1" w:themeTint="BF"/>
    </w:rPr>
  </w:style>
  <w:style w:type="character" w:styleId="164">
    <w:name w:val="Quote Char"/>
    <w:basedOn w:val="832"/>
    <w:link w:val="163"/>
    <w:uiPriority w:val="29"/>
    <w:pPr>
      <w:pBdr/>
      <w:spacing/>
      <w:ind/>
    </w:pPr>
    <w:rPr>
      <w:i/>
      <w:iCs/>
      <w:color w:val="404040" w:themeColor="text1" w:themeTint="BF"/>
    </w:rPr>
  </w:style>
  <w:style w:type="character" w:styleId="166">
    <w:name w:val="Intense Emphasis"/>
    <w:basedOn w:val="832"/>
    <w:uiPriority w:val="21"/>
    <w:qFormat/>
    <w:pPr>
      <w:pBdr/>
      <w:spacing/>
      <w:ind/>
    </w:pPr>
    <w:rPr>
      <w:i/>
      <w:iCs/>
      <w:color w:val="0f4761" w:themeColor="accent1" w:themeShade="BF"/>
    </w:rPr>
  </w:style>
  <w:style w:type="paragraph" w:styleId="167">
    <w:name w:val="Intense Quote"/>
    <w:basedOn w:val="822"/>
    <w:next w:val="82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32"/>
    <w:link w:val="167"/>
    <w:uiPriority w:val="30"/>
    <w:pPr>
      <w:pBdr/>
      <w:spacing/>
      <w:ind/>
    </w:pPr>
    <w:rPr>
      <w:i/>
      <w:iCs/>
      <w:color w:val="0f4761" w:themeColor="accent1" w:themeShade="BF"/>
    </w:rPr>
  </w:style>
  <w:style w:type="character" w:styleId="169">
    <w:name w:val="Intense Reference"/>
    <w:basedOn w:val="832"/>
    <w:uiPriority w:val="32"/>
    <w:qFormat/>
    <w:pPr>
      <w:pBdr/>
      <w:spacing/>
      <w:ind/>
    </w:pPr>
    <w:rPr>
      <w:b/>
      <w:bCs/>
      <w:smallCaps/>
      <w:color w:val="0f4761" w:themeColor="accent1" w:themeShade="BF"/>
      <w:spacing w:val="5"/>
    </w:rPr>
  </w:style>
  <w:style w:type="paragraph" w:styleId="170">
    <w:name w:val="No Spacing"/>
    <w:basedOn w:val="822"/>
    <w:uiPriority w:val="1"/>
    <w:qFormat/>
    <w:pPr>
      <w:pBdr/>
      <w:spacing w:after="0" w:line="240" w:lineRule="auto"/>
      <w:ind/>
    </w:pPr>
  </w:style>
  <w:style w:type="character" w:styleId="171">
    <w:name w:val="Subtle Emphasis"/>
    <w:basedOn w:val="832"/>
    <w:uiPriority w:val="19"/>
    <w:qFormat/>
    <w:pPr>
      <w:pBdr/>
      <w:spacing/>
      <w:ind/>
    </w:pPr>
    <w:rPr>
      <w:i/>
      <w:iCs/>
      <w:color w:val="404040" w:themeColor="text1" w:themeTint="BF"/>
    </w:rPr>
  </w:style>
  <w:style w:type="character" w:styleId="173">
    <w:name w:val="Strong"/>
    <w:basedOn w:val="832"/>
    <w:uiPriority w:val="22"/>
    <w:qFormat/>
    <w:pPr>
      <w:pBdr/>
      <w:spacing/>
      <w:ind/>
    </w:pPr>
    <w:rPr>
      <w:b/>
      <w:bCs/>
    </w:rPr>
  </w:style>
  <w:style w:type="character" w:styleId="174">
    <w:name w:val="Subtle Reference"/>
    <w:basedOn w:val="832"/>
    <w:uiPriority w:val="31"/>
    <w:qFormat/>
    <w:pPr>
      <w:pBdr/>
      <w:spacing/>
      <w:ind/>
    </w:pPr>
    <w:rPr>
      <w:smallCaps/>
      <w:color w:val="5a5a5a" w:themeColor="text1" w:themeTint="A5"/>
    </w:rPr>
  </w:style>
  <w:style w:type="character" w:styleId="175">
    <w:name w:val="Book Title"/>
    <w:basedOn w:val="832"/>
    <w:uiPriority w:val="33"/>
    <w:qFormat/>
    <w:pPr>
      <w:pBdr/>
      <w:spacing/>
      <w:ind/>
    </w:pPr>
    <w:rPr>
      <w:b/>
      <w:bCs/>
      <w:i/>
      <w:iCs/>
      <w:spacing w:val="5"/>
    </w:rPr>
  </w:style>
  <w:style w:type="paragraph" w:styleId="181">
    <w:name w:val="footnote text"/>
    <w:basedOn w:val="822"/>
    <w:link w:val="182"/>
    <w:uiPriority w:val="99"/>
    <w:semiHidden/>
    <w:unhideWhenUsed/>
    <w:pPr>
      <w:pBdr/>
      <w:spacing w:after="0" w:line="240" w:lineRule="auto"/>
      <w:ind/>
    </w:pPr>
    <w:rPr>
      <w:sz w:val="20"/>
      <w:szCs w:val="20"/>
    </w:rPr>
  </w:style>
  <w:style w:type="character" w:styleId="182">
    <w:name w:val="Footnote Text Char"/>
    <w:basedOn w:val="832"/>
    <w:link w:val="181"/>
    <w:uiPriority w:val="99"/>
    <w:semiHidden/>
    <w:pPr>
      <w:pBdr/>
      <w:spacing/>
      <w:ind/>
    </w:pPr>
    <w:rPr>
      <w:sz w:val="20"/>
      <w:szCs w:val="20"/>
    </w:rPr>
  </w:style>
  <w:style w:type="character" w:styleId="183">
    <w:name w:val="footnote reference"/>
    <w:basedOn w:val="832"/>
    <w:uiPriority w:val="99"/>
    <w:semiHidden/>
    <w:unhideWhenUsed/>
    <w:pPr>
      <w:pBdr/>
      <w:spacing/>
      <w:ind/>
    </w:pPr>
    <w:rPr>
      <w:vertAlign w:val="superscript"/>
    </w:rPr>
  </w:style>
  <w:style w:type="paragraph" w:styleId="184">
    <w:name w:val="endnote text"/>
    <w:basedOn w:val="822"/>
    <w:link w:val="185"/>
    <w:uiPriority w:val="99"/>
    <w:semiHidden/>
    <w:unhideWhenUsed/>
    <w:pPr>
      <w:pBdr/>
      <w:spacing w:after="0" w:line="240" w:lineRule="auto"/>
      <w:ind/>
    </w:pPr>
    <w:rPr>
      <w:sz w:val="20"/>
      <w:szCs w:val="20"/>
    </w:rPr>
  </w:style>
  <w:style w:type="character" w:styleId="185">
    <w:name w:val="Endnote Text Char"/>
    <w:basedOn w:val="832"/>
    <w:link w:val="184"/>
    <w:uiPriority w:val="99"/>
    <w:semiHidden/>
    <w:pPr>
      <w:pBdr/>
      <w:spacing/>
      <w:ind/>
    </w:pPr>
    <w:rPr>
      <w:sz w:val="20"/>
      <w:szCs w:val="20"/>
    </w:rPr>
  </w:style>
  <w:style w:type="character" w:styleId="186">
    <w:name w:val="endnote reference"/>
    <w:basedOn w:val="832"/>
    <w:uiPriority w:val="99"/>
    <w:semiHidden/>
    <w:unhideWhenUsed/>
    <w:pPr>
      <w:pBdr/>
      <w:spacing/>
      <w:ind/>
    </w:pPr>
    <w:rPr>
      <w:vertAlign w:val="superscript"/>
    </w:rPr>
  </w:style>
  <w:style w:type="character" w:styleId="188">
    <w:name w:val="FollowedHyperlink"/>
    <w:basedOn w:val="832"/>
    <w:uiPriority w:val="99"/>
    <w:semiHidden/>
    <w:unhideWhenUsed/>
    <w:pPr>
      <w:pBdr/>
      <w:spacing/>
      <w:ind/>
    </w:pPr>
    <w:rPr>
      <w:color w:val="954f72" w:themeColor="followedHyperlink"/>
      <w:u w:val="single"/>
    </w:rPr>
  </w:style>
  <w:style w:type="paragraph" w:styleId="189">
    <w:name w:val="toc 1"/>
    <w:basedOn w:val="822"/>
    <w:next w:val="822"/>
    <w:uiPriority w:val="39"/>
    <w:unhideWhenUsed/>
    <w:pPr>
      <w:pBdr/>
      <w:spacing w:after="100"/>
      <w:ind/>
    </w:pPr>
  </w:style>
  <w:style w:type="paragraph" w:styleId="190">
    <w:name w:val="toc 2"/>
    <w:basedOn w:val="822"/>
    <w:next w:val="822"/>
    <w:uiPriority w:val="39"/>
    <w:unhideWhenUsed/>
    <w:pPr>
      <w:pBdr/>
      <w:spacing w:after="100"/>
      <w:ind w:left="220"/>
    </w:pPr>
  </w:style>
  <w:style w:type="paragraph" w:styleId="191">
    <w:name w:val="toc 3"/>
    <w:basedOn w:val="822"/>
    <w:next w:val="822"/>
    <w:uiPriority w:val="39"/>
    <w:unhideWhenUsed/>
    <w:pPr>
      <w:pBdr/>
      <w:spacing w:after="100"/>
      <w:ind w:left="440"/>
    </w:pPr>
  </w:style>
  <w:style w:type="paragraph" w:styleId="192">
    <w:name w:val="toc 4"/>
    <w:basedOn w:val="822"/>
    <w:next w:val="822"/>
    <w:uiPriority w:val="39"/>
    <w:unhideWhenUsed/>
    <w:pPr>
      <w:pBdr/>
      <w:spacing w:after="100"/>
      <w:ind w:left="660"/>
    </w:pPr>
  </w:style>
  <w:style w:type="paragraph" w:styleId="193">
    <w:name w:val="toc 5"/>
    <w:basedOn w:val="822"/>
    <w:next w:val="822"/>
    <w:uiPriority w:val="39"/>
    <w:unhideWhenUsed/>
    <w:pPr>
      <w:pBdr/>
      <w:spacing w:after="100"/>
      <w:ind w:left="880"/>
    </w:pPr>
  </w:style>
  <w:style w:type="paragraph" w:styleId="194">
    <w:name w:val="toc 6"/>
    <w:basedOn w:val="822"/>
    <w:next w:val="822"/>
    <w:uiPriority w:val="39"/>
    <w:unhideWhenUsed/>
    <w:pPr>
      <w:pBdr/>
      <w:spacing w:after="100"/>
      <w:ind w:left="1100"/>
    </w:pPr>
  </w:style>
  <w:style w:type="paragraph" w:styleId="195">
    <w:name w:val="toc 7"/>
    <w:basedOn w:val="822"/>
    <w:next w:val="822"/>
    <w:uiPriority w:val="39"/>
    <w:unhideWhenUsed/>
    <w:pPr>
      <w:pBdr/>
      <w:spacing w:after="100"/>
      <w:ind w:left="1320"/>
    </w:pPr>
  </w:style>
  <w:style w:type="paragraph" w:styleId="196">
    <w:name w:val="toc 8"/>
    <w:basedOn w:val="822"/>
    <w:next w:val="822"/>
    <w:uiPriority w:val="39"/>
    <w:unhideWhenUsed/>
    <w:pPr>
      <w:pBdr/>
      <w:spacing w:after="100"/>
      <w:ind w:left="1540"/>
    </w:pPr>
  </w:style>
  <w:style w:type="paragraph" w:styleId="197">
    <w:name w:val="toc 9"/>
    <w:basedOn w:val="822"/>
    <w:next w:val="822"/>
    <w:uiPriority w:val="39"/>
    <w:unhideWhenUsed/>
    <w:pPr>
      <w:pBdr/>
      <w:spacing w:after="100"/>
      <w:ind w:left="1760"/>
    </w:pPr>
  </w:style>
  <w:style w:type="paragraph" w:styleId="208">
    <w:name w:val="TOC Heading"/>
    <w:uiPriority w:val="39"/>
    <w:unhideWhenUsed/>
    <w:pPr>
      <w:pBdr/>
      <w:spacing/>
      <w:ind/>
    </w:pPr>
  </w:style>
  <w:style w:type="paragraph" w:styleId="209">
    <w:name w:val="table of figures"/>
    <w:basedOn w:val="822"/>
    <w:next w:val="822"/>
    <w:uiPriority w:val="99"/>
    <w:unhideWhenUsed/>
    <w:pPr>
      <w:pBdr/>
      <w:spacing w:after="0" w:afterAutospacing="0"/>
      <w:ind/>
    </w:pPr>
  </w:style>
  <w:style w:type="paragraph" w:styleId="822" w:default="1">
    <w:name w:val="Normal"/>
    <w:qFormat/>
    <w:pPr>
      <w:pBdr/>
      <w:spacing w:after="120" w:line="300" w:lineRule="auto"/>
      <w:ind/>
      <w:contextualSpacing w:val="true"/>
    </w:pPr>
    <w:rPr>
      <w:sz w:val="24"/>
    </w:rPr>
  </w:style>
  <w:style w:type="paragraph" w:styleId="823">
    <w:name w:val="Heading 1"/>
    <w:basedOn w:val="822"/>
    <w:next w:val="822"/>
    <w:link w:val="839"/>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824">
    <w:name w:val="Heading 2"/>
    <w:basedOn w:val="822"/>
    <w:next w:val="822"/>
    <w:link w:val="840"/>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825">
    <w:name w:val="Heading 3"/>
    <w:basedOn w:val="822"/>
    <w:next w:val="822"/>
    <w:link w:val="841"/>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826">
    <w:name w:val="Heading 4"/>
    <w:basedOn w:val="822"/>
    <w:next w:val="822"/>
    <w:link w:val="842"/>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827">
    <w:name w:val="Heading 5"/>
    <w:basedOn w:val="822"/>
    <w:next w:val="822"/>
    <w:link w:val="843"/>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828">
    <w:name w:val="Heading 6"/>
    <w:basedOn w:val="822"/>
    <w:next w:val="822"/>
    <w:link w:val="844"/>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829">
    <w:name w:val="Heading 7"/>
    <w:basedOn w:val="822"/>
    <w:next w:val="822"/>
    <w:link w:val="845"/>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830">
    <w:name w:val="Heading 8"/>
    <w:basedOn w:val="822"/>
    <w:next w:val="822"/>
    <w:link w:val="846"/>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831">
    <w:name w:val="Heading 9"/>
    <w:basedOn w:val="822"/>
    <w:next w:val="822"/>
    <w:link w:val="847"/>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832" w:default="1">
    <w:name w:val="Default Paragraph Font"/>
    <w:uiPriority w:val="1"/>
    <w:semiHidden/>
    <w:unhideWhenUsed/>
    <w:pPr>
      <w:pBdr/>
      <w:spacing/>
      <w:ind/>
    </w:pPr>
  </w:style>
  <w:style w:type="table" w:styleId="8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4" w:default="1">
    <w:name w:val="No List"/>
    <w:uiPriority w:val="99"/>
    <w:semiHidden/>
    <w:unhideWhenUsed/>
    <w:pPr>
      <w:pBdr/>
      <w:spacing/>
      <w:ind/>
    </w:pPr>
  </w:style>
  <w:style w:type="paragraph" w:styleId="835" w:customStyle="1">
    <w:name w:val="Style1"/>
    <w:basedOn w:val="822"/>
    <w:link w:val="836"/>
    <w:pPr>
      <w:pBdr>
        <w:top w:val="single" w:color="4472c4" w:themeColor="accent5" w:sz="4" w:space="1"/>
        <w:bottom w:val="single" w:color="4472c4" w:themeColor="accent5" w:sz="4" w:space="1"/>
      </w:pBdr>
      <w:spacing/>
      <w:ind w:right="851" w:left="851"/>
    </w:pPr>
    <w:rPr>
      <w:i/>
      <w:color w:val="ff0000"/>
    </w:rPr>
  </w:style>
  <w:style w:type="character" w:styleId="836" w:customStyle="1">
    <w:name w:val="Style1 Char"/>
    <w:basedOn w:val="832"/>
    <w:link w:val="835"/>
    <w:pPr>
      <w:pBdr/>
      <w:spacing/>
      <w:ind/>
    </w:pPr>
    <w:rPr>
      <w:i/>
      <w:color w:val="ff0000"/>
    </w:rPr>
  </w:style>
  <w:style w:type="paragraph" w:styleId="837" w:customStyle="1">
    <w:name w:val="Bài tập"/>
    <w:basedOn w:val="822"/>
    <w:next w:val="822"/>
    <w:link w:val="838"/>
    <w:qFormat/>
    <w:pPr>
      <w:numPr>
        <w:numId w:val="3"/>
      </w:numPr>
      <w:pBdr/>
      <w:spacing w:after="0" w:before="240"/>
      <w:ind/>
    </w:pPr>
  </w:style>
  <w:style w:type="character" w:styleId="838" w:customStyle="1">
    <w:name w:val="Bài tập Char"/>
    <w:basedOn w:val="832"/>
    <w:link w:val="837"/>
    <w:pPr>
      <w:pBdr/>
      <w:spacing/>
      <w:ind/>
    </w:pPr>
    <w:rPr>
      <w:sz w:val="24"/>
    </w:rPr>
  </w:style>
  <w:style w:type="character" w:styleId="839" w:customStyle="1">
    <w:name w:val="Heading 1 Char"/>
    <w:basedOn w:val="832"/>
    <w:link w:val="823"/>
    <w:uiPriority w:val="9"/>
    <w:pPr>
      <w:pBdr/>
      <w:spacing/>
      <w:ind/>
    </w:pPr>
    <w:rPr>
      <w:rFonts w:asciiTheme="majorHAnsi" w:hAnsiTheme="majorHAnsi" w:eastAsiaTheme="majorEastAsia" w:cstheme="majorBidi"/>
      <w:color w:val="ed7d31" w:themeColor="accent2"/>
      <w:sz w:val="32"/>
      <w:szCs w:val="32"/>
    </w:rPr>
  </w:style>
  <w:style w:type="character" w:styleId="840" w:customStyle="1">
    <w:name w:val="Heading 2 Char"/>
    <w:basedOn w:val="832"/>
    <w:link w:val="824"/>
    <w:uiPriority w:val="9"/>
    <w:pPr>
      <w:pBdr/>
      <w:spacing/>
      <w:ind/>
    </w:pPr>
    <w:rPr>
      <w:rFonts w:asciiTheme="majorHAnsi" w:hAnsiTheme="majorHAnsi" w:eastAsiaTheme="majorEastAsia" w:cstheme="majorBidi"/>
      <w:color w:val="2e74b5" w:themeColor="accent1" w:themeShade="BF"/>
      <w:sz w:val="26"/>
      <w:szCs w:val="26"/>
    </w:rPr>
  </w:style>
  <w:style w:type="character" w:styleId="841" w:customStyle="1">
    <w:name w:val="Heading 3 Char"/>
    <w:basedOn w:val="832"/>
    <w:link w:val="825"/>
    <w:uiPriority w:val="9"/>
    <w:pPr>
      <w:pBdr/>
      <w:spacing/>
      <w:ind/>
    </w:pPr>
    <w:rPr>
      <w:rFonts w:asciiTheme="majorHAnsi" w:hAnsiTheme="majorHAnsi" w:eastAsiaTheme="majorEastAsia" w:cstheme="majorBidi"/>
      <w:color w:val="1f4d78" w:themeColor="accent1" w:themeShade="7F"/>
      <w:sz w:val="24"/>
      <w:szCs w:val="24"/>
    </w:rPr>
  </w:style>
  <w:style w:type="character" w:styleId="842" w:customStyle="1">
    <w:name w:val="Heading 4 Char"/>
    <w:basedOn w:val="832"/>
    <w:link w:val="826"/>
    <w:uiPriority w:val="9"/>
    <w:semiHidden/>
    <w:pPr>
      <w:pBdr/>
      <w:spacing/>
      <w:ind/>
    </w:pPr>
    <w:rPr>
      <w:rFonts w:asciiTheme="majorHAnsi" w:hAnsiTheme="majorHAnsi" w:eastAsiaTheme="majorEastAsia" w:cstheme="majorBidi"/>
      <w:i/>
      <w:iCs/>
      <w:color w:val="2e74b5" w:themeColor="accent1" w:themeShade="BF"/>
    </w:rPr>
  </w:style>
  <w:style w:type="character" w:styleId="843" w:customStyle="1">
    <w:name w:val="Heading 5 Char"/>
    <w:basedOn w:val="832"/>
    <w:link w:val="827"/>
    <w:uiPriority w:val="9"/>
    <w:semiHidden/>
    <w:pPr>
      <w:pBdr/>
      <w:spacing/>
      <w:ind/>
    </w:pPr>
    <w:rPr>
      <w:rFonts w:asciiTheme="majorHAnsi" w:hAnsiTheme="majorHAnsi" w:eastAsiaTheme="majorEastAsia" w:cstheme="majorBidi"/>
      <w:color w:val="2e74b5" w:themeColor="accent1" w:themeShade="BF"/>
    </w:rPr>
  </w:style>
  <w:style w:type="character" w:styleId="844" w:customStyle="1">
    <w:name w:val="Heading 6 Char"/>
    <w:basedOn w:val="832"/>
    <w:link w:val="828"/>
    <w:uiPriority w:val="9"/>
    <w:semiHidden/>
    <w:pPr>
      <w:pBdr/>
      <w:spacing/>
      <w:ind/>
    </w:pPr>
    <w:rPr>
      <w:rFonts w:asciiTheme="majorHAnsi" w:hAnsiTheme="majorHAnsi" w:eastAsiaTheme="majorEastAsia" w:cstheme="majorBidi"/>
      <w:color w:val="1f4d78" w:themeColor="accent1" w:themeShade="7F"/>
    </w:rPr>
  </w:style>
  <w:style w:type="character" w:styleId="845" w:customStyle="1">
    <w:name w:val="Heading 7 Char"/>
    <w:basedOn w:val="832"/>
    <w:link w:val="829"/>
    <w:uiPriority w:val="9"/>
    <w:semiHidden/>
    <w:pPr>
      <w:pBdr/>
      <w:spacing/>
      <w:ind/>
    </w:pPr>
    <w:rPr>
      <w:rFonts w:asciiTheme="majorHAnsi" w:hAnsiTheme="majorHAnsi" w:eastAsiaTheme="majorEastAsia" w:cstheme="majorBidi"/>
      <w:i/>
      <w:iCs/>
      <w:color w:val="1f4d78" w:themeColor="accent1" w:themeShade="7F"/>
    </w:rPr>
  </w:style>
  <w:style w:type="character" w:styleId="846" w:customStyle="1">
    <w:name w:val="Heading 8 Char"/>
    <w:basedOn w:val="832"/>
    <w:link w:val="830"/>
    <w:uiPriority w:val="9"/>
    <w:semiHidden/>
    <w:pPr>
      <w:pBdr/>
      <w:spacing/>
      <w:ind/>
    </w:pPr>
    <w:rPr>
      <w:rFonts w:asciiTheme="majorHAnsi" w:hAnsiTheme="majorHAnsi" w:eastAsiaTheme="majorEastAsia" w:cstheme="majorBidi"/>
      <w:color w:val="272727" w:themeColor="text1" w:themeTint="D8"/>
      <w:sz w:val="21"/>
      <w:szCs w:val="21"/>
    </w:rPr>
  </w:style>
  <w:style w:type="character" w:styleId="847" w:customStyle="1">
    <w:name w:val="Heading 9 Char"/>
    <w:basedOn w:val="832"/>
    <w:link w:val="831"/>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848">
    <w:name w:val="Title"/>
    <w:basedOn w:val="822"/>
    <w:next w:val="822"/>
    <w:link w:val="849"/>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849" w:customStyle="1">
    <w:name w:val="Title Char"/>
    <w:basedOn w:val="832"/>
    <w:link w:val="848"/>
    <w:uiPriority w:val="10"/>
    <w:pPr>
      <w:pBdr/>
      <w:spacing/>
      <w:ind/>
    </w:pPr>
    <w:rPr>
      <w:rFonts w:ascii="Cambria" w:hAnsi="Cambria" w:eastAsiaTheme="majorEastAsia" w:cstheme="majorBidi"/>
      <w:color w:val="0070c0"/>
      <w:spacing w:val="-10"/>
      <w:sz w:val="48"/>
      <w:szCs w:val="56"/>
    </w:rPr>
  </w:style>
  <w:style w:type="paragraph" w:styleId="850">
    <w:name w:val="Subtitle"/>
    <w:basedOn w:val="822"/>
    <w:next w:val="822"/>
    <w:link w:val="851"/>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851" w:customStyle="1">
    <w:name w:val="Subtitle Char"/>
    <w:basedOn w:val="832"/>
    <w:link w:val="850"/>
    <w:uiPriority w:val="11"/>
    <w:pPr>
      <w:pBdr/>
      <w:spacing/>
      <w:ind/>
    </w:pPr>
    <w:rPr>
      <w:rFonts w:eastAsiaTheme="minorEastAsia"/>
      <w:color w:val="5a5a5a" w:themeColor="text1" w:themeTint="A5"/>
      <w:spacing w:val="15"/>
      <w:sz w:val="40"/>
    </w:rPr>
  </w:style>
  <w:style w:type="character" w:styleId="852">
    <w:name w:val="Emphasis"/>
    <w:basedOn w:val="832"/>
    <w:uiPriority w:val="20"/>
    <w:qFormat/>
    <w:pPr>
      <w:pBdr/>
      <w:spacing/>
      <w:ind/>
    </w:pPr>
    <w:rPr>
      <w:i/>
      <w:iCs/>
      <w:color w:val="ff0000"/>
    </w:rPr>
  </w:style>
  <w:style w:type="paragraph" w:styleId="853">
    <w:name w:val="List Paragraph"/>
    <w:basedOn w:val="822"/>
    <w:uiPriority w:val="34"/>
    <w:qFormat/>
    <w:pPr>
      <w:pBdr/>
      <w:spacing/>
      <w:ind w:left="720"/>
    </w:pPr>
  </w:style>
  <w:style w:type="character" w:styleId="854">
    <w:name w:val="annotation reference"/>
    <w:basedOn w:val="832"/>
    <w:uiPriority w:val="99"/>
    <w:semiHidden/>
    <w:unhideWhenUsed/>
    <w:pPr>
      <w:pBdr/>
      <w:spacing/>
      <w:ind/>
    </w:pPr>
    <w:rPr>
      <w:sz w:val="16"/>
      <w:szCs w:val="16"/>
    </w:rPr>
  </w:style>
  <w:style w:type="paragraph" w:styleId="855">
    <w:name w:val="annotation text"/>
    <w:basedOn w:val="822"/>
    <w:link w:val="856"/>
    <w:uiPriority w:val="99"/>
    <w:semiHidden/>
    <w:unhideWhenUsed/>
    <w:pPr>
      <w:pBdr/>
      <w:spacing w:line="240" w:lineRule="auto"/>
      <w:ind/>
    </w:pPr>
    <w:rPr>
      <w:sz w:val="20"/>
      <w:szCs w:val="20"/>
    </w:rPr>
  </w:style>
  <w:style w:type="character" w:styleId="856" w:customStyle="1">
    <w:name w:val="Comment Text Char"/>
    <w:basedOn w:val="832"/>
    <w:link w:val="855"/>
    <w:uiPriority w:val="99"/>
    <w:semiHidden/>
    <w:pPr>
      <w:pBdr/>
      <w:spacing/>
      <w:ind/>
    </w:pPr>
    <w:rPr>
      <w:sz w:val="20"/>
      <w:szCs w:val="20"/>
    </w:rPr>
  </w:style>
  <w:style w:type="paragraph" w:styleId="857">
    <w:name w:val="annotation subject"/>
    <w:basedOn w:val="855"/>
    <w:next w:val="855"/>
    <w:link w:val="858"/>
    <w:uiPriority w:val="99"/>
    <w:semiHidden/>
    <w:unhideWhenUsed/>
    <w:pPr>
      <w:pBdr/>
      <w:spacing/>
      <w:ind/>
    </w:pPr>
    <w:rPr>
      <w:b/>
      <w:bCs/>
    </w:rPr>
  </w:style>
  <w:style w:type="character" w:styleId="858" w:customStyle="1">
    <w:name w:val="Comment Subject Char"/>
    <w:basedOn w:val="856"/>
    <w:link w:val="857"/>
    <w:uiPriority w:val="99"/>
    <w:semiHidden/>
    <w:pPr>
      <w:pBdr/>
      <w:spacing/>
      <w:ind/>
    </w:pPr>
    <w:rPr>
      <w:b/>
      <w:bCs/>
      <w:sz w:val="20"/>
      <w:szCs w:val="20"/>
    </w:rPr>
  </w:style>
  <w:style w:type="paragraph" w:styleId="859">
    <w:name w:val="Balloon Text"/>
    <w:basedOn w:val="822"/>
    <w:link w:val="860"/>
    <w:uiPriority w:val="99"/>
    <w:semiHidden/>
    <w:unhideWhenUsed/>
    <w:pPr>
      <w:pBdr/>
      <w:spacing w:after="0" w:line="240" w:lineRule="auto"/>
      <w:ind/>
    </w:pPr>
    <w:rPr>
      <w:rFonts w:ascii="Segoe UI" w:hAnsi="Segoe UI" w:cs="Segoe UI"/>
      <w:sz w:val="18"/>
      <w:szCs w:val="18"/>
    </w:rPr>
  </w:style>
  <w:style w:type="character" w:styleId="860" w:customStyle="1">
    <w:name w:val="Balloon Text Char"/>
    <w:basedOn w:val="832"/>
    <w:link w:val="859"/>
    <w:uiPriority w:val="99"/>
    <w:semiHidden/>
    <w:pPr>
      <w:pBdr/>
      <w:spacing/>
      <w:ind/>
    </w:pPr>
    <w:rPr>
      <w:rFonts w:ascii="Segoe UI" w:hAnsi="Segoe UI" w:cs="Segoe UI"/>
      <w:sz w:val="18"/>
      <w:szCs w:val="18"/>
    </w:rPr>
  </w:style>
  <w:style w:type="paragraph" w:styleId="861">
    <w:name w:val="Header"/>
    <w:basedOn w:val="822"/>
    <w:link w:val="862"/>
    <w:uiPriority w:val="99"/>
    <w:unhideWhenUsed/>
    <w:pPr>
      <w:pBdr/>
      <w:tabs>
        <w:tab w:val="center" w:leader="none" w:pos="4513"/>
        <w:tab w:val="right" w:leader="none" w:pos="9026"/>
      </w:tabs>
      <w:spacing w:after="0" w:line="240" w:lineRule="auto"/>
      <w:ind/>
    </w:pPr>
  </w:style>
  <w:style w:type="character" w:styleId="862" w:customStyle="1">
    <w:name w:val="Header Char"/>
    <w:basedOn w:val="832"/>
    <w:link w:val="861"/>
    <w:uiPriority w:val="99"/>
    <w:pPr>
      <w:pBdr/>
      <w:spacing/>
      <w:ind/>
    </w:pPr>
    <w:rPr>
      <w:sz w:val="24"/>
    </w:rPr>
  </w:style>
  <w:style w:type="paragraph" w:styleId="863">
    <w:name w:val="Footer"/>
    <w:basedOn w:val="822"/>
    <w:link w:val="864"/>
    <w:uiPriority w:val="99"/>
    <w:unhideWhenUsed/>
    <w:pPr>
      <w:pBdr/>
      <w:tabs>
        <w:tab w:val="center" w:leader="none" w:pos="4513"/>
        <w:tab w:val="right" w:leader="none" w:pos="9026"/>
      </w:tabs>
      <w:spacing w:after="0" w:line="240" w:lineRule="auto"/>
      <w:ind/>
    </w:pPr>
  </w:style>
  <w:style w:type="character" w:styleId="864" w:customStyle="1">
    <w:name w:val="Footer Char"/>
    <w:basedOn w:val="832"/>
    <w:link w:val="863"/>
    <w:uiPriority w:val="99"/>
    <w:pPr>
      <w:pBdr/>
      <w:spacing/>
      <w:ind/>
    </w:pPr>
    <w:rPr>
      <w:sz w:val="24"/>
    </w:rPr>
  </w:style>
  <w:style w:type="paragraph" w:styleId="865">
    <w:name w:val="Caption"/>
    <w:basedOn w:val="822"/>
    <w:next w:val="822"/>
    <w:uiPriority w:val="35"/>
    <w:unhideWhenUsed/>
    <w:qFormat/>
    <w:pPr>
      <w:pBdr/>
      <w:spacing w:after="200" w:line="240" w:lineRule="auto"/>
      <w:ind/>
      <w:jc w:val="center"/>
    </w:pPr>
    <w:rPr>
      <w:i/>
      <w:iCs/>
      <w:color w:val="44546a" w:themeColor="text2"/>
      <w:sz w:val="18"/>
      <w:szCs w:val="18"/>
    </w:rPr>
  </w:style>
  <w:style w:type="character" w:styleId="866">
    <w:name w:val="Placeholder Text"/>
    <w:basedOn w:val="832"/>
    <w:uiPriority w:val="99"/>
    <w:semiHidden/>
    <w:pPr>
      <w:pBdr/>
      <w:spacing/>
      <w:ind/>
    </w:pPr>
    <w:rPr>
      <w:color w:val="808080"/>
    </w:rPr>
  </w:style>
  <w:style w:type="table" w:styleId="867">
    <w:name w:val="Table Grid"/>
    <w:basedOn w:val="83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8">
    <w:name w:val="Hyperlink"/>
    <w:basedOn w:val="832"/>
    <w:uiPriority w:val="99"/>
    <w:unhideWhenUsed/>
    <w:pPr>
      <w:pBdr/>
      <w:spacing/>
      <w:ind/>
    </w:pPr>
    <w:rPr>
      <w:color w:val="0563c1" w:themeColor="hyperlink"/>
      <w:u w:val="single"/>
    </w:rPr>
  </w:style>
  <w:style w:type="paragraph" w:styleId="869">
    <w:name w:val="Normal (Web)"/>
    <w:basedOn w:val="822"/>
    <w:uiPriority w:val="99"/>
    <w:semiHidden/>
    <w:unhideWhenUsed/>
    <w:pPr>
      <w:pBdr/>
      <w:spacing w:after="100" w:afterAutospacing="1" w:before="100" w:beforeAutospacing="1" w:line="240" w:lineRule="auto"/>
      <w:ind/>
      <w:contextualSpacing w:val="false"/>
    </w:pPr>
    <w:rPr>
      <w:rFonts w:ascii="Times New Roman" w:hAnsi="Times New Roman" w:eastAsia="Times New Roman" w:cs="Times New Roman"/>
      <w:szCs w:val="24"/>
      <w:lang w:val="en-US" w:eastAsia="en-US"/>
    </w:rPr>
  </w:style>
  <w:style w:type="character" w:styleId="870">
    <w:name w:val="Unresolved Mention"/>
    <w:basedOn w:val="83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24</cp:revision>
  <dcterms:created xsi:type="dcterms:W3CDTF">2026-04-06T05:37:00Z</dcterms:created>
  <dcterms:modified xsi:type="dcterms:W3CDTF">2026-04-13T08:55:16Z</dcterms:modified>
</cp:coreProperties>
</file>