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19FD069" w14:textId="77777777">
      <w:pPr>
        <w:pStyle w:val="1012"/>
        <w:pBdr/>
        <w:spacing w:line="276" w:lineRule="auto"/>
        <w:ind/>
        <w:rPr>
          <w:rFonts w:ascii="IBM Plex Serif" w:hAnsi="IBM Plex Serif" w:cs="IBM Plex Serif"/>
          <w:sz w:val="40"/>
          <w:szCs w:val="40"/>
        </w:rPr>
      </w:pPr>
      <w:r>
        <w:rPr>
          <w:rFonts w:ascii="IBM Plex Serif" w:hAnsi="IBM Plex Serif" w:eastAsia="IBM Plex Serif" w:cs="IBM Plex Serif"/>
          <w:sz w:val="40"/>
          <w:szCs w:val="40"/>
          <w:lang w:val="en-US"/>
        </w:rPr>
        <w:t xml:space="preserve">Natural Language Processing</w:t>
      </w:r>
      <w:r>
        <w:rPr>
          <w:rFonts w:ascii="IBM Plex Serif" w:hAnsi="IBM Plex Serif" w:eastAsia="IBM Plex Serif" w:cs="IBM Plex Serif"/>
          <w:sz w:val="40"/>
          <w:szCs w:val="40"/>
          <w:lang w:val="en-US"/>
        </w:rPr>
        <w:t xml:space="preserve"> (AI</w:t>
      </w:r>
      <w:r>
        <w:rPr>
          <w:rFonts w:ascii="IBM Plex Serif" w:hAnsi="IBM Plex Serif" w:eastAsia="IBM Plex Serif" w:cs="IBM Plex Serif"/>
          <w:sz w:val="40"/>
          <w:szCs w:val="40"/>
          <w:lang w:val="en-US"/>
        </w:rPr>
        <w:t xml:space="preserve">408</w:t>
      </w:r>
      <w:r>
        <w:rPr>
          <w:rFonts w:ascii="IBM Plex Serif" w:hAnsi="IBM Plex Serif" w:eastAsia="IBM Plex Serif" w:cs="IBM Plex Serif"/>
          <w:sz w:val="40"/>
          <w:szCs w:val="40"/>
          <w:lang w:val="en-US"/>
        </w:rPr>
        <w:t xml:space="preserve">DV01)</w:t>
      </w:r>
      <w:r>
        <w:rPr>
          <w:rFonts w:ascii="IBM Plex Serif" w:hAnsi="IBM Plex Serif" w:eastAsia="IBM Plex Serif" w:cs="IBM Plex Serif"/>
          <w:sz w:val="40"/>
          <w:szCs w:val="40"/>
          <w:lang w:val="en-US"/>
        </w:rPr>
      </w:r>
      <w:r>
        <w:rPr>
          <w:rFonts w:ascii="IBM Plex Serif" w:hAnsi="IBM Plex Serif" w:cs="IBM Plex Serif"/>
          <w:sz w:val="40"/>
          <w:szCs w:val="40"/>
        </w:rPr>
      </w:r>
    </w:p>
    <w:p w14:paraId="7F048EEA" w14:textId="696FA929">
      <w:pPr>
        <w:pStyle w:val="1012"/>
        <w:pBdr/>
        <w:spacing w:line="276" w:lineRule="auto"/>
        <w:ind/>
        <w:rPr>
          <w:rFonts w:ascii="IBM Plex Serif" w:hAnsi="IBM Plex Serif" w:cs="IBM Plex Serif"/>
          <w:sz w:val="40"/>
          <w:szCs w:val="40"/>
        </w:rPr>
      </w:pPr>
      <w:r>
        <w:rPr>
          <w:rFonts w:ascii="IBM Plex Serif" w:hAnsi="IBM Plex Serif" w:eastAsia="IBM Plex Serif" w:cs="IBM Plex Serif"/>
          <w:sz w:val="40"/>
          <w:szCs w:val="40"/>
          <w:lang w:val="en-US"/>
        </w:rPr>
        <w:t xml:space="preserve">Bài tập thực hành cá nhân</w:t>
      </w:r>
      <w:r>
        <w:rPr>
          <w:rFonts w:ascii="IBM Plex Serif" w:hAnsi="IBM Plex Serif" w:eastAsia="IBM Plex Serif" w:cs="IBM Plex Serif"/>
          <w:sz w:val="40"/>
          <w:szCs w:val="40"/>
          <w:lang w:val="en-US"/>
        </w:rPr>
        <w:t xml:space="preserve"> – Tuần 0</w:t>
      </w:r>
      <w:r>
        <w:rPr>
          <w:rFonts w:ascii="IBM Plex Serif" w:hAnsi="IBM Plex Serif" w:eastAsia="IBM Plex Serif" w:cs="IBM Plex Serif"/>
          <w:sz w:val="40"/>
          <w:szCs w:val="40"/>
          <w:lang w:val="en-US"/>
        </w:rPr>
        <w:t xml:space="preserve">6</w:t>
      </w:r>
      <w:r>
        <w:rPr>
          <w:rFonts w:ascii="IBM Plex Serif" w:hAnsi="IBM Plex Serif" w:eastAsia="IBM Plex Serif" w:cs="IBM Plex Serif"/>
          <w:sz w:val="40"/>
          <w:szCs w:val="40"/>
          <w:lang w:val="en-US"/>
        </w:rPr>
      </w:r>
      <w:r>
        <w:rPr>
          <w:rFonts w:ascii="IBM Plex Serif" w:hAnsi="IBM Plex Serif" w:cs="IBM Plex Serif"/>
          <w:sz w:val="40"/>
          <w:szCs w:val="40"/>
        </w:rPr>
      </w:r>
    </w:p>
    <w:tbl>
      <w:tblPr>
        <w:tblStyle w:val="1031"/>
        <w:tblW w:w="5000" w:type="pct"/>
        <w:tblBorders/>
        <w:tblLayout w:type="fixed"/>
        <w:tblLook w:val="04A0" w:firstRow="1" w:lastRow="0" w:firstColumn="1" w:lastColumn="0" w:noHBand="0" w:noVBand="1"/>
      </w:tblPr>
      <w:tblGrid>
        <w:gridCol w:w="2670"/>
        <w:gridCol w:w="6356"/>
      </w:tblGrid>
      <w:tr>
        <w:trPr/>
        <w:tc>
          <w:tcPr>
            <w:tcBorders/>
            <w:tcW w:w="2670" w:type="dxa"/>
          </w:tcPr>
          <w:p w14:paraId="5E82A682" w14:textId="12497A81">
            <w:pPr>
              <w:pBdr/>
              <w:spacing/>
              <w:ind/>
              <w:rPr>
                <w:rFonts w:ascii="IBM Plex Serif" w:hAnsi="IBM Plex Serif" w:cs="IBM Plex Serif"/>
                <w:b/>
                <w:bCs/>
              </w:rPr>
            </w:pPr>
            <w:r>
              <w:rPr>
                <w:rFonts w:ascii="IBM Plex Serif" w:hAnsi="IBM Plex Serif" w:eastAsia="IBM Plex Serif" w:cs="IBM Plex Serif"/>
                <w:b/>
                <w:bCs/>
              </w:rPr>
              <w:t xml:space="preserve">Name</w:t>
            </w:r>
            <w:r>
              <w:rPr>
                <w:rFonts w:ascii="IBM Plex Serif" w:hAnsi="IBM Plex Serif" w:eastAsia="IBM Plex Serif" w:cs="IBM Plex Serif"/>
                <w:b/>
                <w:bCs/>
                <w:lang w:val="en-US"/>
              </w:rPr>
              <w:t xml:space="preserve">:</w:t>
            </w:r>
            <w:r>
              <w:rPr>
                <w:rFonts w:ascii="IBM Plex Serif" w:hAnsi="IBM Plex Serif" w:eastAsia="IBM Plex Serif" w:cs="IBM Plex Serif"/>
                <w:b/>
                <w:bCs/>
                <w:lang w:val="en-US"/>
              </w:rPr>
            </w:r>
            <w:r>
              <w:rPr>
                <w:rFonts w:ascii="IBM Plex Serif" w:hAnsi="IBM Plex Serif" w:cs="IBM Plex Serif"/>
                <w:b/>
                <w:bCs/>
              </w:rPr>
            </w:r>
          </w:p>
        </w:tc>
        <w:tc>
          <w:tcPr>
            <w:tcBorders/>
            <w:tcW w:w="6356" w:type="dxa"/>
          </w:tcPr>
          <w:p w14:paraId="553ABCCD" w14:textId="77777777">
            <w:pPr>
              <w:pBdr/>
              <w:spacing/>
              <w:ind/>
              <w:rPr>
                <w:rFonts w:ascii="IBM Plex Serif" w:hAnsi="IBM Plex Serif" w:cs="IBM Plex Serif"/>
                <w:b w:val="0"/>
                <w:bCs w:val="0"/>
              </w:rPr>
            </w:pPr>
            <w:r>
              <w:rPr>
                <w:rFonts w:ascii="IBM Plex Serif" w:hAnsi="IBM Plex Serif" w:eastAsia="IBM Plex Serif" w:cs="IBM Plex Serif"/>
                <w:b w:val="0"/>
                <w:bCs w:val="0"/>
              </w:rPr>
              <w:t xml:space="preserve">Nguyễn</w:t>
            </w:r>
            <w:r>
              <w:rPr>
                <w:rFonts w:ascii="IBM Plex Serif" w:hAnsi="IBM Plex Serif" w:eastAsia="IBM Plex Serif" w:cs="IBM Plex Serif"/>
                <w:b w:val="0"/>
                <w:bCs w:val="0"/>
                <w:lang w:val="en-US"/>
              </w:rPr>
              <w:t xml:space="preserve"> </w:t>
            </w:r>
            <w:r>
              <w:rPr>
                <w:rFonts w:ascii="IBM Plex Serif" w:hAnsi="IBM Plex Serif" w:eastAsia="IBM Plex Serif" w:cs="IBM Plex Serif"/>
                <w:b w:val="0"/>
                <w:bCs w:val="0"/>
                <w:lang w:val="en-US"/>
              </w:rPr>
              <w:t xml:space="preserve">Phúc </w:t>
            </w:r>
            <w:r>
              <w:rPr>
                <w:rFonts w:ascii="IBM Plex Serif" w:hAnsi="IBM Plex Serif" w:eastAsia="IBM Plex Serif" w:cs="IBM Plex Serif"/>
                <w:b w:val="0"/>
                <w:bCs w:val="0"/>
                <w:lang w:val="en-US"/>
              </w:rPr>
              <w:t xml:space="preserve">Minh </w:t>
            </w:r>
            <w:r>
              <w:rPr>
                <w:rFonts w:ascii="IBM Plex Serif" w:hAnsi="IBM Plex Serif" w:eastAsia="IBM Plex Serif" w:cs="IBM Plex Serif"/>
                <w:b w:val="0"/>
                <w:bCs w:val="0"/>
                <w:lang w:val="en-US"/>
              </w:rPr>
              <w:t xml:space="preserve">Ch</w:t>
            </w:r>
            <w:r>
              <w:rPr>
                <w:rFonts w:ascii="IBM Plex Serif" w:hAnsi="IBM Plex Serif" w:eastAsia="IBM Plex Serif" w:cs="IBM Plex Serif"/>
                <w:b w:val="0"/>
                <w:bCs w:val="0"/>
                <w:lang w:val="en-US"/>
              </w:rPr>
              <w:t xml:space="preserve">âu</w:t>
            </w:r>
            <w:r>
              <w:rPr>
                <w:rFonts w:ascii="IBM Plex Serif" w:hAnsi="IBM Plex Serif" w:eastAsia="IBM Plex Serif" w:cs="IBM Plex Serif"/>
                <w:b w:val="0"/>
                <w:bCs w:val="0"/>
              </w:rPr>
            </w:r>
            <w:r>
              <w:rPr>
                <w:rFonts w:ascii="IBM Plex Serif" w:hAnsi="IBM Plex Serif" w:cs="IBM Plex Serif"/>
                <w:b w:val="0"/>
                <w:bCs w:val="0"/>
              </w:rPr>
            </w:r>
          </w:p>
        </w:tc>
      </w:tr>
      <w:tr>
        <w:trPr/>
        <w:tc>
          <w:tcPr>
            <w:tcBorders/>
            <w:tcW w:w="2670" w:type="dxa"/>
          </w:tcPr>
          <w:p w14:paraId="016DA79B" w14:textId="4F26E68C">
            <w:pPr>
              <w:pBdr/>
              <w:spacing/>
              <w:ind w:hanging="360" w:left="360"/>
              <w:rPr>
                <w:rFonts w:ascii="IBM Plex Serif" w:hAnsi="IBM Plex Serif" w:cs="IBM Plex Serif"/>
                <w:b/>
                <w:bCs/>
              </w:rPr>
            </w:pPr>
            <w:r>
              <w:rPr>
                <w:rFonts w:ascii="IBM Plex Serif" w:hAnsi="IBM Plex Serif" w:eastAsia="IBM Plex Serif" w:cs="IBM Plex Serif"/>
                <w:b/>
                <w:bCs/>
              </w:rPr>
              <w:t xml:space="preserve">Student ID</w:t>
            </w:r>
            <w:r>
              <w:rPr>
                <w:rFonts w:ascii="IBM Plex Serif" w:hAnsi="IBM Plex Serif" w:eastAsia="IBM Plex Serif" w:cs="IBM Plex Serif"/>
                <w:b/>
                <w:bCs/>
                <w:lang w:val="en-US"/>
              </w:rPr>
              <w:t xml:space="preserve">:</w:t>
            </w:r>
            <w:r>
              <w:rPr>
                <w:rFonts w:ascii="IBM Plex Serif" w:hAnsi="IBM Plex Serif" w:eastAsia="IBM Plex Serif" w:cs="IBM Plex Serif"/>
                <w:b/>
                <w:bCs/>
                <w:lang w:val="en-US"/>
              </w:rPr>
            </w:r>
            <w:r>
              <w:rPr>
                <w:rFonts w:ascii="IBM Plex Serif" w:hAnsi="IBM Plex Serif" w:cs="IBM Plex Serif"/>
                <w:b/>
                <w:bCs/>
              </w:rPr>
            </w:r>
          </w:p>
        </w:tc>
        <w:tc>
          <w:tcPr>
            <w:tcBorders/>
            <w:tcW w:w="6356" w:type="dxa"/>
          </w:tcPr>
          <w:p w14:paraId="66C38587" w14:textId="77777777">
            <w:pPr>
              <w:pBdr/>
              <w:spacing/>
              <w:ind/>
              <w:rPr>
                <w:rFonts w:ascii="IBM Plex Serif" w:hAnsi="IBM Plex Serif" w:cs="IBM Plex Serif"/>
                <w:b w:val="0"/>
                <w:bCs w:val="0"/>
              </w:rPr>
            </w:pPr>
            <w:r>
              <w:rPr>
                <w:rFonts w:ascii="IBM Plex Serif" w:hAnsi="IBM Plex Serif" w:eastAsia="IBM Plex Serif" w:cs="IBM Plex Serif"/>
                <w:b w:val="0"/>
                <w:bCs w:val="0"/>
              </w:rPr>
              <w:t xml:space="preserve">22302421</w:t>
            </w:r>
            <w:r>
              <w:rPr>
                <w:rFonts w:ascii="IBM Plex Serif" w:hAnsi="IBM Plex Serif" w:eastAsia="IBM Plex Serif" w:cs="IBM Plex Serif"/>
                <w:b w:val="0"/>
                <w:bCs w:val="0"/>
              </w:rPr>
            </w:r>
            <w:r>
              <w:rPr>
                <w:rFonts w:ascii="IBM Plex Serif" w:hAnsi="IBM Plex Serif" w:cs="IBM Plex Serif"/>
                <w:b w:val="0"/>
                <w:bCs w:val="0"/>
              </w:rPr>
            </w:r>
          </w:p>
        </w:tc>
      </w:tr>
      <w:tr>
        <w:trPr/>
        <w:tc>
          <w:tcPr>
            <w:tcBorders/>
            <w:tcW w:w="2670" w:type="dxa"/>
          </w:tcPr>
          <w:p w14:paraId="237AA542" w14:textId="68D78A2A">
            <w:pPr>
              <w:pBdr/>
              <w:spacing/>
              <w:ind/>
              <w:rPr>
                <w:rFonts w:ascii="IBM Plex Serif" w:hAnsi="IBM Plex Serif" w:cs="IBM Plex Serif"/>
                <w:b/>
                <w:bCs/>
              </w:rPr>
            </w:pPr>
            <w:r>
              <w:rPr>
                <w:rFonts w:ascii="IBM Plex Serif" w:hAnsi="IBM Plex Serif" w:eastAsia="IBM Plex Serif" w:cs="IBM Plex Serif"/>
                <w:b/>
                <w:bCs/>
              </w:rPr>
              <w:t xml:space="preserve">Deadline:</w:t>
            </w:r>
            <w:r>
              <w:rPr>
                <w:rFonts w:ascii="IBM Plex Serif" w:hAnsi="IBM Plex Serif" w:eastAsia="IBM Plex Serif" w:cs="IBM Plex Serif"/>
                <w:b/>
                <w:bCs/>
              </w:rPr>
            </w:r>
            <w:r>
              <w:rPr>
                <w:rFonts w:ascii="IBM Plex Serif" w:hAnsi="IBM Plex Serif" w:cs="IBM Plex Serif"/>
                <w:b/>
                <w:bCs/>
              </w:rPr>
            </w:r>
          </w:p>
        </w:tc>
        <w:tc>
          <w:tcPr>
            <w:tcBorders/>
            <w:tcW w:w="6356" w:type="dxa"/>
          </w:tcPr>
          <w:p w14:paraId="332287B4" w14:textId="71B31A49">
            <w:pPr>
              <w:pBdr/>
              <w:spacing/>
              <w:ind/>
              <w:rPr>
                <w:rFonts w:ascii="IBM Plex Serif" w:hAnsi="IBM Plex Serif" w:cs="IBM Plex Serif"/>
                <w:b w:val="0"/>
                <w:bCs w:val="0"/>
              </w:rPr>
            </w:pPr>
            <w:r>
              <w:rPr>
                <w:rFonts w:ascii="IBM Plex Serif" w:hAnsi="IBM Plex Serif" w:eastAsia="IBM Plex Serif" w:cs="IBM Plex Serif"/>
                <w:b w:val="0"/>
                <w:bCs w:val="0"/>
              </w:rPr>
              <w:t xml:space="preserve">20</w:t>
            </w:r>
            <w:r>
              <w:rPr>
                <w:rFonts w:ascii="IBM Plex Serif" w:hAnsi="IBM Plex Serif" w:eastAsia="IBM Plex Serif" w:cs="IBM Plex Serif"/>
                <w:b w:val="0"/>
                <w:bCs w:val="0"/>
                <w:lang w:val="en-US"/>
              </w:rPr>
              <w:t xml:space="preserve">/</w:t>
            </w:r>
            <w:r>
              <w:rPr>
                <w:rFonts w:ascii="IBM Plex Serif" w:hAnsi="IBM Plex Serif" w:eastAsia="IBM Plex Serif" w:cs="IBM Plex Serif"/>
                <w:b w:val="0"/>
                <w:bCs w:val="0"/>
                <w:lang w:val="en-US"/>
              </w:rPr>
              <w:t xml:space="preserve">04/</w:t>
            </w:r>
            <w:r>
              <w:rPr>
                <w:rFonts w:ascii="IBM Plex Serif" w:hAnsi="IBM Plex Serif" w:eastAsia="IBM Plex Serif" w:cs="IBM Plex Serif"/>
                <w:b w:val="0"/>
                <w:bCs w:val="0"/>
                <w:lang w:val="en-US"/>
              </w:rPr>
              <w:t xml:space="preserve">2026 - </w:t>
            </w:r>
            <w:r>
              <w:rPr>
                <w:rFonts w:ascii="IBM Plex Serif" w:hAnsi="IBM Plex Serif" w:eastAsia="IBM Plex Serif" w:cs="IBM Plex Serif"/>
                <w:b w:val="0"/>
                <w:bCs w:val="0"/>
                <w:lang w:val="en-US"/>
              </w:rPr>
              <w:t xml:space="preserve">27/</w:t>
            </w:r>
            <w:r>
              <w:rPr>
                <w:rFonts w:ascii="IBM Plex Serif" w:hAnsi="IBM Plex Serif" w:eastAsia="IBM Plex Serif" w:cs="IBM Plex Serif"/>
                <w:b w:val="0"/>
                <w:bCs w:val="0"/>
                <w:lang w:val="en-US"/>
              </w:rPr>
              <w:t xml:space="preserve">04/</w:t>
            </w:r>
            <w:r>
              <w:rPr>
                <w:rFonts w:ascii="IBM Plex Serif" w:hAnsi="IBM Plex Serif" w:eastAsia="IBM Plex Serif" w:cs="IBM Plex Serif"/>
                <w:b w:val="0"/>
                <w:bCs w:val="0"/>
                <w:lang w:val="en-US"/>
              </w:rPr>
              <w:t xml:space="preserve">2026</w:t>
            </w:r>
            <w:r>
              <w:rPr>
                <w:rFonts w:ascii="IBM Plex Serif" w:hAnsi="IBM Plex Serif" w:eastAsia="IBM Plex Serif" w:cs="IBM Plex Serif"/>
                <w:b w:val="0"/>
                <w:bCs w:val="0"/>
              </w:rPr>
            </w:r>
            <w:r>
              <w:rPr>
                <w:rFonts w:ascii="IBM Plex Serif" w:hAnsi="IBM Plex Serif" w:cs="IBM Plex Serif"/>
                <w:b w:val="0"/>
                <w:bCs w:val="0"/>
              </w:rPr>
            </w:r>
          </w:p>
        </w:tc>
      </w:tr>
      <w:tr>
        <w:trPr/>
        <w:tc>
          <w:tcPr>
            <w:tcBorders/>
            <w:tcW w:w="2670" w:type="dxa"/>
          </w:tcPr>
          <w:p w14:paraId="3E7B310C" w14:textId="34C08987">
            <w:pPr>
              <w:pBdr/>
              <w:spacing/>
              <w:ind/>
              <w:rPr>
                <w:rFonts w:ascii="IBM Plex Serif" w:hAnsi="IBM Plex Serif" w:cs="IBM Plex Serif"/>
                <w:b/>
                <w:bCs/>
              </w:rPr>
            </w:pPr>
            <w:r>
              <w:rPr>
                <w:rFonts w:ascii="IBM Plex Serif" w:hAnsi="IBM Plex Serif" w:eastAsia="IBM Plex Serif" w:cs="IBM Plex Serif"/>
                <w:b/>
                <w:bCs/>
              </w:rPr>
              <w:t xml:space="preserve">File name format:</w:t>
            </w:r>
            <w:r>
              <w:rPr>
                <w:rFonts w:ascii="IBM Plex Serif" w:hAnsi="IBM Plex Serif" w:eastAsia="IBM Plex Serif" w:cs="IBM Plex Serif"/>
                <w:b/>
                <w:bCs/>
              </w:rPr>
            </w:r>
            <w:r>
              <w:rPr>
                <w:rFonts w:ascii="IBM Plex Serif" w:hAnsi="IBM Plex Serif" w:cs="IBM Plex Serif"/>
                <w:b/>
                <w:bCs/>
              </w:rPr>
            </w:r>
          </w:p>
        </w:tc>
        <w:tc>
          <w:tcPr>
            <w:tcBorders/>
            <w:tcW w:w="6356" w:type="dxa"/>
          </w:tcPr>
          <w:p w14:paraId="171563D7" w14:textId="7EDE43D9">
            <w:pPr>
              <w:pBdr/>
              <w:spacing/>
              <w:ind/>
              <w:rPr>
                <w:rFonts w:ascii="IBM Plex Serif" w:hAnsi="IBM Plex Serif" w:cs="IBM Plex Serif"/>
                <w:b w:val="0"/>
                <w:bCs w:val="0"/>
              </w:rPr>
            </w:pPr>
            <w:r>
              <w:rPr>
                <w:rFonts w:ascii="IBM Plex Serif" w:hAnsi="IBM Plex Serif" w:eastAsia="IBM Plex Serif" w:cs="IBM Plex Serif"/>
                <w:b w:val="0"/>
                <w:bCs w:val="0"/>
              </w:rPr>
              <w:t xml:space="preserve">A</w:t>
            </w:r>
            <w:r>
              <w:rPr>
                <w:rFonts w:ascii="IBM Plex Serif" w:hAnsi="IBM Plex Serif" w:eastAsia="IBM Plex Serif" w:cs="IBM Plex Serif"/>
                <w:b w:val="0"/>
                <w:bCs w:val="0"/>
                <w:lang w:val="en-US"/>
              </w:rPr>
              <w:t xml:space="preserve">I301DV01</w:t>
            </w:r>
            <w:r>
              <w:rPr>
                <w:rFonts w:ascii="IBM Plex Serif" w:hAnsi="IBM Plex Serif" w:eastAsia="IBM Plex Serif" w:cs="IBM Plex Serif"/>
                <w:b w:val="0"/>
                <w:bCs w:val="0"/>
                <w:lang w:val="en-US"/>
              </w:rPr>
              <w:t xml:space="preserve">-</w:t>
            </w:r>
            <w:r>
              <w:rPr>
                <w:rFonts w:ascii="IBM Plex Serif" w:hAnsi="IBM Plex Serif" w:eastAsia="IBM Plex Serif" w:cs="IBM Plex Serif"/>
                <w:b w:val="0"/>
                <w:bCs w:val="0"/>
              </w:rPr>
              <w:t xml:space="preserve">Lab</w:t>
            </w:r>
            <w:r>
              <w:rPr>
                <w:rFonts w:ascii="IBM Plex Serif" w:hAnsi="IBM Plex Serif" w:eastAsia="IBM Plex Serif" w:cs="IBM Plex Serif"/>
                <w:b w:val="0"/>
                <w:bCs w:val="0"/>
              </w:rPr>
              <w:t xml:space="preserve">06</w:t>
            </w:r>
            <w:r>
              <w:rPr>
                <w:rFonts w:ascii="IBM Plex Serif" w:hAnsi="IBM Plex Serif" w:eastAsia="IBM Plex Serif" w:cs="IBM Plex Serif"/>
                <w:b w:val="0"/>
                <w:bCs w:val="0"/>
              </w:rPr>
              <w:t xml:space="preserve">-</w:t>
            </w:r>
            <w:r>
              <w:rPr>
                <w:rFonts w:ascii="IBM Plex Serif" w:hAnsi="IBM Plex Serif" w:eastAsia="IBM Plex Serif" w:cs="IBM Plex Serif"/>
                <w:b w:val="0"/>
                <w:bCs w:val="0"/>
              </w:rPr>
              <w:t xml:space="preserve">22302421</w:t>
            </w:r>
            <w:r>
              <w:rPr>
                <w:rFonts w:ascii="IBM Plex Serif" w:hAnsi="IBM Plex Serif" w:eastAsia="IBM Plex Serif" w:cs="IBM Plex Serif"/>
                <w:b w:val="0"/>
                <w:bCs w:val="0"/>
              </w:rPr>
              <w:t xml:space="preserve">.pdf</w:t>
            </w:r>
            <w:r>
              <w:rPr>
                <w:rFonts w:ascii="IBM Plex Serif" w:hAnsi="IBM Plex Serif" w:eastAsia="IBM Plex Serif" w:cs="IBM Plex Serif"/>
                <w:b w:val="0"/>
                <w:bCs w:val="0"/>
              </w:rPr>
            </w:r>
            <w:r>
              <w:rPr>
                <w:rFonts w:ascii="IBM Plex Serif" w:hAnsi="IBM Plex Serif" w:cs="IBM Plex Serif"/>
                <w:b w:val="0"/>
                <w:bCs w:val="0"/>
              </w:rPr>
            </w:r>
          </w:p>
        </w:tc>
      </w:tr>
    </w:tbl>
    <w:p w14:paraId="27E20FB6" w14:textId="4D364DDD">
      <w:pPr>
        <w:pStyle w:val="987"/>
        <w:pBdr/>
        <w:spacing/>
        <w:ind/>
        <w:rPr>
          <w:rFonts w:ascii="IBM Plex Serif" w:hAnsi="IBM Plex Serif" w:cs="IBM Plex Serif"/>
        </w:rPr>
      </w:pPr>
      <w:r>
        <w:rPr>
          <w:rFonts w:ascii="IBM Plex Serif" w:hAnsi="IBM Plex Serif" w:eastAsia="IBM Plex Serif" w:cs="IBM Plex Serif"/>
          <w:lang w:val="en-US"/>
        </w:rPr>
        <w:t xml:space="preserve">Chuẩn bị</w:t>
      </w:r>
      <w:r>
        <w:rPr>
          <w:rFonts w:ascii="IBM Plex Serif" w:hAnsi="IBM Plex Serif" w:eastAsia="IBM Plex Serif" w:cs="IBM Plex Serif"/>
          <w:lang w:val="en-US"/>
        </w:rPr>
      </w:r>
      <w:r>
        <w:rPr>
          <w:rFonts w:ascii="IBM Plex Serif" w:hAnsi="IBM Plex Serif" w:cs="IBM Plex Serif"/>
        </w:rPr>
      </w:r>
    </w:p>
    <w:p w14:paraId="5B7DB88F" w14:textId="77777777">
      <w:pPr>
        <w:pStyle w:val="1017"/>
        <w:numPr>
          <w:ilvl w:val="0"/>
          <w:numId w:val="4"/>
        </w:numPr>
        <w:pBdr/>
        <w:spacing w:after="0" w:line="240" w:lineRule="auto"/>
        <w:ind/>
        <w:rPr>
          <w:rFonts w:ascii="IBM Plex Serif" w:hAnsi="IBM Plex Serif" w:cs="IBM Plex Serif"/>
        </w:rPr>
      </w:pPr>
      <w:r>
        <w:rPr>
          <w:rFonts w:ascii="IBM Plex Serif" w:hAnsi="IBM Plex Serif" w:eastAsia="IBM Plex Serif" w:cs="IBM Plex Serif"/>
          <w:lang w:val="en-US"/>
        </w:rPr>
        <w:t xml:space="preserve">Đọc kỹ </w:t>
      </w:r>
      <w:r>
        <w:rPr>
          <w:rFonts w:ascii="IBM Plex Serif" w:hAnsi="IBM Plex Serif" w:eastAsia="IBM Plex Serif" w:cs="IBM Plex Serif"/>
          <w:lang w:val="en-US"/>
        </w:rPr>
        <w:t xml:space="preserve">file/</w:t>
      </w:r>
      <w:r>
        <w:rPr>
          <w:rFonts w:ascii="IBM Plex Serif" w:hAnsi="IBM Plex Serif" w:eastAsia="IBM Plex Serif" w:cs="IBM Plex Serif"/>
          <w:lang w:val="en-US"/>
        </w:rPr>
        <w:t xml:space="preserve">slide bài giảng</w:t>
      </w:r>
      <w:r>
        <w:rPr>
          <w:rFonts w:ascii="IBM Plex Serif" w:hAnsi="IBM Plex Serif" w:eastAsia="IBM Plex Serif" w:cs="IBM Plex Serif"/>
          <w:lang w:val="en-US"/>
        </w:rPr>
        <w:t xml:space="preserve"> </w:t>
      </w:r>
      <w:r>
        <w:rPr>
          <w:rFonts w:ascii="IBM Plex Serif" w:hAnsi="IBM Plex Serif" w:eastAsia="IBM Plex Serif" w:cs="IBM Plex Serif"/>
          <w:lang w:val="en-US"/>
        </w:rPr>
        <w:t xml:space="preserve">N-gram Language Models, Embeddings</w:t>
      </w:r>
      <w:r>
        <w:rPr>
          <w:rFonts w:ascii="IBM Plex Serif" w:hAnsi="IBM Plex Serif" w:eastAsia="IBM Plex Serif" w:cs="IBM Plex Serif"/>
          <w:lang w:val="en-US"/>
        </w:rPr>
      </w:r>
      <w:r>
        <w:rPr>
          <w:rFonts w:ascii="IBM Plex Serif" w:hAnsi="IBM Plex Serif" w:cs="IBM Plex Serif"/>
        </w:rPr>
      </w:r>
    </w:p>
    <w:p w14:paraId="46E3E484" w14:textId="3A6BFAB5">
      <w:pPr>
        <w:pStyle w:val="1017"/>
        <w:numPr>
          <w:ilvl w:val="0"/>
          <w:numId w:val="4"/>
        </w:numPr>
        <w:pBdr/>
        <w:spacing w:after="0" w:line="240" w:lineRule="auto"/>
        <w:ind/>
        <w:rPr>
          <w:rFonts w:ascii="IBM Plex Serif" w:hAnsi="IBM Plex Serif" w:cs="IBM Plex Serif"/>
        </w:rPr>
      </w:pPr>
      <w:r>
        <w:rPr>
          <w:rFonts w:ascii="IBM Plex Serif" w:hAnsi="IBM Plex Serif" w:eastAsia="IBM Plex Serif" w:cs="IBM Plex Serif" w:eastAsiaTheme="minorEastAsia"/>
          <w:color w:val="034ea2"/>
          <w:szCs w:val="24"/>
          <w:lang w:val="en-US" w:eastAsia="en-US"/>
        </w:rPr>
        <w:t xml:space="preserve">[1] </w:t>
      </w:r>
      <w:r>
        <w:rPr>
          <w:rFonts w:ascii="IBM Plex Serif" w:hAnsi="IBM Plex Serif" w:eastAsia="IBM Plex Serif" w:cs="IBM Plex Serif" w:eastAsiaTheme="minorEastAsia"/>
          <w:color w:val="c00000"/>
          <w:szCs w:val="24"/>
          <w:lang w:val="en-US" w:eastAsia="en-US"/>
        </w:rPr>
        <w:t xml:space="preserve">Chapter 3, 5</w:t>
      </w:r>
      <w:r>
        <w:rPr>
          <w:rFonts w:ascii="IBM Plex Serif" w:hAnsi="IBM Plex Serif" w:eastAsia="IBM Plex Serif" w:cs="IBM Plex Serif" w:eastAsiaTheme="minorEastAsia"/>
          <w:color w:val="034ea2"/>
          <w:szCs w:val="24"/>
          <w:lang w:val="en-US" w:eastAsia="en-US"/>
        </w:rPr>
        <w:t xml:space="preserve">. Dan Jurafsky and James H. Martin, </w:t>
      </w:r>
      <w:r>
        <w:rPr>
          <w:rFonts w:ascii="IBM Plex Serif" w:hAnsi="IBM Plex Serif" w:eastAsia="IBM Plex Serif" w:cs="IBM Plex Serif" w:eastAsiaTheme="minorEastAsia"/>
          <w:i/>
          <w:iCs/>
          <w:color w:val="c00000"/>
          <w:szCs w:val="24"/>
          <w:lang w:val="en-US" w:eastAsia="en-US"/>
        </w:rPr>
        <w:t xml:space="preserve">Speech and Language Processing</w:t>
      </w:r>
      <w:r>
        <w:rPr>
          <w:rFonts w:ascii="IBM Plex Serif" w:hAnsi="IBM Plex Serif" w:eastAsia="IBM Plex Serif" w:cs="IBM Plex Serif" w:eastAsiaTheme="minorEastAsia"/>
          <w:color w:val="c00000"/>
          <w:szCs w:val="24"/>
          <w:lang w:val="en-US" w:eastAsia="en-US"/>
        </w:rPr>
        <w:t xml:space="preserve">, 3rd ed</w:t>
      </w:r>
      <w:r>
        <w:rPr>
          <w:rFonts w:ascii="IBM Plex Serif" w:hAnsi="IBM Plex Serif" w:eastAsia="IBM Plex Serif" w:cs="IBM Plex Serif" w:eastAsiaTheme="minorEastAsia"/>
          <w:color w:val="034ea2"/>
          <w:szCs w:val="24"/>
          <w:lang w:val="en-US" w:eastAsia="en-US"/>
        </w:rPr>
        <w:t xml:space="preserve">. Pearson, 2026.</w:t>
      </w:r>
      <w:r>
        <w:rPr>
          <w:rFonts w:ascii="IBM Plex Serif" w:hAnsi="IBM Plex Serif" w:eastAsia="IBM Plex Serif" w:cs="IBM Plex Serif"/>
          <w:lang w:val="en-US"/>
        </w:rPr>
      </w:r>
      <w:r>
        <w:rPr>
          <w:rFonts w:ascii="IBM Plex Serif" w:hAnsi="IBM Plex Serif" w:cs="IBM Plex Serif"/>
        </w:rPr>
      </w:r>
    </w:p>
    <w:p w14:paraId="64424C90" w14:textId="14DEEAD7">
      <w:pPr>
        <w:pStyle w:val="1017"/>
        <w:numPr>
          <w:ilvl w:val="0"/>
          <w:numId w:val="4"/>
        </w:numPr>
        <w:pBdr/>
        <w:spacing w:after="0" w:line="240" w:lineRule="auto"/>
        <w:ind/>
        <w:rPr>
          <w:rFonts w:ascii="IBM Plex Serif" w:hAnsi="IBM Plex Serif" w:cs="IBM Plex Serif"/>
        </w:rPr>
      </w:pPr>
      <w:r>
        <w:rPr>
          <w:rFonts w:ascii="IBM Plex Serif" w:hAnsi="IBM Plex Serif" w:eastAsia="IBM Plex Serif" w:cs="IBM Plex Serif" w:eastAsiaTheme="minorEastAsia"/>
          <w:color w:val="034ea2"/>
          <w:szCs w:val="24"/>
          <w:lang w:val="en-US" w:eastAsia="en-US"/>
        </w:rPr>
        <w:t xml:space="preserve">[3] </w:t>
      </w:r>
      <w:r>
        <w:rPr>
          <w:rFonts w:ascii="IBM Plex Serif" w:hAnsi="IBM Plex Serif" w:eastAsia="IBM Plex Serif" w:cs="IBM Plex Serif" w:eastAsiaTheme="minorEastAsia"/>
          <w:color w:val="c00000"/>
          <w:szCs w:val="24"/>
          <w:lang w:val="en-US" w:eastAsia="en-US"/>
        </w:rPr>
        <w:t xml:space="preserve">Chapter 2</w:t>
      </w:r>
      <w:r>
        <w:rPr>
          <w:rFonts w:ascii="IBM Plex Serif" w:hAnsi="IBM Plex Serif" w:eastAsia="IBM Plex Serif" w:cs="IBM Plex Serif" w:eastAsiaTheme="minorEastAsia"/>
          <w:color w:val="034ea2"/>
          <w:szCs w:val="24"/>
          <w:lang w:val="en-US" w:eastAsia="en-US"/>
        </w:rPr>
        <w:t xml:space="preserve">. Jay Alammar and Maarten Grootendorst, </w:t>
      </w:r>
      <w:r>
        <w:rPr>
          <w:rFonts w:ascii="IBM Plex Serif" w:hAnsi="IBM Plex Serif" w:eastAsia="IBM Plex Serif" w:cs="IBM Plex Serif" w:eastAsiaTheme="minorEastAsia"/>
          <w:i/>
          <w:iCs/>
          <w:color w:val="c00000"/>
          <w:szCs w:val="24"/>
          <w:lang w:val="en-US" w:eastAsia="en-US"/>
        </w:rPr>
        <w:t xml:space="preserve">Hands-On Large Language Models</w:t>
      </w:r>
      <w:r>
        <w:rPr>
          <w:rFonts w:ascii="IBM Plex Serif" w:hAnsi="IBM Plex Serif" w:eastAsia="IBM Plex Serif" w:cs="IBM Plex Serif" w:eastAsiaTheme="minorEastAsia"/>
          <w:color w:val="034ea2"/>
          <w:szCs w:val="24"/>
          <w:lang w:val="en-US" w:eastAsia="en-US"/>
        </w:rPr>
        <w:t xml:space="preserve">. O’Reilly, 2024.</w:t>
      </w:r>
      <w:r>
        <w:rPr>
          <w:rFonts w:ascii="IBM Plex Serif" w:hAnsi="IBM Plex Serif" w:eastAsia="IBM Plex Serif" w:cs="IBM Plex Serif"/>
          <w:lang w:val="en-US"/>
        </w:rPr>
      </w:r>
      <w:r>
        <w:rPr>
          <w:rFonts w:ascii="IBM Plex Serif" w:hAnsi="IBM Plex Serif" w:cs="IBM Plex Serif"/>
        </w:rPr>
      </w:r>
    </w:p>
    <w:p w14:paraId="48C7ABEA" w14:textId="4F5AAA41">
      <w:pPr>
        <w:pStyle w:val="1017"/>
        <w:numPr>
          <w:ilvl w:val="0"/>
          <w:numId w:val="4"/>
        </w:numPr>
        <w:pBdr/>
        <w:spacing w:after="0" w:line="240" w:lineRule="auto"/>
        <w:ind/>
        <w:rPr>
          <w:rFonts w:ascii="IBM Plex Serif" w:hAnsi="IBM Plex Serif" w:cs="IBM Plex Serif"/>
        </w:rPr>
      </w:pPr>
      <w:r>
        <w:rPr>
          <w:rFonts w:ascii="IBM Plex Serif" w:hAnsi="IBM Plex Serif" w:eastAsia="IBM Plex Serif" w:cs="IBM Plex Serif" w:eastAsiaTheme="minorEastAsia"/>
          <w:color w:val="034ea2"/>
          <w:szCs w:val="24"/>
          <w:lang w:val="en-US" w:eastAsia="en-US"/>
        </w:rPr>
        <w:t xml:space="preserve">[5] </w:t>
      </w:r>
      <w:r>
        <w:rPr>
          <w:rFonts w:ascii="IBM Plex Serif" w:hAnsi="IBM Plex Serif" w:eastAsia="IBM Plex Serif" w:cs="IBM Plex Serif" w:eastAsiaTheme="minorEastAsia"/>
          <w:color w:val="c00000"/>
          <w:szCs w:val="24"/>
          <w:lang w:val="en-US" w:eastAsia="en-US"/>
        </w:rPr>
        <w:t xml:space="preserve">Chapter 3</w:t>
      </w:r>
      <w:r>
        <w:rPr>
          <w:rFonts w:ascii="IBM Plex Serif" w:hAnsi="IBM Plex Serif" w:eastAsia="IBM Plex Serif" w:cs="IBM Plex Serif" w:eastAsiaTheme="minorEastAsia"/>
          <w:color w:val="034ea2"/>
          <w:szCs w:val="24"/>
          <w:lang w:val="en-US" w:eastAsia="en-US"/>
        </w:rPr>
        <w:t xml:space="preserve">. Lewis Tunstall, Leandro von Werra, Thomas Wolf, and Aurélien Géron, </w:t>
      </w:r>
      <w:r>
        <w:rPr>
          <w:rFonts w:ascii="IBM Plex Serif" w:hAnsi="IBM Plex Serif" w:eastAsia="IBM Plex Serif" w:cs="IBM Plex Serif" w:eastAsiaTheme="minorEastAsia"/>
          <w:i/>
          <w:iCs/>
          <w:color w:val="c00000"/>
          <w:szCs w:val="24"/>
          <w:lang w:val="en-US" w:eastAsia="en-US"/>
        </w:rPr>
        <w:t xml:space="preserve">Natural Language Processing with Transformers, Revised edition</w:t>
      </w:r>
      <w:r>
        <w:rPr>
          <w:rFonts w:ascii="IBM Plex Serif" w:hAnsi="IBM Plex Serif" w:eastAsia="IBM Plex Serif" w:cs="IBM Plex Serif" w:eastAsiaTheme="minorEastAsia"/>
          <w:color w:val="034ea2"/>
          <w:szCs w:val="24"/>
          <w:lang w:val="en-US" w:eastAsia="en-US"/>
        </w:rPr>
        <w:t xml:space="preserve">. O’Reilly, 2022.</w:t>
      </w:r>
      <w:r>
        <w:rPr>
          <w:rFonts w:ascii="IBM Plex Serif" w:hAnsi="IBM Plex Serif" w:eastAsia="IBM Plex Serif" w:cs="IBM Plex Serif"/>
          <w:lang w:val="en-US"/>
        </w:rPr>
      </w:r>
      <w:r>
        <w:rPr>
          <w:rFonts w:ascii="IBM Plex Serif" w:hAnsi="IBM Plex Serif" w:cs="IBM Plex Serif"/>
        </w:rPr>
      </w:r>
    </w:p>
    <w:p w14:paraId="1536F717" w14:textId="3942A1CE">
      <w:pPr>
        <w:pStyle w:val="987"/>
        <w:pBdr/>
        <w:spacing/>
        <w:ind/>
        <w:rPr>
          <w:rFonts w:ascii="IBM Plex Serif" w:hAnsi="IBM Plex Serif" w:cs="IBM Plex Serif"/>
        </w:rPr>
      </w:pPr>
      <w:r>
        <w:rPr>
          <w:rFonts w:ascii="IBM Plex Serif" w:hAnsi="IBM Plex Serif" w:eastAsia="IBM Plex Serif" w:cs="IBM Plex Serif"/>
          <w:lang w:val="en-US"/>
        </w:rPr>
        <w:t xml:space="preserve">Câu hỏi lý thuyế</w:t>
      </w:r>
      <w:r>
        <w:rPr>
          <w:rFonts w:ascii="IBM Plex Serif" w:hAnsi="IBM Plex Serif" w:eastAsia="IBM Plex Serif" w:cs="IBM Plex Serif"/>
          <w:lang w:val="en-US"/>
        </w:rPr>
        <w:t xml:space="preserve">t</w:t>
      </w:r>
      <w:r>
        <w:rPr>
          <w:rFonts w:ascii="IBM Plex Serif" w:hAnsi="IBM Plex Serif" w:eastAsia="IBM Plex Serif" w:cs="IBM Plex Serif"/>
          <w:lang w:val="en-US"/>
        </w:rPr>
      </w:r>
      <w:r>
        <w:rPr>
          <w:rFonts w:ascii="IBM Plex Serif" w:hAnsi="IBM Plex Serif" w:cs="IBM Plex Serif"/>
        </w:rPr>
      </w:r>
    </w:p>
    <w:p w14:paraId="0E0344EB" w14:textId="3A9EF3EE">
      <w:pPr>
        <w:pStyle w:val="1001"/>
        <w:pBdr/>
        <w:spacing/>
        <w:ind/>
        <w:rPr>
          <w:rFonts w:ascii="IBM Plex Serif" w:hAnsi="IBM Plex Serif" w:cs="IBM Plex Serif"/>
        </w:rPr>
      </w:pPr>
      <w:r>
        <w:rPr>
          <w:rFonts w:ascii="IBM Plex Serif" w:hAnsi="IBM Plex Serif" w:eastAsia="IBM Plex Serif" w:cs="IBM Plex Serif"/>
          <w:lang w:val="en-US"/>
        </w:rPr>
      </w:r>
      <w:r>
        <w:rPr>
          <w:rFonts w:ascii="IBM Plex Serif" w:hAnsi="IBM Plex Serif" w:eastAsia="IBM Plex Serif" w:cs="IBM Plex Serif"/>
          <w:lang w:val="en-US"/>
        </w:rPr>
      </w:r>
      <w:r>
        <w:rPr>
          <w:rFonts w:ascii="IBM Plex Serif" w:hAnsi="IBM Plex Serif" w:cs="IBM Plex Serif"/>
        </w:rPr>
      </w:r>
    </w:p>
    <w:p w14:paraId="74D131BF" w14:textId="5DA8E2FB">
      <w:pPr>
        <w:pStyle w:val="1017"/>
        <w:numPr>
          <w:ilvl w:val="0"/>
          <w:numId w:val="26"/>
        </w:numPr>
        <w:pBdr/>
        <w:spacing w:line="240" w:lineRule="auto"/>
        <w:ind/>
        <w:rPr>
          <w:rFonts w:ascii="IBM Plex Serif" w:hAnsi="IBM Plex Serif" w:cs="IBM Plex Serif"/>
        </w:rPr>
      </w:pPr>
      <w:r>
        <w:rPr>
          <w:rFonts w:ascii="IBM Plex Serif" w:hAnsi="IBM Plex Serif" w:eastAsia="IBM Plex Serif" w:cs="IBM Plex Serif"/>
          <w:lang w:val="en-US"/>
        </w:rPr>
        <w:t xml:space="preserve">Trình bày phương pháp Word2</w:t>
      </w:r>
      <w:r>
        <w:rPr>
          <w:rFonts w:ascii="IBM Plex Serif" w:hAnsi="IBM Plex Serif" w:eastAsia="IBM Plex Serif" w:cs="IBM Plex Serif"/>
          <w:lang w:val="en-US"/>
        </w:rPr>
        <w:t xml:space="preserve">v</w:t>
      </w:r>
      <w:r>
        <w:rPr>
          <w:rFonts w:ascii="IBM Plex Serif" w:hAnsi="IBM Plex Serif" w:eastAsia="IBM Plex Serif" w:cs="IBM Plex Serif"/>
          <w:lang w:val="en-US"/>
        </w:rPr>
        <w:t xml:space="preserve">ec</w:t>
      </w:r>
      <w:r>
        <w:rPr>
          <w:rFonts w:ascii="IBM Plex Serif" w:hAnsi="IBM Plex Serif" w:eastAsia="IBM Plex Serif" w:cs="IBM Plex Serif"/>
          <w:lang w:val="en-US"/>
        </w:rPr>
        <w:t xml:space="preserve"> embeddings.</w:t>
      </w:r>
      <w:r>
        <w:rPr>
          <w:rFonts w:ascii="IBM Plex Serif" w:hAnsi="IBM Plex Serif" w:cs="IBM Plex Serif"/>
        </w:rPr>
      </w:r>
      <w:r>
        <w:rPr>
          <w:rFonts w:ascii="IBM Plex Serif" w:hAnsi="IBM Plex Serif" w:cs="IBM Plex Serif"/>
        </w:rPr>
      </w:r>
    </w:p>
    <w:p w14:paraId="7A8068EB">
      <w:pPr>
        <w:pBdr/>
        <w:spacing w:line="240" w:lineRule="auto"/>
        <w:ind w:firstLine="720" w:left="0"/>
        <w:rPr>
          <w:rFonts w:ascii="IBM Plex Serif" w:hAnsi="IBM Plex Serif" w:eastAsia="IBM Plex Serif" w:cs="IBM Plex Serif"/>
          <w:highlight w:val="none"/>
          <w:lang w:val="en-US"/>
        </w:rPr>
      </w:pPr>
      <w:r>
        <w:rPr>
          <w:rFonts w:ascii="IBM Plex Serif" w:hAnsi="IBM Plex Serif" w:eastAsia="IBM Plex Serif" w:cs="IBM Plex Serif"/>
          <w:highlight w:val="none"/>
          <w:lang w:val="en-US"/>
        </w:rPr>
        <w:t xml:space="preserve">Word2vec là một phương pháp biểu diễn ngôn ngữ được công bố vào năm 2013 bởi Tomas Mikolov và các cộng sự tại Google. Word2vec cho phép chuyển đổi các từ thành các vector số thực dày đặc (dense vectors) mang ý nghĩa, ngữ nghĩa.</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p>
    <w:p w14:paraId="2A3CDD39">
      <w:pPr>
        <w:pBdr/>
        <w:spacing w:line="240" w:lineRule="auto"/>
        <w:ind w:firstLine="720" w:left="0"/>
        <w:rPr>
          <w:rFonts w:ascii="IBM Plex Serif" w:hAnsi="IBM Plex Serif" w:eastAsia="IBM Plex Serif" w:cs="IBM Plex Serif"/>
          <w:highlight w:val="none"/>
          <w:lang w:val="en-US"/>
        </w:rPr>
      </w:pP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t xml:space="preserve">W</w:t>
      </w:r>
      <w:r>
        <w:rPr>
          <w:rFonts w:ascii="IBM Plex Serif" w:hAnsi="IBM Plex Serif" w:eastAsia="IBM Plex Serif" w:cs="IBM Plex Serif"/>
          <w:highlight w:val="none"/>
          <w:lang w:val="en-US"/>
        </w:rPr>
        <w:t xml:space="preserve">ord2vec dựa trên giả thuyết phân bố (distributional hypothesis): các từ xuất hiện trong những bối cảnh tương tự nhau thường sẽ có ý nghĩa gần nhau. Mục tiêu của Word2vec là học các biểu diễn từ tĩnh (static embeddings) sao cho các từ có liên quan về mặt ng</w:t>
      </w:r>
      <w:r>
        <w:rPr>
          <w:rFonts w:ascii="IBM Plex Serif" w:hAnsi="IBM Plex Serif" w:eastAsia="IBM Plex Serif" w:cs="IBM Plex Serif"/>
          <w:highlight w:val="none"/>
          <w:lang w:val="en-US"/>
        </w:rPr>
        <w:t xml:space="preserve">ữ nghĩa sẽ nằm gần nhau trong không gian vector đa chiều. </w:t>
      </w:r>
      <w:r>
        <w:rPr>
          <w:rFonts w:ascii="IBM Plex Serif" w:hAnsi="IBM Plex Serif" w:eastAsia="IBM Plex Serif" w:cs="IBM Plex Serif"/>
          <w:highlight w:val="none"/>
          <w:lang w:val="en-US"/>
        </w:rPr>
        <w:t xml:space="preserve">G</w:t>
      </w:r>
      <w:r>
        <w:rPr>
          <w:rFonts w:ascii="IBM Plex Serif" w:hAnsi="IBM Plex Serif" w:eastAsia="IBM Plex Serif" w:cs="IBM Plex Serif"/>
          <w:highlight w:val="none"/>
          <w:lang w:val="en-US"/>
        </w:rPr>
        <w:t xml:space="preserve">ồm hai thuật toán huấn luyện chính:</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p>
    <w:p w14:paraId="65CB773E">
      <w:pPr>
        <w:pStyle w:val="1017"/>
        <w:numPr>
          <w:ilvl w:val="0"/>
          <w:numId w:val="27"/>
        </w:numPr>
        <w:pBdr/>
        <w:spacing w:line="240" w:lineRule="auto"/>
        <w:ind/>
        <w:rPr>
          <w:rFonts w:ascii="IBM Plex Serif" w:hAnsi="IBM Plex Serif" w:eastAsia="IBM Plex Serif" w:cs="IBM Plex Serif"/>
          <w:highlight w:val="none"/>
          <w:lang w:val="en-US"/>
        </w:rPr>
      </w:pP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t xml:space="preserve">Skip-gram: Dự báo các từ bối cảnh (context words) xung quanh dựa trên một từ mục tiêu (target word) cho trước.</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p>
    <w:p w14:paraId="74410C3F">
      <w:pPr>
        <w:pStyle w:val="1017"/>
        <w:numPr>
          <w:ilvl w:val="0"/>
          <w:numId w:val="27"/>
        </w:numPr>
        <w:pBdr/>
        <w:spacing w:line="240" w:lineRule="auto"/>
        <w:ind/>
        <w:rPr>
          <w:rFonts w:ascii="IBM Plex Serif" w:hAnsi="IBM Plex Serif" w:eastAsia="IBM Plex Serif" w:cs="IBM Plex Serif"/>
          <w:highlight w:val="none"/>
          <w:lang w:val="en-US"/>
        </w:rPr>
      </w:pP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t xml:space="preserve">CBOW (Continuous Bag-of-Words): Ngược lại với Skip-gram, nó dự báo từ mục tiêu dựa trên các từ bối cảnh xung quanh.</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p>
    <w:p w14:paraId="440A4211">
      <w:pPr>
        <w:pBdr/>
        <w:spacing w:line="240" w:lineRule="auto"/>
        <w:ind w:firstLine="720" w:left="0"/>
        <w:rPr>
          <w:rFonts w:ascii="IBM Plex Serif" w:hAnsi="IBM Plex Serif" w:eastAsia="IBM Plex Serif" w:cs="IBM Plex Serif"/>
          <w:highlight w:val="none"/>
          <w:lang w:val="en-US"/>
        </w:rPr>
      </w:pPr>
      <w:r>
        <w:rPr>
          <w:rFonts w:ascii="IBM Plex Serif" w:hAnsi="IBM Plex Serif" w:eastAsia="IBM Plex Serif" w:cs="IBM Plex Serif"/>
          <w:highlight w:val="none"/>
          <w:lang w:val="en-US"/>
        </w:rPr>
        <w:t xml:space="preserve">Thuật toán Skip-gram kết hợp với kỹ thuật Lấy mẫu tiêu cực (Negative Sampling) để tối ưu hóa hiệu suất huấn luyện:</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p>
    <w:p w14:paraId="57BA3B42">
      <w:pPr>
        <w:pStyle w:val="1017"/>
        <w:numPr>
          <w:ilvl w:val="0"/>
          <w:numId w:val="28"/>
        </w:numPr>
        <w:pBdr/>
        <w:spacing w:line="240" w:lineRule="auto"/>
        <w:ind/>
        <w:rPr>
          <w:rFonts w:ascii="IBM Plex Serif" w:hAnsi="IBM Plex Serif" w:eastAsia="IBM Plex Serif" w:cs="IBM Plex Serif"/>
          <w:highlight w:val="none"/>
          <w:lang w:val="en-US"/>
        </w:rPr>
      </w:pPr>
      <w:r>
        <w:rPr>
          <w:rFonts w:ascii="IBM Plex Serif" w:hAnsi="IBM Plex Serif" w:eastAsia="IBM Plex Serif" w:cs="IBM Plex Serif"/>
          <w:highlight w:val="none"/>
          <w:lang w:val="en-US"/>
        </w:rPr>
      </w:r>
      <w:r>
        <w:rPr>
          <w:rFonts w:ascii="IBM Plex Serif" w:hAnsi="IBM Plex Serif" w:eastAsia="IBM Plex Serif" w:cs="IBM Plex Serif"/>
          <w:b/>
          <w:bCs/>
          <w:highlight w:val="none"/>
          <w:lang w:val="en-US"/>
        </w:rPr>
        <w:t xml:space="preserve">Chuyển đổi bài toán</w:t>
      </w:r>
      <w:r>
        <w:rPr>
          <w:rFonts w:ascii="IBM Plex Serif" w:hAnsi="IBM Plex Serif" w:eastAsia="IBM Plex Serif" w:cs="IBM Plex Serif"/>
          <w:highlight w:val="none"/>
          <w:lang w:val="en-US"/>
        </w:rPr>
        <w:t xml:space="preserve">: Thay vì dự báo xác suất của từ tiếp theo trong toàn bộ từ điển (vốn rất tốn kém chi phí tính toán), Word2vec chuyển đổi thành bài toán phân loại nhị phân: "Liệu hai từ này có phải là hàng xóm của nhau trong văn bản hay không?".</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p>
    <w:p w14:paraId="6D26D9DB">
      <w:pPr>
        <w:pStyle w:val="1017"/>
        <w:numPr>
          <w:ilvl w:val="0"/>
          <w:numId w:val="28"/>
        </w:numPr>
        <w:pBdr/>
        <w:spacing w:line="240" w:lineRule="auto"/>
        <w:ind/>
        <w:rPr>
          <w:rFonts w:ascii="IBM Plex Serif" w:hAnsi="IBM Plex Serif" w:eastAsia="IBM Plex Serif" w:cs="IBM Plex Serif"/>
          <w:highlight w:val="none"/>
          <w:lang w:val="en-US"/>
        </w:rPr>
      </w:pPr>
      <w:r>
        <w:rPr>
          <w:rFonts w:ascii="IBM Plex Serif" w:hAnsi="IBM Plex Serif" w:eastAsia="IBM Plex Serif" w:cs="IBM Plex Serif"/>
          <w:highlight w:val="none"/>
          <w:lang w:val="en-US"/>
        </w:rPr>
      </w:r>
      <w:r>
        <w:rPr>
          <w:rFonts w:ascii="IBM Plex Serif" w:hAnsi="IBM Plex Serif" w:eastAsia="IBM Plex Serif" w:cs="IBM Plex Serif"/>
          <w:b/>
          <w:bCs/>
          <w:highlight w:val="none"/>
          <w:lang w:val="en-US"/>
        </w:rPr>
        <w:t xml:space="preserve">Ví dụ tích cực (Positive examples):</w:t>
      </w:r>
      <w:r>
        <w:rPr>
          <w:rFonts w:ascii="IBM Plex Serif" w:hAnsi="IBM Plex Serif" w:eastAsia="IBM Plex Serif" w:cs="IBM Plex Serif"/>
          <w:highlight w:val="none"/>
          <w:lang w:val="en-US"/>
        </w:rPr>
        <w:t xml:space="preserve"> Là các cặp từ thực sự xuất hiện gần nhau trong một cửa sổ trượt (sliding window) nhất định (ví dụ: cửa sổ kích thước ±2 đến ±10 từ).</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p>
    <w:p w14:paraId="375C965D">
      <w:pPr>
        <w:pStyle w:val="1017"/>
        <w:numPr>
          <w:ilvl w:val="0"/>
          <w:numId w:val="28"/>
        </w:numPr>
        <w:pBdr/>
        <w:spacing w:line="240" w:lineRule="auto"/>
        <w:ind/>
        <w:rPr>
          <w:rFonts w:ascii="IBM Plex Serif" w:hAnsi="IBM Plex Serif" w:eastAsia="IBM Plex Serif" w:cs="IBM Plex Serif"/>
          <w:highlight w:val="none"/>
          <w:lang w:val="en-US"/>
        </w:rPr>
      </w:pPr>
      <w:r>
        <w:rPr>
          <w:rFonts w:ascii="IBM Plex Serif" w:hAnsi="IBM Plex Serif" w:eastAsia="IBM Plex Serif" w:cs="IBM Plex Serif"/>
          <w:highlight w:val="none"/>
          <w:lang w:val="en-US"/>
        </w:rPr>
      </w:r>
      <w:r>
        <w:rPr>
          <w:rFonts w:ascii="IBM Plex Serif" w:hAnsi="IBM Plex Serif" w:eastAsia="IBM Plex Serif" w:cs="IBM Plex Serif"/>
          <w:b/>
          <w:bCs/>
          <w:highlight w:val="none"/>
          <w:lang w:val="en-US"/>
        </w:rPr>
        <w:t xml:space="preserve">Ví dụ tiêu cực (Negative examples):</w:t>
      </w:r>
      <w:r>
        <w:rPr>
          <w:rFonts w:ascii="IBM Plex Serif" w:hAnsi="IBM Plex Serif" w:eastAsia="IBM Plex Serif" w:cs="IBM Plex Serif"/>
          <w:highlight w:val="none"/>
          <w:lang w:val="en-US"/>
        </w:rPr>
        <w:t xml:space="preserve"> Là các cặp từ được tạo ra bằng cách ghép từ mục tiêu với các từ được chọn ngẫu nhiên từ từ điển mà không xuất hiện trong bối cảnh thực tế của nó.</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p>
    <w:p w14:paraId="08532279">
      <w:pPr>
        <w:pStyle w:val="1017"/>
        <w:numPr>
          <w:ilvl w:val="0"/>
          <w:numId w:val="28"/>
        </w:numPr>
        <w:pBdr/>
        <w:spacing w:line="240" w:lineRule="auto"/>
        <w:ind/>
        <w:rPr>
          <w:rFonts w:ascii="IBM Plex Serif" w:hAnsi="IBM Plex Serif" w:eastAsia="IBM Plex Serif" w:cs="IBM Plex Serif"/>
          <w:highlight w:val="none"/>
          <w:lang w:val="en-US"/>
        </w:rPr>
      </w:pPr>
      <w:r>
        <w:rPr>
          <w:rFonts w:ascii="IBM Plex Serif" w:hAnsi="IBM Plex Serif" w:eastAsia="IBM Plex Serif" w:cs="IBM Plex Serif"/>
          <w:highlight w:val="none"/>
          <w:lang w:val="en-US"/>
        </w:rPr>
      </w:r>
      <w:r>
        <w:rPr>
          <w:rFonts w:ascii="IBM Plex Serif" w:hAnsi="IBM Plex Serif" w:eastAsia="IBM Plex Serif" w:cs="IBM Plex Serif"/>
          <w:b/>
          <w:bCs/>
          <w:highlight w:val="none"/>
          <w:lang w:val="en-US"/>
        </w:rPr>
        <w:t xml:space="preserve">Hàm mất mát và Tối ưu hóa:</w:t>
      </w:r>
      <w:r>
        <w:rPr>
          <w:rFonts w:ascii="IBM Plex Serif" w:hAnsi="IBM Plex Serif" w:eastAsia="IBM Plex Serif" w:cs="IBM Plex Serif"/>
          <w:highlight w:val="none"/>
          <w:lang w:val="en-US"/>
        </w:rPr>
        <w:t xml:space="preserve"> Mô hình sử dụng hồi quy logistic và hàm sigmoid để tối ưu hóa các trọng số (chính là các vector embedding). Mục tiêu là tối đa hóa tích vô hướng (độ tương đồng) giữa các cặp từ tích cực và tối thiểu hóa tích vô hướng giữa các cặ</w:t>
      </w:r>
      <w:r>
        <w:rPr>
          <w:rFonts w:ascii="IBM Plex Serif" w:hAnsi="IBM Plex Serif" w:eastAsia="IBM Plex Serif" w:cs="IBM Plex Serif"/>
          <w:highlight w:val="none"/>
          <w:lang w:val="en-US"/>
        </w:rPr>
        <w:t xml:space="preserve">p từ mục tiêu với các mẫu tiêu cực. Quá trình này được thực hiện thông qua thuật toán hạ cực trị gradient ngẫu nhiên (Stochastic Gradient Descent).</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p>
    <w:p w14:paraId="5AD4AA08">
      <w:pPr>
        <w:pBdr/>
        <w:spacing w:line="240" w:lineRule="auto"/>
        <w:ind w:firstLine="720" w:left="0"/>
        <w:rPr>
          <w:rFonts w:ascii="IBM Plex Serif" w:hAnsi="IBM Plex Serif" w:eastAsia="IBM Plex Serif" w:cs="IBM Plex Serif"/>
          <w:highlight w:val="none"/>
          <w:lang w:val="en-US"/>
        </w:rPr>
      </w:pPr>
      <w:r>
        <w:rPr>
          <w:rFonts w:ascii="IBM Plex Serif" w:hAnsi="IBM Plex Serif" w:eastAsia="IBM Plex Serif" w:cs="IBM Plex Serif"/>
          <w:highlight w:val="none"/>
          <w:lang w:val="en-US"/>
        </w:rPr>
        <w:t xml:space="preserve">Các vector Word2vec có kích thước cố định và dày đặc thường có từ 50 đến 1000 chiều, trong đó mỗi chiều là một số thực (khác với biểu diễn thưa - sparse representation như Bag-of-Words). </w:t>
      </w:r>
      <w:r>
        <w:rPr>
          <w:rFonts w:ascii="IBM Plex Serif" w:hAnsi="IBM Plex Serif" w:eastAsia="IBM Plex Serif" w:cs="IBM Plex Serif"/>
          <w:highlight w:val="none"/>
          <w:lang w:val="en-US"/>
        </w:rPr>
        <w:t xml:space="preserve">Mỗi từ trong từ điển chỉ có duy nhất một vector đại diện, bất kể nó được dùng trong ngữ cảnh nào (ví dụ: từ "bank" trong "river bank" và "financial bank" sẽ có cùng một vector). </w:t>
      </w:r>
      <w:r>
        <w:rPr>
          <w:rFonts w:ascii="IBM Plex Serif" w:hAnsi="IBM Plex Serif" w:eastAsia="IBM Plex Serif" w:cs="IBM Plex Serif"/>
          <w:highlight w:val="none"/>
          <w:lang w:val="en-US"/>
        </w:rPr>
        <w:t xml:space="preserve">Các vector này có khả năng nắm bắt các mối quan hệ tương quan (analogy). </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p>
    <w:p w14:paraId="10BCE0D2">
      <w:pPr>
        <w:pBdr/>
        <w:spacing w:line="240" w:lineRule="auto"/>
        <w:ind w:firstLine="0" w:left="0"/>
        <w:rPr>
          <w:rFonts w:ascii="IBM Plex Serif" w:hAnsi="IBM Plex Serif" w:eastAsia="IBM Plex Serif" w:cs="IBM Plex Serif"/>
          <w:highlight w:val="none"/>
          <w:lang w:val="en-US"/>
        </w:rPr>
      </w:pPr>
      <w:r>
        <w:rPr>
          <w:rFonts w:ascii="IBM Plex Serif" w:hAnsi="IBM Plex Serif" w:eastAsia="IBM Plex Serif" w:cs="IBM Plex Serif"/>
          <w:highlight w:val="none"/>
          <w:lang w:val="en-US"/>
        </w:rPr>
        <w:t xml:space="preserve">Ví dụ</w:t>
      </w:r>
      <w:r>
        <w:rPr>
          <w:rFonts w:ascii="IBM Plex Serif" w:hAnsi="IBM Plex Serif" w:eastAsia="IBM Plex Serif" w:cs="IBM Plex Serif"/>
          <w:highlight w:val="none"/>
          <w:lang w:val="en-US"/>
        </w:rPr>
        <w:t xml:space="preserve">: </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p>
    <w:p w14:paraId="2DC946E3">
      <w:pPr>
        <w:pBdr/>
        <w:spacing w:line="240" w:lineRule="auto"/>
        <w:ind w:firstLine="720" w:left="0"/>
        <w:jc w:val="center"/>
        <w:rPr>
          <w:rFonts w:ascii="IBM Plex Serif" w:hAnsi="IBM Plex Serif" w:eastAsia="IBM Plex Serif" w:cs="IBM Plex Serif"/>
          <w:b/>
          <w:bCs/>
          <w:highlight w:val="none"/>
          <w:lang w:val="en-US"/>
        </w:rPr>
      </w:pPr>
      <w:r>
        <w:rPr>
          <w:rFonts w:ascii="IBM Plex Serif" w:hAnsi="IBM Plex Serif" w:eastAsia="IBM Plex Serif" w:cs="IBM Plex Serif"/>
          <w:highlight w:val="none"/>
          <w:lang w:val="en-US"/>
        </w:rPr>
      </w:r>
      <w:r>
        <w:rPr>
          <w:rFonts w:ascii="IBM Plex Serif" w:hAnsi="IBM Plex Serif" w:eastAsia="IBM Plex Serif" w:cs="IBM Plex Serif"/>
          <w:b/>
          <w:bCs/>
          <w:sz w:val="24"/>
          <w:szCs w:val="24"/>
          <w:highlight w:val="none"/>
          <w:lang w:val="en-US"/>
        </w:rPr>
        <w:t xml:space="preserve">V</w:t>
      </w:r>
      <w:r>
        <w:rPr>
          <w:rFonts w:ascii="IBM Plex Serif" w:hAnsi="IBM Plex Serif" w:eastAsia="IBM Plex Serif" w:cs="IBM Plex Serif"/>
          <w:b/>
          <w:bCs/>
          <w:sz w:val="24"/>
          <w:szCs w:val="24"/>
          <w:highlight w:val="none"/>
          <w:lang w:val="en-US"/>
        </w:rPr>
        <w:t xml:space="preserve">ector("King") − </w:t>
      </w:r>
      <w:r>
        <w:rPr>
          <w:rFonts w:ascii="IBM Plex Serif" w:hAnsi="IBM Plex Serif" w:eastAsia="IBM Plex Serif" w:cs="IBM Plex Serif"/>
          <w:b/>
          <w:bCs/>
          <w:sz w:val="24"/>
          <w:szCs w:val="24"/>
          <w:highlight w:val="none"/>
          <w:lang w:val="en-US"/>
        </w:rPr>
        <w:t xml:space="preserve">V</w:t>
      </w:r>
      <w:r>
        <w:rPr>
          <w:rFonts w:ascii="IBM Plex Serif" w:hAnsi="IBM Plex Serif" w:eastAsia="IBM Plex Serif" w:cs="IBM Plex Serif"/>
          <w:b/>
          <w:bCs/>
          <w:sz w:val="24"/>
          <w:szCs w:val="24"/>
          <w:highlight w:val="none"/>
          <w:lang w:val="en-US"/>
        </w:rPr>
        <w:t xml:space="preserve">ector("Man") + </w:t>
      </w:r>
      <w:r>
        <w:rPr>
          <w:rFonts w:ascii="IBM Plex Serif" w:hAnsi="IBM Plex Serif" w:eastAsia="IBM Plex Serif" w:cs="IBM Plex Serif"/>
          <w:b/>
          <w:bCs/>
          <w:sz w:val="24"/>
          <w:szCs w:val="24"/>
          <w:highlight w:val="none"/>
          <w:lang w:val="en-US"/>
        </w:rPr>
        <w:t xml:space="preserve">V</w:t>
      </w:r>
      <w:r>
        <w:rPr>
          <w:rFonts w:ascii="IBM Plex Serif" w:hAnsi="IBM Plex Serif" w:eastAsia="IBM Plex Serif" w:cs="IBM Plex Serif"/>
          <w:b/>
          <w:bCs/>
          <w:sz w:val="24"/>
          <w:szCs w:val="24"/>
          <w:highlight w:val="none"/>
          <w:lang w:val="en-US"/>
        </w:rPr>
        <w:t xml:space="preserve">ector("Woman") ≈ </w:t>
      </w:r>
      <w:r>
        <w:rPr>
          <w:rFonts w:ascii="IBM Plex Serif" w:hAnsi="IBM Plex Serif" w:eastAsia="IBM Plex Serif" w:cs="IBM Plex Serif"/>
          <w:b/>
          <w:bCs/>
          <w:sz w:val="24"/>
          <w:szCs w:val="24"/>
          <w:highlight w:val="none"/>
          <w:lang w:val="en-US"/>
        </w:rPr>
        <w:t xml:space="preserve">V</w:t>
      </w:r>
      <w:r>
        <w:rPr>
          <w:rFonts w:ascii="IBM Plex Serif" w:hAnsi="IBM Plex Serif" w:eastAsia="IBM Plex Serif" w:cs="IBM Plex Serif"/>
          <w:b/>
          <w:bCs/>
          <w:sz w:val="24"/>
          <w:szCs w:val="24"/>
          <w:highlight w:val="none"/>
          <w:lang w:val="en-US"/>
        </w:rPr>
        <w:t xml:space="preserve">ector("Queen")</w:t>
      </w:r>
      <w:r>
        <w:rPr>
          <w:rFonts w:ascii="IBM Plex Serif" w:hAnsi="IBM Plex Serif" w:eastAsia="IBM Plex Serif" w:cs="IBM Plex Serif"/>
          <w:highlight w:val="none"/>
          <w:lang w:val="en-US"/>
        </w:rPr>
      </w:r>
      <w:r>
        <w:rPr>
          <w:rFonts w:ascii="IBM Plex Serif" w:hAnsi="IBM Plex Serif" w:eastAsia="IBM Plex Serif" w:cs="IBM Plex Serif"/>
          <w:b/>
          <w:bCs/>
          <w:highlight w:val="none"/>
          <w:lang w:val="en-US"/>
        </w:rPr>
      </w:r>
    </w:p>
    <w:p w14:paraId="2A1ADF2E">
      <w:pPr>
        <w:pBdr/>
        <w:spacing w:line="240" w:lineRule="auto"/>
        <w:ind w:firstLine="720" w:left="0"/>
        <w:jc w:val="left"/>
        <w:rPr>
          <w:rFonts w:ascii="IBM Plex Serif" w:hAnsi="IBM Plex Serif" w:eastAsia="IBM Plex Serif" w:cs="IBM Plex Serif"/>
          <w:highlight w:val="none"/>
          <w:lang w:val="en-US"/>
        </w:rPr>
      </w:pPr>
      <w:r>
        <w:rPr>
          <w:rFonts w:ascii="IBM Plex Serif" w:hAnsi="IBM Plex Serif" w:eastAsia="IBM Plex Serif" w:cs="IBM Plex Serif"/>
          <w:b/>
          <w:bCs/>
          <w:highlight w:val="none"/>
          <w:lang w:val="en-US"/>
        </w:rPr>
      </w:r>
      <w:r>
        <w:rPr>
          <w:rFonts w:ascii="IBM Plex Serif" w:hAnsi="IBM Plex Serif" w:eastAsia="IBM Plex Serif" w:cs="IBM Plex Serif"/>
          <w:highlight w:val="none"/>
          <w:lang w:val="en-US"/>
        </w:rPr>
        <w:t xml:space="preserve">Độ tương đồng giữa hai từ thường được tính bằng độ tương đồng cosine (cosine similarity) của hai vector đại diện.</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p>
    <w:p w14:paraId="72EE7DCB">
      <w:pPr>
        <w:pBdr/>
        <w:spacing w:line="240" w:lineRule="auto"/>
        <w:ind w:firstLine="720" w:left="0"/>
        <w:jc w:val="left"/>
        <w:rPr>
          <w:rFonts w:ascii="IBM Plex Serif" w:hAnsi="IBM Plex Serif" w:eastAsia="IBM Plex Serif" w:cs="IBM Plex Serif"/>
          <w:highlight w:val="none"/>
          <w:lang w:val="en-US"/>
        </w:rPr>
      </w:pP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t xml:space="preserve">Trong nghiên cứu và ứng dụng, Word2vec đóng vai trò </w:t>
      </w:r>
      <w:r>
        <w:rPr>
          <w:rFonts w:ascii="IBM Plex Serif" w:hAnsi="IBM Plex Serif" w:eastAsia="IBM Plex Serif" w:cs="IBM Plex Serif"/>
          <w:highlight w:val="none"/>
          <w:lang w:val="en-US"/>
        </w:rPr>
        <w:t xml:space="preserve">c</w:t>
      </w:r>
      <w:r>
        <w:rPr>
          <w:rFonts w:ascii="IBM Plex Serif" w:hAnsi="IBM Plex Serif" w:eastAsia="IBM Plex Serif" w:cs="IBM Plex Serif"/>
          <w:highlight w:val="none"/>
          <w:lang w:val="en-US"/>
        </w:rPr>
        <w:t xml:space="preserve">ung cấp các đặc trưng (features) cho các tác vụ như phân loại văn bản, phân tích cảm xúc, hoặc gán nhãn từ loại. </w:t>
      </w:r>
      <w:r>
        <w:rPr>
          <w:rFonts w:ascii="IBM Plex Serif" w:hAnsi="IBM Plex Serif" w:eastAsia="IBM Plex Serif" w:cs="IBM Plex Serif"/>
          <w:highlight w:val="none"/>
          <w:lang w:val="en-US"/>
        </w:rPr>
        <w:t xml:space="preserve">Word2vec có thể được áp dụng ngoài lĩnh vực văn bản, chẳng hạn như coi các danh sách bài hát (playlists) như các câu và các bài hát như các từ để xây dựng hệ thống gợi ý âm nhạc dựa trên sự xuất hiện đồng thời.</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p>
    <w:p w14:paraId="555FECB9" w14:textId="77777777">
      <w:pPr>
        <w:pStyle w:val="1001"/>
        <w:pBdr/>
        <w:spacing/>
        <w:ind/>
        <w:rPr>
          <w:rFonts w:ascii="IBM Plex Serif" w:hAnsi="IBM Plex Serif" w:cs="IBM Plex Serif"/>
        </w:rPr>
      </w:pPr>
      <w:r>
        <w:rPr>
          <w:rFonts w:ascii="IBM Plex Serif" w:hAnsi="IBM Plex Serif" w:eastAsia="IBM Plex Serif" w:cs="IBM Plex Serif"/>
          <w:lang w:val="en-US"/>
        </w:rPr>
      </w:r>
      <w:r>
        <w:rPr>
          <w:rFonts w:ascii="IBM Plex Serif" w:hAnsi="IBM Plex Serif" w:eastAsia="IBM Plex Serif" w:cs="IBM Plex Serif"/>
          <w:lang w:val="en-US"/>
        </w:rPr>
      </w:r>
      <w:r>
        <w:rPr>
          <w:rFonts w:ascii="IBM Plex Serif" w:hAnsi="IBM Plex Serif" w:cs="IBM Plex Serif"/>
        </w:rPr>
      </w:r>
    </w:p>
    <w:p w14:paraId="37DFCD50" w14:textId="267FEFA8">
      <w:pPr>
        <w:pStyle w:val="1017"/>
        <w:numPr>
          <w:ilvl w:val="0"/>
          <w:numId w:val="26"/>
        </w:numPr>
        <w:pBdr/>
        <w:spacing/>
        <w:ind/>
        <w:rPr>
          <w:rFonts w:ascii="IBM Plex Serif" w:hAnsi="IBM Plex Serif" w:cs="IBM Plex Serif"/>
        </w:rPr>
      </w:pPr>
      <w:r>
        <w:rPr>
          <w:rFonts w:ascii="IBM Plex Serif" w:hAnsi="IBM Plex Serif" w:eastAsia="IBM Plex Serif" w:cs="IBM Plex Serif"/>
          <w:lang w:val="en-US"/>
        </w:rPr>
        <w:t xml:space="preserve">Trình bày và demo sử dụng embeddings cho hệ thống đề xuất bài hát tự động(</w:t>
      </w:r>
      <w:r>
        <w:rPr>
          <w:rFonts w:ascii="IBM Plex Serif" w:hAnsi="IBM Plex Serif" w:eastAsia="IBM Plex Serif" w:cs="IBM Plex Serif"/>
          <w:lang w:val="en-US"/>
        </w:rPr>
        <w:t xml:space="preserve">Embeddings for </w:t>
      </w:r>
      <w:r>
        <w:rPr>
          <w:rFonts w:ascii="IBM Plex Serif" w:hAnsi="IBM Plex Serif" w:eastAsia="IBM Plex Serif" w:cs="IBM Plex Serif"/>
          <w:lang w:val="en-US"/>
        </w:rPr>
        <w:t xml:space="preserve">Song </w:t>
      </w:r>
      <w:r>
        <w:rPr>
          <w:rFonts w:ascii="IBM Plex Serif" w:hAnsi="IBM Plex Serif" w:eastAsia="IBM Plex Serif" w:cs="IBM Plex Serif"/>
          <w:lang w:val="en-US"/>
        </w:rPr>
        <w:t xml:space="preserve">Recommendation Systems</w:t>
      </w:r>
      <w:r>
        <w:rPr>
          <w:rFonts w:ascii="IBM Plex Serif" w:hAnsi="IBM Plex Serif" w:eastAsia="IBM Plex Serif" w:cs="IBM Plex Serif"/>
          <w:lang w:val="en-US"/>
        </w:rPr>
        <w:t xml:space="preserve">)</w:t>
      </w:r>
      <w:r>
        <w:rPr>
          <w:rFonts w:ascii="IBM Plex Serif" w:hAnsi="IBM Plex Serif" w:eastAsia="IBM Plex Serif" w:cs="IBM Plex Serif"/>
          <w:lang w:val="en-US"/>
        </w:rPr>
      </w:r>
      <w:r>
        <w:rPr>
          <w:rFonts w:ascii="IBM Plex Serif" w:hAnsi="IBM Plex Serif" w:cs="IBM Plex Serif"/>
        </w:rPr>
      </w:r>
    </w:p>
    <w:sectPr>
      <w:headerReference w:type="default" r:id="rId9"/>
      <w:headerReference w:type="even" r:id="rId10"/>
      <w:headerReference w:type="first" r:id="rId11"/>
      <w:footerReference w:type="default" r:id="rId12"/>
      <w:footerReference w:type="even" r:id="rId13"/>
      <w:footerReference w:type="first" r:id="rId14"/>
      <w:footnotePr/>
      <w:endnotePr/>
      <w:type w:val="nextPage"/>
      <w:pgSz w:h="16838" w:orient="portrait" w:w="11906"/>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086206E5" w14:textId="77777777">
      <w:pPr>
        <w:pBdr/>
        <w:spacing w:after="0" w:line="240" w:lineRule="auto"/>
        <w:ind/>
        <w:rPr/>
      </w:pPr>
      <w:r>
        <w:separator/>
      </w:r>
      <w:r/>
    </w:p>
  </w:endnote>
  <w:endnote w:type="continuationSeparator" w:id="0">
    <w:p w14:paraId="61CD6C16"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New">
    <w:panose1 w:val="02070309020205020404"/>
  </w:font>
  <w:font w:name="IBM Plex Serif">
    <w:panose1 w:val="02060503050406000203"/>
  </w:font>
  <w:font w:name="Calibri">
    <w:panose1 w:val="020F0502020204030204"/>
  </w:font>
  <w:font w:name="Wingdings">
    <w:panose1 w:val="05010000000000000000"/>
  </w:font>
  <w:font w:name="Times New Roman">
    <w:panose1 w:val="02020603050405020304"/>
  </w:font>
  <w:font w:name="Segoe UI">
    <w:panose1 w:val="020B0502040504020204"/>
  </w:font>
  <w:font w:name="Cambria">
    <w:panose1 w:val="02040503050406030204"/>
  </w:font>
  <w:font w:name="Arial">
    <w:panose1 w:val="020B060402020202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B9B2D56" w14:textId="4E31C8E3">
    <w:pPr>
      <w:pStyle w:val="1027"/>
      <w:pBdr>
        <w:top w:val="single" w:color="0070c0" w:sz="4" w:space="1"/>
      </w:pBdr>
      <w:spacing/>
      <w:ind/>
      <w:rPr>
        <w:color w:val="0070c0"/>
        <w:sz w:val="22"/>
      </w:rPr>
    </w:pPr>
    <w:r>
      <w:rPr>
        <w:color w:val="0070c0"/>
        <w:sz w:val="22"/>
        <w:lang w:val="en-US"/>
      </w:rPr>
      <w:t xml:space="preserve">Natural Language Processing (NLP)</w:t>
    </w:r>
    <w:r>
      <w:rPr>
        <w:color w:val="0070c0"/>
        <w:sz w:val="22"/>
        <w:lang w:val="en-US"/>
      </w:rPr>
      <w:t xml:space="preserve"> </w:t>
    </w:r>
    <w:r>
      <w:rPr>
        <w:color w:val="0070c0"/>
        <w:sz w:val="22"/>
      </w:rPr>
      <w:t xml:space="preserve">Lab</w:t>
    </w:r>
    <w:r>
      <w:rPr>
        <w:color w:val="0070c0"/>
        <w:sz w:val="22"/>
        <w:lang w:val="en-US"/>
      </w:rPr>
      <w:t xml:space="preserve">Trang </w:t>
    </w:r>
    <w:r>
      <w:rPr>
        <w:color w:val="0070c0"/>
        <w:sz w:val="22"/>
        <w:lang w:val="en-US"/>
      </w:rPr>
      <w:fldChar w:fldCharType="begin"/>
    </w:r>
    <w:r>
      <w:rPr>
        <w:color w:val="0070c0"/>
        <w:sz w:val="22"/>
        <w:lang w:val="en-US"/>
      </w:rPr>
      <w:instrText xml:space="preserve"> PAGE   \* MERGEFORMAT </w:instrText>
    </w:r>
    <w:r>
      <w:rPr>
        <w:color w:val="0070c0"/>
        <w:sz w:val="22"/>
        <w:lang w:val="en-US"/>
      </w:rPr>
      <w:fldChar w:fldCharType="separate"/>
    </w:r>
    <w:r>
      <w:rPr>
        <w:color w:val="0070c0"/>
        <w:sz w:val="22"/>
      </w:rPr>
      <w:t xml:space="preserve">1</w:t>
    </w:r>
    <w:r>
      <w:rPr>
        <w:color w:val="0070c0"/>
        <w:sz w:val="22"/>
        <w:lang w:val="en-US"/>
      </w:rPr>
      <w:fldChar w:fldCharType="end"/>
    </w:r>
    <w:r>
      <w:rPr>
        <w:color w:val="0070c0"/>
        <w:sz w:val="22"/>
        <w:lang w:val="en-US"/>
      </w:rPr>
      <w:t xml:space="preserve">/</w:t>
    </w:r>
    <w:r>
      <w:rPr>
        <w:color w:val="0070c0"/>
        <w:sz w:val="22"/>
        <w:lang w:val="en-US"/>
      </w:rPr>
      <w:fldChar w:fldCharType="begin"/>
    </w:r>
    <w:r>
      <w:rPr>
        <w:color w:val="0070c0"/>
        <w:sz w:val="22"/>
        <w:lang w:val="en-US"/>
      </w:rPr>
      <w:instrText xml:space="preserve"> NUMPAGES   \* MERGEFORMAT </w:instrText>
    </w:r>
    <w:r>
      <w:rPr>
        <w:color w:val="0070c0"/>
        <w:sz w:val="22"/>
        <w:lang w:val="en-US"/>
      </w:rPr>
      <w:fldChar w:fldCharType="separate"/>
    </w:r>
    <w:r>
      <w:rPr>
        <w:color w:val="0070c0"/>
        <w:sz w:val="22"/>
        <w:lang w:val="en-US"/>
      </w:rPr>
      <w:t xml:space="preserve">1</w:t>
    </w:r>
    <w:r>
      <w:rPr>
        <w:color w:val="0070c0"/>
        <w:sz w:val="22"/>
        <w:lang w:val="en-US"/>
      </w:rPr>
      <w:fldChar w:fldCharType="end"/>
    </w:r>
    <w:r>
      <w:rPr>
        <w:color w:val="0070c0"/>
        <w:sz w:val="22"/>
      </w:rPr>
    </w:r>
    <w:r>
      <w:rPr>
        <w:color w:val="0070c0"/>
        <w:sz w:val="22"/>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51CEE33" w14:textId="77777777">
    <w:pPr>
      <w:pStyle w:val="1027"/>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E35A62D" w14:textId="77777777">
    <w:pPr>
      <w:pStyle w:val="1027"/>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1D18A43D" w14:textId="77777777">
      <w:pPr>
        <w:pBdr/>
        <w:spacing w:after="0" w:line="240" w:lineRule="auto"/>
        <w:ind/>
        <w:rPr/>
      </w:pPr>
      <w:r>
        <w:separator/>
      </w:r>
      <w:r/>
    </w:p>
  </w:footnote>
  <w:footnote w:type="continuationSeparator" w:id="0">
    <w:p w14:paraId="15096249"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A777E63" w14:textId="77777777">
    <w:pPr>
      <w:pStyle w:val="1025"/>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A676C99" w14:textId="77777777">
    <w:pPr>
      <w:pStyle w:val="1025"/>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17BFFFB" w14:textId="77777777">
    <w:pPr>
      <w:pStyle w:val="1025"/>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D774EA"/>
    <w:lvl w:ilvl="0">
      <w:isLgl w:val="false"/>
      <w:lvlJc w:val="left"/>
      <w:lvlText w:val=""/>
      <w:numFmt w:val="bullet"/>
      <w:pPr>
        <w:pBdr/>
        <w:tabs>
          <w:tab w:val="num" w:leader="none" w:pos="720"/>
        </w:tabs>
        <w:spacing/>
        <w:ind w:hanging="360" w:left="720"/>
      </w:pPr>
      <w:rPr>
        <w:rFonts w:hint="default" w:ascii="Wingdings" w:hAnsi="Wingdings"/>
      </w:rPr>
      <w:start w:val="1"/>
      <w:suff w:val="tab"/>
    </w:lvl>
    <w:lvl w:ilvl="1">
      <w:isLgl w:val="false"/>
      <w:lvlJc w:val="left"/>
      <w:lvlText w:val=""/>
      <w:numFmt w:val="bullet"/>
      <w:pPr>
        <w:pBdr/>
        <w:tabs>
          <w:tab w:val="num" w:leader="none" w:pos="1440"/>
        </w:tabs>
        <w:spacing/>
        <w:ind w:hanging="360" w:left="1440"/>
      </w:pPr>
      <w:rPr>
        <w:rFonts w:hint="default" w:ascii="Wingdings" w:hAnsi="Wingdings"/>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Wingdings" w:hAnsi="Wingdings"/>
      </w:rPr>
      <w:start w:val="1"/>
      <w:suff w:val="tab"/>
    </w:lvl>
    <w:lvl w:ilvl="4">
      <w:isLgl w:val="false"/>
      <w:lvlJc w:val="left"/>
      <w:lvlText w:val=""/>
      <w:numFmt w:val="bullet"/>
      <w:pPr>
        <w:pBdr/>
        <w:tabs>
          <w:tab w:val="num" w:leader="none" w:pos="3600"/>
        </w:tabs>
        <w:spacing/>
        <w:ind w:hanging="360" w:left="3600"/>
      </w:pPr>
      <w:rPr>
        <w:rFonts w:hint="default" w:ascii="Wingdings" w:hAnsi="Wingdings"/>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Wingdings" w:hAnsi="Wingdings"/>
      </w:rPr>
      <w:start w:val="1"/>
      <w:suff w:val="tab"/>
    </w:lvl>
    <w:lvl w:ilvl="7">
      <w:isLgl w:val="false"/>
      <w:lvlJc w:val="left"/>
      <w:lvlText w:val=""/>
      <w:numFmt w:val="bullet"/>
      <w:pPr>
        <w:pBdr/>
        <w:tabs>
          <w:tab w:val="num" w:leader="none" w:pos="5760"/>
        </w:tabs>
        <w:spacing/>
        <w:ind w:hanging="360" w:left="5760"/>
      </w:pPr>
      <w:rPr>
        <w:rFonts w:hint="default" w:ascii="Wingdings" w:hAnsi="Wingdings"/>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1">
    <w:nsid w:val="13EB5835"/>
    <w:lvl w:ilvl="0">
      <w:isLgl w:val="false"/>
      <w:lvlJc w:val="left"/>
      <w:lvlText w:val=""/>
      <w:numFmt w:val="bullet"/>
      <w:pPr>
        <w:pBdr/>
        <w:tabs>
          <w:tab w:val="num" w:leader="none" w:pos="720"/>
        </w:tabs>
        <w:spacing/>
        <w:ind w:hanging="360" w:left="720"/>
      </w:pPr>
      <w:rPr>
        <w:rFonts w:hint="default" w:ascii="Wingdings" w:hAnsi="Wingdings"/>
      </w:rPr>
      <w:start w:val="1"/>
      <w:suff w:val="tab"/>
    </w:lvl>
    <w:lvl w:ilvl="1">
      <w:isLgl w:val="false"/>
      <w:lvlJc w:val="left"/>
      <w:lvlText w:val=""/>
      <w:numFmt w:val="bullet"/>
      <w:pPr>
        <w:pBdr/>
        <w:tabs>
          <w:tab w:val="num" w:leader="none" w:pos="1440"/>
        </w:tabs>
        <w:spacing/>
        <w:ind w:hanging="360" w:left="1440"/>
      </w:pPr>
      <w:rPr>
        <w:rFonts w:hint="default" w:ascii="Wingdings" w:hAnsi="Wingdings"/>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Wingdings" w:hAnsi="Wingdings"/>
      </w:rPr>
      <w:start w:val="1"/>
      <w:suff w:val="tab"/>
    </w:lvl>
    <w:lvl w:ilvl="4">
      <w:isLgl w:val="false"/>
      <w:lvlJc w:val="left"/>
      <w:lvlText w:val=""/>
      <w:numFmt w:val="bullet"/>
      <w:pPr>
        <w:pBdr/>
        <w:tabs>
          <w:tab w:val="num" w:leader="none" w:pos="3600"/>
        </w:tabs>
        <w:spacing/>
        <w:ind w:hanging="360" w:left="3600"/>
      </w:pPr>
      <w:rPr>
        <w:rFonts w:hint="default" w:ascii="Wingdings" w:hAnsi="Wingdings"/>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Wingdings" w:hAnsi="Wingdings"/>
      </w:rPr>
      <w:start w:val="1"/>
      <w:suff w:val="tab"/>
    </w:lvl>
    <w:lvl w:ilvl="7">
      <w:isLgl w:val="false"/>
      <w:lvlJc w:val="left"/>
      <w:lvlText w:val=""/>
      <w:numFmt w:val="bullet"/>
      <w:pPr>
        <w:pBdr/>
        <w:tabs>
          <w:tab w:val="num" w:leader="none" w:pos="5760"/>
        </w:tabs>
        <w:spacing/>
        <w:ind w:hanging="360" w:left="5760"/>
      </w:pPr>
      <w:rPr>
        <w:rFonts w:hint="default" w:ascii="Wingdings" w:hAnsi="Wingdings"/>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2">
    <w:nsid w:val="14276014"/>
    <w:lvl w:ilvl="0">
      <w:isLgl w:val="false"/>
      <w:lvlJc w:val="left"/>
      <w:lvlText w:val="%1."/>
      <w:numFmt w:val="upperLetter"/>
      <w:pPr>
        <w:pBdr/>
        <w:spacing/>
        <w:ind w:hanging="360" w:left="1080"/>
      </w:pPr>
      <w:rPr/>
      <w:start w:val="1"/>
      <w:suff w:val="tab"/>
    </w:lvl>
    <w:lvl w:ilvl="1">
      <w:isLgl w:val="false"/>
      <w:lvlJc w:val="left"/>
      <w:lvlText w:val="%2."/>
      <w:numFmt w:val="decimal"/>
      <w:pPr>
        <w:pBdr/>
        <w:spacing/>
        <w:ind w:hanging="360" w:left="1800"/>
      </w:pPr>
      <w:rPr/>
      <w:start w:val="1"/>
      <w:suff w:val="tab"/>
    </w:lvl>
    <w:lvl w:ilvl="2">
      <w:isLgl w:val="false"/>
      <w:lvlJc w:val="left"/>
      <w:lvlText w:val="%3."/>
      <w:numFmt w:val="lowerLetter"/>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3">
    <w:nsid w:val="19702507"/>
    <w:lvl w:ilvl="0">
      <w:isLgl w:val="false"/>
      <w:lvlJc w:val="left"/>
      <w:lvlText w:val="-"/>
      <w:numFmt w:val="bullet"/>
      <w:pPr>
        <w:pBdr/>
        <w:spacing/>
        <w:ind w:hanging="360" w:left="720"/>
      </w:pPr>
      <w:rPr>
        <w:rFonts w:hint="default" w:ascii="Calibri" w:hAnsi="Calibri" w:cs="Calibri" w:eastAsiaTheme="minorHAns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21B72DE3"/>
    <w:lvl w:ilvl="0">
      <w:isLgl w:val="false"/>
      <w:lvlJc w:val="left"/>
      <w:lvlText w:val="%1."/>
      <w:numFmt w:val="upperLetter"/>
      <w:pPr>
        <w:pBdr/>
        <w:spacing/>
        <w:ind w:hanging="360" w:left="1080"/>
      </w:pPr>
      <w:rPr/>
      <w:start w:val="1"/>
      <w:suff w:val="tab"/>
    </w:lvl>
    <w:lvl w:ilvl="1">
      <w:isLgl w:val="false"/>
      <w:lvlJc w:val="left"/>
      <w:lvlText w:val="%2."/>
      <w:numFmt w:val="decimal"/>
      <w:pPr>
        <w:pBdr/>
        <w:spacing/>
        <w:ind w:hanging="360" w:left="1800"/>
      </w:pPr>
      <w:rPr/>
      <w:start w:val="1"/>
      <w:suff w:val="tab"/>
    </w:lvl>
    <w:lvl w:ilvl="2">
      <w:isLgl w:val="false"/>
      <w:lvlJc w:val="left"/>
      <w:lvlText w:val="%3."/>
      <w:numFmt w:val="lowerLetter"/>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5">
    <w:nsid w:val="21D80F87"/>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
    <w:nsid w:val="25654749"/>
    <w:lvl w:ilvl="0">
      <w:isLgl w:val="false"/>
      <w:lvlJc w:val="left"/>
      <w:lvlText w:val="-"/>
      <w:numFmt w:val="bullet"/>
      <w:pPr>
        <w:pBdr/>
        <w:spacing/>
        <w:ind w:hanging="360" w:left="720"/>
      </w:pPr>
      <w:rPr>
        <w:rFonts w:hint="default" w:ascii="Calibri" w:hAnsi="Calibri" w:cs="Calibri" w:eastAsiaTheme="minorHAns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257B07F8"/>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
    <w:nsid w:val="350F4FB1"/>
    <w:lvl w:ilvl="0">
      <w:isLgl w:val="false"/>
      <w:lvlJc w:val="left"/>
      <w:lvlText w:val=""/>
      <w:numFmt w:val="bullet"/>
      <w:pPr>
        <w:pBdr/>
        <w:tabs>
          <w:tab w:val="num" w:leader="none" w:pos="720"/>
        </w:tabs>
        <w:spacing/>
        <w:ind w:hanging="360" w:left="720"/>
      </w:pPr>
      <w:rPr>
        <w:rFonts w:hint="default" w:ascii="Wingdings" w:hAnsi="Wingdings"/>
      </w:rPr>
      <w:start w:val="1"/>
      <w:suff w:val="tab"/>
    </w:lvl>
    <w:lvl w:ilvl="1">
      <w:isLgl w:val="false"/>
      <w:lvlJc w:val="left"/>
      <w:lvlText w:val=""/>
      <w:numFmt w:val="bullet"/>
      <w:pPr>
        <w:pBdr/>
        <w:tabs>
          <w:tab w:val="num" w:leader="none" w:pos="1440"/>
        </w:tabs>
        <w:spacing/>
        <w:ind w:hanging="360" w:left="1440"/>
      </w:pPr>
      <w:rPr>
        <w:rFonts w:hint="default" w:ascii="Wingdings" w:hAnsi="Wingdings"/>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Wingdings" w:hAnsi="Wingdings"/>
      </w:rPr>
      <w:start w:val="1"/>
      <w:suff w:val="tab"/>
    </w:lvl>
    <w:lvl w:ilvl="4">
      <w:isLgl w:val="false"/>
      <w:lvlJc w:val="left"/>
      <w:lvlText w:val=""/>
      <w:numFmt w:val="bullet"/>
      <w:pPr>
        <w:pBdr/>
        <w:tabs>
          <w:tab w:val="num" w:leader="none" w:pos="3600"/>
        </w:tabs>
        <w:spacing/>
        <w:ind w:hanging="360" w:left="3600"/>
      </w:pPr>
      <w:rPr>
        <w:rFonts w:hint="default" w:ascii="Wingdings" w:hAnsi="Wingdings"/>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Wingdings" w:hAnsi="Wingdings"/>
      </w:rPr>
      <w:start w:val="1"/>
      <w:suff w:val="tab"/>
    </w:lvl>
    <w:lvl w:ilvl="7">
      <w:isLgl w:val="false"/>
      <w:lvlJc w:val="left"/>
      <w:lvlText w:val=""/>
      <w:numFmt w:val="bullet"/>
      <w:pPr>
        <w:pBdr/>
        <w:tabs>
          <w:tab w:val="num" w:leader="none" w:pos="5760"/>
        </w:tabs>
        <w:spacing/>
        <w:ind w:hanging="360" w:left="5760"/>
      </w:pPr>
      <w:rPr>
        <w:rFonts w:hint="default" w:ascii="Wingdings" w:hAnsi="Wingdings"/>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9">
    <w:nsid w:val="3823659D"/>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392E5396"/>
    <w:lvl w:ilvl="0">
      <w:isLgl w:val="false"/>
      <w:lvlJc w:val="left"/>
      <w:lvlText w:val="%1."/>
      <w:numFmt w:val="upperLetter"/>
      <w:pPr>
        <w:pBdr/>
        <w:spacing/>
        <w:ind w:hanging="360" w:left="1080"/>
      </w:pPr>
      <w:rPr/>
      <w:start w:val="1"/>
      <w:suff w:val="tab"/>
    </w:lvl>
    <w:lvl w:ilvl="1">
      <w:isLgl w:val="false"/>
      <w:lvlJc w:val="left"/>
      <w:lvlText w:val="%2."/>
      <w:numFmt w:val="decimal"/>
      <w:pPr>
        <w:pBdr/>
        <w:spacing/>
        <w:ind w:hanging="360" w:left="1800"/>
      </w:pPr>
      <w:rPr/>
      <w:start w:val="1"/>
      <w:suff w:val="tab"/>
    </w:lvl>
    <w:lvl w:ilvl="2">
      <w:isLgl w:val="false"/>
      <w:lvlJc w:val="left"/>
      <w:lvlText w:val="%3."/>
      <w:numFmt w:val="lowerLetter"/>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1">
    <w:nsid w:val="39A53A3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nsid w:val="418E3372"/>
    <w:lvl w:ilvl="0">
      <w:isLgl w:val="false"/>
      <w:lvlJc w:val="left"/>
      <w:lvlText w:val="%1."/>
      <w:numFmt w:val="upperLetter"/>
      <w:pPr>
        <w:pBdr/>
        <w:spacing/>
        <w:ind w:hanging="360" w:left="1080"/>
      </w:pPr>
      <w:rPr/>
      <w:start w:val="1"/>
      <w:suff w:val="tab"/>
    </w:lvl>
    <w:lvl w:ilvl="1">
      <w:isLgl w:val="false"/>
      <w:lvlJc w:val="left"/>
      <w:lvlText w:val="%2."/>
      <w:numFmt w:val="decimal"/>
      <w:pPr>
        <w:pBdr/>
        <w:spacing/>
        <w:ind w:hanging="360" w:left="1800"/>
      </w:pPr>
      <w:rPr/>
      <w:start w:val="1"/>
      <w:suff w:val="tab"/>
    </w:lvl>
    <w:lvl w:ilvl="2">
      <w:isLgl w:val="false"/>
      <w:lvlJc w:val="left"/>
      <w:lvlText w:val="%3."/>
      <w:numFmt w:val="lowerLetter"/>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3">
    <w:nsid w:val="4E0841E1"/>
    <w:lvl w:ilvl="0">
      <w:isLgl w:val="false"/>
      <w:lvlJc w:val="right"/>
      <w:lvlText w:val="%1."/>
      <w:numFmt w:val="upperRoman"/>
      <w:pPr>
        <w:pBdr/>
        <w:spacing/>
        <w:ind w:hanging="360" w:left="720"/>
      </w:pPr>
      <w:rPr>
        <w:rFonts w:hint="default"/>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
    <w:nsid w:val="4E597BC7"/>
    <w:lvl w:ilvl="0">
      <w:isLgl w:val="false"/>
      <w:lvlJc w:val="left"/>
      <w:lvlText w:val=""/>
      <w:numFmt w:val="bullet"/>
      <w:pPr>
        <w:pBdr/>
        <w:tabs>
          <w:tab w:val="num" w:leader="none" w:pos="720"/>
        </w:tabs>
        <w:spacing/>
        <w:ind w:hanging="360" w:left="720"/>
      </w:pPr>
      <w:rPr>
        <w:rFonts w:hint="default" w:ascii="Wingdings" w:hAnsi="Wingdings"/>
      </w:rPr>
      <w:start w:val="1"/>
      <w:suff w:val="tab"/>
    </w:lvl>
    <w:lvl w:ilvl="1">
      <w:isLgl w:val="false"/>
      <w:lvlJc w:val="left"/>
      <w:lvlText w:val="•"/>
      <w:numFmt w:val="bullet"/>
      <w:pPr>
        <w:pBdr/>
        <w:tabs>
          <w:tab w:val="num" w:leader="none" w:pos="1440"/>
        </w:tabs>
        <w:spacing/>
        <w:ind w:hanging="360" w:left="1440"/>
      </w:pPr>
      <w:rPr>
        <w:rFonts w:hint="default" w:ascii="Arial" w:hAnsi="Arial"/>
      </w:rPr>
      <w:start w:val="0"/>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Wingdings" w:hAnsi="Wingdings"/>
      </w:rPr>
      <w:start w:val="1"/>
      <w:suff w:val="tab"/>
    </w:lvl>
    <w:lvl w:ilvl="4">
      <w:isLgl w:val="false"/>
      <w:lvlJc w:val="left"/>
      <w:lvlText w:val=""/>
      <w:numFmt w:val="bullet"/>
      <w:pPr>
        <w:pBdr/>
        <w:tabs>
          <w:tab w:val="num" w:leader="none" w:pos="3600"/>
        </w:tabs>
        <w:spacing/>
        <w:ind w:hanging="360" w:left="3600"/>
      </w:pPr>
      <w:rPr>
        <w:rFonts w:hint="default" w:ascii="Wingdings" w:hAnsi="Wingdings"/>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Wingdings" w:hAnsi="Wingdings"/>
      </w:rPr>
      <w:start w:val="1"/>
      <w:suff w:val="tab"/>
    </w:lvl>
    <w:lvl w:ilvl="7">
      <w:isLgl w:val="false"/>
      <w:lvlJc w:val="left"/>
      <w:lvlText w:val=""/>
      <w:numFmt w:val="bullet"/>
      <w:pPr>
        <w:pBdr/>
        <w:tabs>
          <w:tab w:val="num" w:leader="none" w:pos="5760"/>
        </w:tabs>
        <w:spacing/>
        <w:ind w:hanging="360" w:left="5760"/>
      </w:pPr>
      <w:rPr>
        <w:rFonts w:hint="default" w:ascii="Wingdings" w:hAnsi="Wingdings"/>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15">
    <w:nsid w:val="4EAA2675"/>
    <w:lvl w:ilvl="0">
      <w:isLgl w:val="false"/>
      <w:lvlJc w:val="left"/>
      <w:lvlText w:val="%1."/>
      <w:numFmt w:val="decimal"/>
      <w:pPr>
        <w:pBdr/>
        <w:tabs>
          <w:tab w:val="num" w:leader="none" w:pos="720"/>
        </w:tabs>
        <w:spacing/>
        <w:ind w:hanging="720" w:left="720"/>
      </w:pPr>
      <w:rPr/>
      <w:start w:val="1"/>
      <w:suff w:val="tab"/>
    </w:lvl>
    <w:lvl w:ilvl="1">
      <w:isLgl w:val="false"/>
      <w:lvlJc w:val="left"/>
      <w:lvlText w:val="%2."/>
      <w:numFmt w:val="decimal"/>
      <w:pPr>
        <w:pBdr/>
        <w:tabs>
          <w:tab w:val="num" w:leader="none" w:pos="1440"/>
        </w:tabs>
        <w:spacing/>
        <w:ind w:hanging="720" w:left="1440"/>
      </w:pPr>
      <w:rPr/>
      <w:start w:val="1"/>
      <w:suff w:val="tab"/>
    </w:lvl>
    <w:lvl w:ilvl="2">
      <w:isLgl w:val="false"/>
      <w:lvlJc w:val="left"/>
      <w:lvlText w:val="%3."/>
      <w:numFmt w:val="decimal"/>
      <w:pPr>
        <w:pBdr/>
        <w:tabs>
          <w:tab w:val="num" w:leader="none" w:pos="2160"/>
        </w:tabs>
        <w:spacing/>
        <w:ind w:hanging="720" w:left="2160"/>
      </w:pPr>
      <w:rPr/>
      <w:start w:val="1"/>
      <w:suff w:val="tab"/>
    </w:lvl>
    <w:lvl w:ilvl="3">
      <w:isLgl w:val="false"/>
      <w:lvlJc w:val="left"/>
      <w:lvlText w:val="%4."/>
      <w:numFmt w:val="decimal"/>
      <w:pPr>
        <w:pBdr/>
        <w:tabs>
          <w:tab w:val="num" w:leader="none" w:pos="2880"/>
        </w:tabs>
        <w:spacing/>
        <w:ind w:hanging="720" w:left="2880"/>
      </w:pPr>
      <w:rPr/>
      <w:start w:val="1"/>
      <w:suff w:val="tab"/>
    </w:lvl>
    <w:lvl w:ilvl="4">
      <w:isLgl w:val="false"/>
      <w:lvlJc w:val="left"/>
      <w:lvlText w:val="%5."/>
      <w:numFmt w:val="decimal"/>
      <w:pPr>
        <w:pBdr/>
        <w:tabs>
          <w:tab w:val="num" w:leader="none" w:pos="3600"/>
        </w:tabs>
        <w:spacing/>
        <w:ind w:hanging="720" w:left="3600"/>
      </w:pPr>
      <w:rPr/>
      <w:start w:val="1"/>
      <w:suff w:val="tab"/>
    </w:lvl>
    <w:lvl w:ilvl="5">
      <w:isLgl w:val="false"/>
      <w:lvlJc w:val="left"/>
      <w:lvlText w:val="%6."/>
      <w:numFmt w:val="decimal"/>
      <w:pPr>
        <w:pBdr/>
        <w:tabs>
          <w:tab w:val="num" w:leader="none" w:pos="4320"/>
        </w:tabs>
        <w:spacing/>
        <w:ind w:hanging="720" w:left="4320"/>
      </w:pPr>
      <w:rPr/>
      <w:start w:val="1"/>
      <w:suff w:val="tab"/>
    </w:lvl>
    <w:lvl w:ilvl="6">
      <w:isLgl w:val="false"/>
      <w:lvlJc w:val="left"/>
      <w:lvlText w:val="%7."/>
      <w:numFmt w:val="decimal"/>
      <w:pPr>
        <w:pBdr/>
        <w:tabs>
          <w:tab w:val="num" w:leader="none" w:pos="5040"/>
        </w:tabs>
        <w:spacing/>
        <w:ind w:hanging="720" w:left="5040"/>
      </w:pPr>
      <w:rPr/>
      <w:start w:val="1"/>
      <w:suff w:val="tab"/>
    </w:lvl>
    <w:lvl w:ilvl="7">
      <w:isLgl w:val="false"/>
      <w:lvlJc w:val="left"/>
      <w:lvlText w:val="%8."/>
      <w:numFmt w:val="decimal"/>
      <w:pPr>
        <w:pBdr/>
        <w:tabs>
          <w:tab w:val="num" w:leader="none" w:pos="5760"/>
        </w:tabs>
        <w:spacing/>
        <w:ind w:hanging="720" w:left="5760"/>
      </w:pPr>
      <w:pStyle w:val="994"/>
      <w:rPr/>
      <w:start w:val="1"/>
      <w:suff w:val="tab"/>
    </w:lvl>
    <w:lvl w:ilvl="8">
      <w:isLgl w:val="false"/>
      <w:lvlJc w:val="left"/>
      <w:lvlText w:val="%9."/>
      <w:numFmt w:val="decimal"/>
      <w:pPr>
        <w:pBdr/>
        <w:tabs>
          <w:tab w:val="num" w:leader="none" w:pos="6480"/>
        </w:tabs>
        <w:spacing/>
        <w:ind w:hanging="720" w:left="6480"/>
      </w:pPr>
      <w:rPr/>
      <w:start w:val="1"/>
      <w:suff w:val="tab"/>
    </w:lvl>
  </w:abstractNum>
  <w:abstractNum w:abstractNumId="16">
    <w:nsid w:val="52901A7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
    <w:nsid w:val="52A424CA"/>
    <w:lvl w:ilvl="0">
      <w:isLgl w:val="false"/>
      <w:lvlJc w:val="left"/>
      <w:lvlText w:val="%1. "/>
      <w:numFmt w:val="upperLetter"/>
      <w:pPr>
        <w:pBdr/>
        <w:spacing/>
        <w:ind w:hanging="432" w:left="432"/>
      </w:pPr>
      <w:pStyle w:val="987"/>
      <w:rPr>
        <w:rFonts w:hint="default"/>
      </w:rPr>
      <w:start w:val="1"/>
      <w:suff w:val="tab"/>
    </w:lvl>
    <w:lvl w:ilvl="1">
      <w:isLgl w:val="false"/>
      <w:lvlJc w:val="left"/>
      <w:lvlText w:val="%2. "/>
      <w:numFmt w:val="decimal"/>
      <w:pPr>
        <w:pBdr/>
        <w:spacing/>
        <w:ind w:hanging="576" w:left="576"/>
      </w:pPr>
      <w:pStyle w:val="988"/>
      <w:rPr>
        <w:rFonts w:hint="default"/>
      </w:rPr>
      <w:start w:val="1"/>
      <w:suff w:val="space"/>
    </w:lvl>
    <w:lvl w:ilvl="2">
      <w:isLgl w:val="false"/>
      <w:lvlJc w:val="left"/>
      <w:lvlText w:val="%3. "/>
      <w:numFmt w:val="lowerLetter"/>
      <w:pPr>
        <w:pBdr/>
        <w:spacing/>
        <w:ind w:hanging="720" w:left="720"/>
      </w:pPr>
      <w:pStyle w:val="989"/>
      <w:rPr>
        <w:rFonts w:hint="default"/>
      </w:rPr>
      <w:start w:val="1"/>
      <w:suff w:val="space"/>
    </w:lvl>
    <w:lvl w:ilvl="3">
      <w:isLgl w:val="false"/>
      <w:lvlJc w:val="left"/>
      <w:lvlText w:val="%1.%2.%3.%4"/>
      <w:numFmt w:val="decimal"/>
      <w:pPr>
        <w:pBdr/>
        <w:spacing/>
        <w:ind w:hanging="864" w:left="864"/>
      </w:pPr>
      <w:pStyle w:val="990"/>
      <w:rPr>
        <w:rFonts w:hint="default"/>
      </w:rPr>
      <w:start w:val="1"/>
      <w:suff w:val="tab"/>
    </w:lvl>
    <w:lvl w:ilvl="4">
      <w:isLgl w:val="false"/>
      <w:lvlJc w:val="left"/>
      <w:lvlText w:val="%1.%2.%3.%4.%5"/>
      <w:numFmt w:val="decimal"/>
      <w:pPr>
        <w:pBdr/>
        <w:spacing/>
        <w:ind w:hanging="1008" w:left="1008"/>
      </w:pPr>
      <w:pStyle w:val="991"/>
      <w:rPr>
        <w:rFonts w:hint="default"/>
      </w:rPr>
      <w:start w:val="1"/>
      <w:suff w:val="tab"/>
    </w:lvl>
    <w:lvl w:ilvl="5">
      <w:isLgl w:val="false"/>
      <w:lvlJc w:val="left"/>
      <w:lvlText w:val="%1.%2.%3.%4.%5.%6"/>
      <w:numFmt w:val="decimal"/>
      <w:pPr>
        <w:pBdr/>
        <w:spacing/>
        <w:ind w:hanging="1152" w:left="1152"/>
      </w:pPr>
      <w:pStyle w:val="992"/>
      <w:rPr>
        <w:rFonts w:hint="default"/>
      </w:rPr>
      <w:start w:val="1"/>
      <w:suff w:val="tab"/>
    </w:lvl>
    <w:lvl w:ilvl="6">
      <w:isLgl w:val="false"/>
      <w:lvlJc w:val="left"/>
      <w:lvlText w:val="%1.%2.%3.%4.%5.%6.%7"/>
      <w:numFmt w:val="decimal"/>
      <w:pPr>
        <w:pBdr/>
        <w:spacing/>
        <w:ind w:hanging="1296" w:left="1296"/>
      </w:pPr>
      <w:pStyle w:val="993"/>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584" w:left="1584"/>
      </w:pPr>
      <w:pStyle w:val="995"/>
      <w:rPr>
        <w:rFonts w:hint="default"/>
      </w:rPr>
      <w:start w:val="1"/>
      <w:suff w:val="tab"/>
    </w:lvl>
  </w:abstractNum>
  <w:abstractNum w:abstractNumId="18">
    <w:nsid w:val="52E303A8"/>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9">
    <w:nsid w:val="54603D79"/>
    <w:lvl w:ilvl="0">
      <w:isLgl w:val="false"/>
      <w:lvlJc w:val="left"/>
      <w:lvlText w:val="%1."/>
      <w:numFmt w:val="upperLetter"/>
      <w:pPr>
        <w:pBdr/>
        <w:spacing/>
        <w:ind w:hanging="360" w:left="1080"/>
      </w:pPr>
      <w:rPr/>
      <w:start w:val="1"/>
      <w:suff w:val="tab"/>
    </w:lvl>
    <w:lvl w:ilvl="1">
      <w:isLgl w:val="false"/>
      <w:lvlJc w:val="left"/>
      <w:lvlText w:val="%2."/>
      <w:numFmt w:val="decimal"/>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20">
    <w:nsid w:val="60880DEF"/>
    <w:lvl w:ilvl="0">
      <w:isLgl w:val="false"/>
      <w:lvlJc w:val="left"/>
      <w:lvlText w:val="%1."/>
      <w:numFmt w:val="lowerLetter"/>
      <w:pPr>
        <w:pBdr/>
        <w:spacing/>
        <w:ind w:hanging="360" w:left="720"/>
      </w:pPr>
      <w:rPr/>
      <w:start w:val="1"/>
      <w:suff w:val="tab"/>
    </w:lvl>
    <w:lvl w:ilvl="1">
      <w:isLgl w:val="false"/>
      <w:lvlJc w:val="left"/>
      <w:lvlText w:val=""/>
      <w:numFmt w:val="bullet"/>
      <w:pPr>
        <w:pBdr/>
        <w:spacing/>
        <w:ind w:hanging="360" w:left="1440"/>
      </w:pPr>
      <w:rPr>
        <w:rFonts w:hint="default" w:ascii="Symbol" w:hAnsi="Symbol"/>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1">
    <w:nsid w:val="64E73C0C"/>
    <w:lvl w:ilvl="0">
      <w:isLgl w:val="false"/>
      <w:lvlJc w:val="left"/>
      <w:lvlText w:val="%1."/>
      <w:numFmt w:val="upperLetter"/>
      <w:pPr>
        <w:pBdr/>
        <w:spacing/>
        <w:ind w:hanging="360" w:left="360"/>
      </w:pPr>
      <w:rPr/>
      <w:start w:val="1"/>
      <w:suff w:val="tab"/>
    </w:lvl>
    <w:lvl w:ilvl="1">
      <w:isLgl w:val="false"/>
      <w:lvlJc w:val="left"/>
      <w:lvlText w:val="%2."/>
      <w:numFmt w:val="upp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22">
    <w:nsid w:val="659E3935"/>
    <w:lvl w:ilvl="0">
      <w:isLgl w:val="false"/>
      <w:lvlJc w:val="left"/>
      <w:lvlText w:val="%1."/>
      <w:numFmt w:val="lowerLetter"/>
      <w:pPr>
        <w:pBdr/>
        <w:spacing/>
        <w:ind w:hanging="360" w:left="720"/>
      </w:pPr>
      <w:rPr>
        <w:rFonts w:hint="default" w:asciiTheme="minorHAnsi" w:hAnsiTheme="minorHAnsi" w:cstheme="minorHAnsi"/>
        <w:color w:val="auto"/>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66B16983"/>
    <w:lvl w:ilvl="0">
      <w:isLgl w:val="false"/>
      <w:lvlJc w:val="left"/>
      <w:lvlText w:val="Bài tập %1."/>
      <w:numFmt w:val="decimal"/>
      <w:pPr>
        <w:pBdr/>
        <w:spacing/>
        <w:ind w:hanging="360" w:left="360"/>
      </w:pPr>
      <w:pStyle w:val="1001"/>
      <w:rPr>
        <w:rFonts w:hint="default"/>
        <w:b/>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24">
    <w:nsid w:val="68141678"/>
    <w:lvl w:ilvl="0">
      <w:isLgl w:val="false"/>
      <w:lvlJc w:val="left"/>
      <w:lvlText w:val="%1."/>
      <w:numFmt w:val="lowerLetter"/>
      <w:pPr>
        <w:pBdr/>
        <w:spacing/>
        <w:ind w:hanging="360" w:left="720"/>
      </w:pPr>
      <w:rPr>
        <w:rFonts w:hint="default"/>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5">
    <w:nsid w:val="75C60B9F"/>
    <w:lvl w:ilvl="0">
      <w:isLgl w:val="false"/>
      <w:lvlJc w:val="left"/>
      <w:lvlText w:val="-"/>
      <w:numFmt w:val="bullet"/>
      <w:pPr>
        <w:pBdr/>
        <w:spacing/>
        <w:ind w:hanging="360" w:left="1080"/>
      </w:pPr>
      <w:rPr>
        <w:rFonts w:hint="default" w:ascii="Calibri" w:hAnsi="Calibri" w:cs="Calibri" w:eastAsiaTheme="minorHAnsi"/>
      </w:rPr>
      <w:start w:val="0"/>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26">
    <w:nsid w:val="0297E388"/>
    <w:lvl w:ilvl="0">
      <w:isLgl w:val="false"/>
      <w:lvlJc w:val="left"/>
      <w:lvlText w:val="-"/>
      <w:numFmt w:val="bullet"/>
      <w:pPr>
        <w:pBdr/>
        <w:spacing/>
        <w:ind w:hanging="360" w:left="1429"/>
      </w:pPr>
      <w:rPr>
        <w:rFonts w:ascii="Calibri" w:hAnsi="Calibri" w:cs="Calibri" w:eastAsiaTheme="minorHAnsi"/>
      </w:rPr>
      <w:start w:val="0"/>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abstractNum w:abstractNumId="27">
    <w:nsid w:val="74BE3F29"/>
    <w:lvl w:ilvl="0">
      <w:isLgl w:val="false"/>
      <w:lvlJc w:val="left"/>
      <w:lvlText w:val="·"/>
      <w:numFmt w:val="bullet"/>
      <w:pPr>
        <w:pBdr/>
        <w:spacing/>
        <w:ind w:hanging="360" w:left="1429"/>
      </w:pPr>
      <w:rPr>
        <w:rFonts w:ascii="Symbol" w:hAnsi="Symbol" w:eastAsia="Symbol" w:cs="Symbo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num w:numId="1">
    <w:abstractNumId w:val="17"/>
  </w:num>
  <w:num w:numId="2">
    <w:abstractNumId w:val="15"/>
  </w:num>
  <w:num w:numId="3">
    <w:abstractNumId w:val="23"/>
  </w:num>
  <w:num w:numId="4">
    <w:abstractNumId w:val="22"/>
  </w:num>
  <w:num w:numId="5">
    <w:abstractNumId w:val="11"/>
  </w:num>
  <w:num w:numId="6">
    <w:abstractNumId w:val="25"/>
  </w:num>
  <w:num w:numId="7">
    <w:abstractNumId w:val="16"/>
  </w:num>
  <w:num w:numId="8">
    <w:abstractNumId w:val="21"/>
  </w:num>
  <w:num w:numId="9">
    <w:abstractNumId w:val="13"/>
  </w:num>
  <w:num w:numId="10">
    <w:abstractNumId w:val="19"/>
  </w:num>
  <w:num w:numId="11">
    <w:abstractNumId w:val="4"/>
  </w:num>
  <w:num w:numId="12">
    <w:abstractNumId w:val="12"/>
  </w:num>
  <w:num w:numId="13">
    <w:abstractNumId w:val="2"/>
  </w:num>
  <w:num w:numId="14">
    <w:abstractNumId w:val="10"/>
  </w:num>
  <w:num w:numId="15">
    <w:abstractNumId w:val="1"/>
  </w:num>
  <w:num w:numId="16">
    <w:abstractNumId w:val="8"/>
  </w:num>
  <w:num w:numId="17">
    <w:abstractNumId w:val="0"/>
  </w:num>
  <w:num w:numId="18">
    <w:abstractNumId w:val="7"/>
  </w:num>
  <w:num w:numId="19">
    <w:abstractNumId w:val="5"/>
  </w:num>
  <w:num w:numId="20">
    <w:abstractNumId w:val="24"/>
  </w:num>
  <w:num w:numId="21">
    <w:abstractNumId w:val="9"/>
  </w:num>
  <w:num w:numId="22">
    <w:abstractNumId w:val="20"/>
  </w:num>
  <w:num w:numId="23">
    <w:abstractNumId w:val="6"/>
  </w:num>
  <w:num w:numId="24">
    <w:abstractNumId w:val="14"/>
  </w:num>
  <w:num w:numId="25">
    <w:abstractNumId w:val="18"/>
  </w:num>
  <w:num w:numId="26">
    <w:abstractNumId w:val="3"/>
  </w:num>
  <w:num w:numId="27">
    <w:abstractNumId w:val="26"/>
  </w:num>
  <w:num w:numId="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vi-VN" w:eastAsia="vi-VN"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32">
    <w:name w:val="Table Grid Light"/>
    <w:basedOn w:val="99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Plain Table 1"/>
    <w:basedOn w:val="99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Plain Table 2"/>
    <w:basedOn w:val="99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Plain Table 3"/>
    <w:basedOn w:val="9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Plain Table 4"/>
    <w:basedOn w:val="9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Plain Table 5"/>
    <w:basedOn w:val="9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1 Light"/>
    <w:basedOn w:val="99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1 Light - Accent 1"/>
    <w:basedOn w:val="99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1 Light - Accent 2"/>
    <w:basedOn w:val="99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1 Light - Accent 3"/>
    <w:basedOn w:val="99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1 Light - Accent 4"/>
    <w:basedOn w:val="99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1 Light - Accent 5"/>
    <w:basedOn w:val="99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1 Light - Accent 6"/>
    <w:basedOn w:val="99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2"/>
    <w:basedOn w:val="99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2 - Accent 1"/>
    <w:basedOn w:val="99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2 - Accent 2"/>
    <w:basedOn w:val="99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2 - Accent 3"/>
    <w:basedOn w:val="99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2 - Accent 4"/>
    <w:basedOn w:val="99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2 - Accent 5"/>
    <w:basedOn w:val="99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2 - Accent 6"/>
    <w:basedOn w:val="99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3"/>
    <w:basedOn w:val="99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3 - Accent 1"/>
    <w:basedOn w:val="99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3 - Accent 2"/>
    <w:basedOn w:val="99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3 - Accent 3"/>
    <w:basedOn w:val="99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3 - Accent 4"/>
    <w:basedOn w:val="99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3 - Accent 5"/>
    <w:basedOn w:val="99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3 - Accent 6"/>
    <w:basedOn w:val="99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4"/>
    <w:basedOn w:val="99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4 - Accent 1"/>
    <w:basedOn w:val="99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4 - Accent 2"/>
    <w:basedOn w:val="99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4 - Accent 3"/>
    <w:basedOn w:val="99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4 - Accent 4"/>
    <w:basedOn w:val="99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4 - Accent 5"/>
    <w:basedOn w:val="99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4 - Accent 6"/>
    <w:basedOn w:val="99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5 Dark"/>
    <w:basedOn w:val="9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5 Dark- Accent 1"/>
    <w:basedOn w:val="9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5 Dark - Accent 2"/>
    <w:basedOn w:val="9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5 Dark - Accent 3"/>
    <w:basedOn w:val="9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5 Dark- Accent 4"/>
    <w:basedOn w:val="9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5 Dark - Accent 5"/>
    <w:basedOn w:val="9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5 Dark - Accent 6"/>
    <w:basedOn w:val="9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6 Colorful"/>
    <w:basedOn w:val="99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74">
    <w:name w:val="Grid Table 6 Colorful - Accent 1"/>
    <w:basedOn w:val="99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75">
    <w:name w:val="Grid Table 6 Colorful - Accent 2"/>
    <w:basedOn w:val="99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76">
    <w:name w:val="Grid Table 6 Colorful - Accent 3"/>
    <w:basedOn w:val="99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77">
    <w:name w:val="Grid Table 6 Colorful - Accent 4"/>
    <w:basedOn w:val="99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78">
    <w:name w:val="Grid Table 6 Colorful - Accent 5"/>
    <w:basedOn w:val="99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79">
    <w:name w:val="Grid Table 6 Colorful - Accent 6"/>
    <w:basedOn w:val="99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80">
    <w:name w:val="Grid Table 7 Colorful"/>
    <w:basedOn w:val="99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7 Colorful - Accent 1"/>
    <w:basedOn w:val="99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7 Colorful - Accent 2"/>
    <w:basedOn w:val="99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7 Colorful - Accent 3"/>
    <w:basedOn w:val="99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7 Colorful - Accent 4"/>
    <w:basedOn w:val="99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7 Colorful - Accent 5"/>
    <w:basedOn w:val="99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7 Colorful - Accent 6"/>
    <w:basedOn w:val="99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1 Light"/>
    <w:basedOn w:val="9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1 Light - Accent 1"/>
    <w:basedOn w:val="9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1 Light - Accent 2"/>
    <w:basedOn w:val="9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1 Light - Accent 3"/>
    <w:basedOn w:val="9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1 Light - Accent 4"/>
    <w:basedOn w:val="9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1 Light - Accent 5"/>
    <w:basedOn w:val="9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1 Light - Accent 6"/>
    <w:basedOn w:val="9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2"/>
    <w:basedOn w:val="99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2 - Accent 1"/>
    <w:basedOn w:val="99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2 - Accent 2"/>
    <w:basedOn w:val="99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2 - Accent 3"/>
    <w:basedOn w:val="99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2 - Accent 4"/>
    <w:basedOn w:val="99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2 - Accent 5"/>
    <w:basedOn w:val="99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2 - Accent 6"/>
    <w:basedOn w:val="99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3"/>
    <w:basedOn w:val="99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3 - Accent 1"/>
    <w:basedOn w:val="99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3 - Accent 2"/>
    <w:basedOn w:val="99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3 - Accent 3"/>
    <w:basedOn w:val="99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3 - Accent 4"/>
    <w:basedOn w:val="99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3 - Accent 5"/>
    <w:basedOn w:val="99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3 - Accent 6"/>
    <w:basedOn w:val="99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4"/>
    <w:basedOn w:val="99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4 - Accent 1"/>
    <w:basedOn w:val="99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4 - Accent 2"/>
    <w:basedOn w:val="99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4 - Accent 3"/>
    <w:basedOn w:val="99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4 - Accent 4"/>
    <w:basedOn w:val="99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4 - Accent 5"/>
    <w:basedOn w:val="99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4 - Accent 6"/>
    <w:basedOn w:val="99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5 Dark"/>
    <w:basedOn w:val="99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6">
    <w:name w:val="List Table 5 Dark - Accent 1"/>
    <w:basedOn w:val="99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7">
    <w:name w:val="List Table 5 Dark - Accent 2"/>
    <w:basedOn w:val="99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8">
    <w:name w:val="List Table 5 Dark - Accent 3"/>
    <w:basedOn w:val="99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9">
    <w:name w:val="List Table 5 Dark - Accent 4"/>
    <w:basedOn w:val="99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0">
    <w:name w:val="List Table 5 Dark - Accent 5"/>
    <w:basedOn w:val="99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1">
    <w:name w:val="List Table 5 Dark - Accent 6"/>
    <w:basedOn w:val="99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2">
    <w:name w:val="List Table 6 Colorful"/>
    <w:basedOn w:val="99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st Table 6 Colorful - Accent 1"/>
    <w:basedOn w:val="99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st Table 6 Colorful - Accent 2"/>
    <w:basedOn w:val="99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st Table 6 Colorful - Accent 3"/>
    <w:basedOn w:val="99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6 Colorful - Accent 4"/>
    <w:basedOn w:val="99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6 Colorful - Accent 5"/>
    <w:basedOn w:val="99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6 Colorful - Accent 6"/>
    <w:basedOn w:val="99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7 Colorful"/>
    <w:basedOn w:val="99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30">
    <w:name w:val="List Table 7 Colorful - Accent 1"/>
    <w:basedOn w:val="99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931">
    <w:name w:val="List Table 7 Colorful - Accent 2"/>
    <w:basedOn w:val="99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932">
    <w:name w:val="List Table 7 Colorful - Accent 3"/>
    <w:basedOn w:val="99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933">
    <w:name w:val="List Table 7 Colorful - Accent 4"/>
    <w:basedOn w:val="99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934">
    <w:name w:val="List Table 7 Colorful - Accent 5"/>
    <w:basedOn w:val="99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935">
    <w:name w:val="List Table 7 Colorful - Accent 6"/>
    <w:basedOn w:val="99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936">
    <w:name w:val="Lined - Accent"/>
    <w:basedOn w:val="9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ned - Accent 1"/>
    <w:basedOn w:val="9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ned - Accent 2"/>
    <w:basedOn w:val="9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ned - Accent 3"/>
    <w:basedOn w:val="9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ned - Accent 4"/>
    <w:basedOn w:val="9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ned - Accent 5"/>
    <w:basedOn w:val="9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ned - Accent 6"/>
    <w:basedOn w:val="9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Bordered &amp; Lined - Accent"/>
    <w:basedOn w:val="99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Bordered &amp; Lined - Accent 1"/>
    <w:basedOn w:val="99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Bordered &amp; Lined - Accent 2"/>
    <w:basedOn w:val="99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Bordered &amp; Lined - Accent 3"/>
    <w:basedOn w:val="99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Bordered &amp; Lined - Accent 4"/>
    <w:basedOn w:val="99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Bordered &amp; Lined - Accent 5"/>
    <w:basedOn w:val="99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Bordered &amp; Lined - Accent 6"/>
    <w:basedOn w:val="99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Bordered"/>
    <w:basedOn w:val="99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Bordered - Accent 1"/>
    <w:basedOn w:val="99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Bordered - Accent 2"/>
    <w:basedOn w:val="99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Bordered - Accent 3"/>
    <w:basedOn w:val="99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Bordered - Accent 4"/>
    <w:basedOn w:val="99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Bordered - Accent 5"/>
    <w:basedOn w:val="99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Bordered - Accent 6"/>
    <w:basedOn w:val="99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57">
    <w:name w:val="Quote"/>
    <w:basedOn w:val="986"/>
    <w:next w:val="986"/>
    <w:link w:val="958"/>
    <w:uiPriority w:val="29"/>
    <w:qFormat/>
    <w:pPr>
      <w:pBdr/>
      <w:spacing w:before="160"/>
      <w:ind/>
      <w:jc w:val="center"/>
    </w:pPr>
    <w:rPr>
      <w:i/>
      <w:iCs/>
      <w:color w:val="404040" w:themeColor="text1" w:themeTint="BF"/>
    </w:rPr>
  </w:style>
  <w:style w:type="character" w:styleId="958">
    <w:name w:val="Quote Char"/>
    <w:basedOn w:val="996"/>
    <w:link w:val="957"/>
    <w:uiPriority w:val="29"/>
    <w:pPr>
      <w:pBdr/>
      <w:spacing/>
      <w:ind/>
    </w:pPr>
    <w:rPr>
      <w:i/>
      <w:iCs/>
      <w:color w:val="404040" w:themeColor="text1" w:themeTint="BF"/>
    </w:rPr>
  </w:style>
  <w:style w:type="character" w:styleId="959">
    <w:name w:val="Intense Emphasis"/>
    <w:basedOn w:val="996"/>
    <w:uiPriority w:val="21"/>
    <w:qFormat/>
    <w:pPr>
      <w:pBdr/>
      <w:spacing/>
      <w:ind/>
    </w:pPr>
    <w:rPr>
      <w:i/>
      <w:iCs/>
      <w:color w:val="0f4761" w:themeColor="accent1" w:themeShade="BF"/>
    </w:rPr>
  </w:style>
  <w:style w:type="paragraph" w:styleId="960">
    <w:name w:val="Intense Quote"/>
    <w:basedOn w:val="986"/>
    <w:next w:val="986"/>
    <w:link w:val="96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61">
    <w:name w:val="Intense Quote Char"/>
    <w:basedOn w:val="996"/>
    <w:link w:val="960"/>
    <w:uiPriority w:val="30"/>
    <w:pPr>
      <w:pBdr/>
      <w:spacing/>
      <w:ind/>
    </w:pPr>
    <w:rPr>
      <w:i/>
      <w:iCs/>
      <w:color w:val="0f4761" w:themeColor="accent1" w:themeShade="BF"/>
    </w:rPr>
  </w:style>
  <w:style w:type="character" w:styleId="962">
    <w:name w:val="Intense Reference"/>
    <w:basedOn w:val="996"/>
    <w:uiPriority w:val="32"/>
    <w:qFormat/>
    <w:pPr>
      <w:pBdr/>
      <w:spacing/>
      <w:ind/>
    </w:pPr>
    <w:rPr>
      <w:b/>
      <w:bCs/>
      <w:smallCaps/>
      <w:color w:val="0f4761" w:themeColor="accent1" w:themeShade="BF"/>
      <w:spacing w:val="5"/>
    </w:rPr>
  </w:style>
  <w:style w:type="paragraph" w:styleId="963">
    <w:name w:val="No Spacing"/>
    <w:basedOn w:val="986"/>
    <w:uiPriority w:val="1"/>
    <w:qFormat/>
    <w:pPr>
      <w:pBdr/>
      <w:spacing w:after="0" w:line="240" w:lineRule="auto"/>
      <w:ind/>
    </w:pPr>
  </w:style>
  <w:style w:type="character" w:styleId="964">
    <w:name w:val="Subtle Emphasis"/>
    <w:basedOn w:val="996"/>
    <w:uiPriority w:val="19"/>
    <w:qFormat/>
    <w:pPr>
      <w:pBdr/>
      <w:spacing/>
      <w:ind/>
    </w:pPr>
    <w:rPr>
      <w:i/>
      <w:iCs/>
      <w:color w:val="404040" w:themeColor="text1" w:themeTint="BF"/>
    </w:rPr>
  </w:style>
  <w:style w:type="character" w:styleId="965">
    <w:name w:val="Strong"/>
    <w:basedOn w:val="996"/>
    <w:uiPriority w:val="22"/>
    <w:qFormat/>
    <w:pPr>
      <w:pBdr/>
      <w:spacing/>
      <w:ind/>
    </w:pPr>
    <w:rPr>
      <w:b/>
      <w:bCs/>
    </w:rPr>
  </w:style>
  <w:style w:type="character" w:styleId="966">
    <w:name w:val="Subtle Reference"/>
    <w:basedOn w:val="996"/>
    <w:uiPriority w:val="31"/>
    <w:qFormat/>
    <w:pPr>
      <w:pBdr/>
      <w:spacing/>
      <w:ind/>
    </w:pPr>
    <w:rPr>
      <w:smallCaps/>
      <w:color w:val="5a5a5a" w:themeColor="text1" w:themeTint="A5"/>
    </w:rPr>
  </w:style>
  <w:style w:type="character" w:styleId="967">
    <w:name w:val="Book Title"/>
    <w:basedOn w:val="996"/>
    <w:uiPriority w:val="33"/>
    <w:qFormat/>
    <w:pPr>
      <w:pBdr/>
      <w:spacing/>
      <w:ind/>
    </w:pPr>
    <w:rPr>
      <w:b/>
      <w:bCs/>
      <w:i/>
      <w:iCs/>
      <w:spacing w:val="5"/>
    </w:rPr>
  </w:style>
  <w:style w:type="paragraph" w:styleId="968">
    <w:name w:val="footnote text"/>
    <w:basedOn w:val="986"/>
    <w:link w:val="969"/>
    <w:uiPriority w:val="99"/>
    <w:semiHidden/>
    <w:unhideWhenUsed/>
    <w:pPr>
      <w:pBdr/>
      <w:spacing w:after="0" w:line="240" w:lineRule="auto"/>
      <w:ind/>
    </w:pPr>
    <w:rPr>
      <w:sz w:val="20"/>
      <w:szCs w:val="20"/>
    </w:rPr>
  </w:style>
  <w:style w:type="character" w:styleId="969">
    <w:name w:val="Footnote Text Char"/>
    <w:basedOn w:val="996"/>
    <w:link w:val="968"/>
    <w:uiPriority w:val="99"/>
    <w:semiHidden/>
    <w:pPr>
      <w:pBdr/>
      <w:spacing/>
      <w:ind/>
    </w:pPr>
    <w:rPr>
      <w:sz w:val="20"/>
      <w:szCs w:val="20"/>
    </w:rPr>
  </w:style>
  <w:style w:type="character" w:styleId="970">
    <w:name w:val="footnote reference"/>
    <w:basedOn w:val="996"/>
    <w:uiPriority w:val="99"/>
    <w:semiHidden/>
    <w:unhideWhenUsed/>
    <w:pPr>
      <w:pBdr/>
      <w:spacing/>
      <w:ind/>
    </w:pPr>
    <w:rPr>
      <w:vertAlign w:val="superscript"/>
    </w:rPr>
  </w:style>
  <w:style w:type="paragraph" w:styleId="971">
    <w:name w:val="endnote text"/>
    <w:basedOn w:val="986"/>
    <w:link w:val="972"/>
    <w:uiPriority w:val="99"/>
    <w:semiHidden/>
    <w:unhideWhenUsed/>
    <w:pPr>
      <w:pBdr/>
      <w:spacing w:after="0" w:line="240" w:lineRule="auto"/>
      <w:ind/>
    </w:pPr>
    <w:rPr>
      <w:sz w:val="20"/>
      <w:szCs w:val="20"/>
    </w:rPr>
  </w:style>
  <w:style w:type="character" w:styleId="972">
    <w:name w:val="Endnote Text Char"/>
    <w:basedOn w:val="996"/>
    <w:link w:val="971"/>
    <w:uiPriority w:val="99"/>
    <w:semiHidden/>
    <w:pPr>
      <w:pBdr/>
      <w:spacing/>
      <w:ind/>
    </w:pPr>
    <w:rPr>
      <w:sz w:val="20"/>
      <w:szCs w:val="20"/>
    </w:rPr>
  </w:style>
  <w:style w:type="character" w:styleId="973">
    <w:name w:val="endnote reference"/>
    <w:basedOn w:val="996"/>
    <w:uiPriority w:val="99"/>
    <w:semiHidden/>
    <w:unhideWhenUsed/>
    <w:pPr>
      <w:pBdr/>
      <w:spacing/>
      <w:ind/>
    </w:pPr>
    <w:rPr>
      <w:vertAlign w:val="superscript"/>
    </w:rPr>
  </w:style>
  <w:style w:type="character" w:styleId="974">
    <w:name w:val="FollowedHyperlink"/>
    <w:basedOn w:val="996"/>
    <w:uiPriority w:val="99"/>
    <w:semiHidden/>
    <w:unhideWhenUsed/>
    <w:pPr>
      <w:pBdr/>
      <w:spacing/>
      <w:ind/>
    </w:pPr>
    <w:rPr>
      <w:color w:val="954f72" w:themeColor="followedHyperlink"/>
      <w:u w:val="single"/>
    </w:rPr>
  </w:style>
  <w:style w:type="paragraph" w:styleId="975">
    <w:name w:val="toc 1"/>
    <w:basedOn w:val="986"/>
    <w:next w:val="986"/>
    <w:uiPriority w:val="39"/>
    <w:unhideWhenUsed/>
    <w:pPr>
      <w:pBdr/>
      <w:spacing w:after="100"/>
      <w:ind/>
    </w:pPr>
  </w:style>
  <w:style w:type="paragraph" w:styleId="976">
    <w:name w:val="toc 2"/>
    <w:basedOn w:val="986"/>
    <w:next w:val="986"/>
    <w:uiPriority w:val="39"/>
    <w:unhideWhenUsed/>
    <w:pPr>
      <w:pBdr/>
      <w:spacing w:after="100"/>
      <w:ind w:left="220"/>
    </w:pPr>
  </w:style>
  <w:style w:type="paragraph" w:styleId="977">
    <w:name w:val="toc 3"/>
    <w:basedOn w:val="986"/>
    <w:next w:val="986"/>
    <w:uiPriority w:val="39"/>
    <w:unhideWhenUsed/>
    <w:pPr>
      <w:pBdr/>
      <w:spacing w:after="100"/>
      <w:ind w:left="440"/>
    </w:pPr>
  </w:style>
  <w:style w:type="paragraph" w:styleId="978">
    <w:name w:val="toc 4"/>
    <w:basedOn w:val="986"/>
    <w:next w:val="986"/>
    <w:uiPriority w:val="39"/>
    <w:unhideWhenUsed/>
    <w:pPr>
      <w:pBdr/>
      <w:spacing w:after="100"/>
      <w:ind w:left="660"/>
    </w:pPr>
  </w:style>
  <w:style w:type="paragraph" w:styleId="979">
    <w:name w:val="toc 5"/>
    <w:basedOn w:val="986"/>
    <w:next w:val="986"/>
    <w:uiPriority w:val="39"/>
    <w:unhideWhenUsed/>
    <w:pPr>
      <w:pBdr/>
      <w:spacing w:after="100"/>
      <w:ind w:left="880"/>
    </w:pPr>
  </w:style>
  <w:style w:type="paragraph" w:styleId="980">
    <w:name w:val="toc 6"/>
    <w:basedOn w:val="986"/>
    <w:next w:val="986"/>
    <w:uiPriority w:val="39"/>
    <w:unhideWhenUsed/>
    <w:pPr>
      <w:pBdr/>
      <w:spacing w:after="100"/>
      <w:ind w:left="1100"/>
    </w:pPr>
  </w:style>
  <w:style w:type="paragraph" w:styleId="981">
    <w:name w:val="toc 7"/>
    <w:basedOn w:val="986"/>
    <w:next w:val="986"/>
    <w:uiPriority w:val="39"/>
    <w:unhideWhenUsed/>
    <w:pPr>
      <w:pBdr/>
      <w:spacing w:after="100"/>
      <w:ind w:left="1320"/>
    </w:pPr>
  </w:style>
  <w:style w:type="paragraph" w:styleId="982">
    <w:name w:val="toc 8"/>
    <w:basedOn w:val="986"/>
    <w:next w:val="986"/>
    <w:uiPriority w:val="39"/>
    <w:unhideWhenUsed/>
    <w:pPr>
      <w:pBdr/>
      <w:spacing w:after="100"/>
      <w:ind w:left="1540"/>
    </w:pPr>
  </w:style>
  <w:style w:type="paragraph" w:styleId="983">
    <w:name w:val="toc 9"/>
    <w:basedOn w:val="986"/>
    <w:next w:val="986"/>
    <w:uiPriority w:val="39"/>
    <w:unhideWhenUsed/>
    <w:pPr>
      <w:pBdr/>
      <w:spacing w:after="100"/>
      <w:ind w:left="1760"/>
    </w:pPr>
  </w:style>
  <w:style w:type="paragraph" w:styleId="984">
    <w:name w:val="TOC Heading"/>
    <w:uiPriority w:val="39"/>
    <w:unhideWhenUsed/>
    <w:pPr>
      <w:pBdr/>
      <w:spacing/>
      <w:ind/>
    </w:pPr>
  </w:style>
  <w:style w:type="paragraph" w:styleId="985">
    <w:name w:val="table of figures"/>
    <w:basedOn w:val="986"/>
    <w:next w:val="986"/>
    <w:uiPriority w:val="99"/>
    <w:unhideWhenUsed/>
    <w:pPr>
      <w:pBdr/>
      <w:spacing w:after="0" w:afterAutospacing="0"/>
      <w:ind/>
    </w:pPr>
  </w:style>
  <w:style w:type="paragraph" w:styleId="986" w:default="1">
    <w:name w:val="Normal"/>
    <w:qFormat/>
    <w:pPr>
      <w:pBdr/>
      <w:spacing w:after="120" w:line="300" w:lineRule="auto"/>
      <w:ind/>
      <w:contextualSpacing w:val="true"/>
    </w:pPr>
    <w:rPr>
      <w:sz w:val="24"/>
    </w:rPr>
  </w:style>
  <w:style w:type="paragraph" w:styleId="987">
    <w:name w:val="Heading 1"/>
    <w:basedOn w:val="986"/>
    <w:next w:val="986"/>
    <w:link w:val="1003"/>
    <w:uiPriority w:val="9"/>
    <w:qFormat/>
    <w:pPr>
      <w:keepNext w:val="true"/>
      <w:keepLines w:val="true"/>
      <w:numPr>
        <w:numId w:val="1"/>
      </w:numPr>
      <w:pBdr/>
      <w:spacing w:after="0" w:before="240"/>
      <w:ind/>
      <w:outlineLvl w:val="0"/>
    </w:pPr>
    <w:rPr>
      <w:rFonts w:asciiTheme="majorHAnsi" w:hAnsiTheme="majorHAnsi" w:eastAsiaTheme="majorEastAsia" w:cstheme="majorBidi"/>
      <w:color w:val="ed7d31" w:themeColor="accent2"/>
      <w:sz w:val="32"/>
      <w:szCs w:val="32"/>
    </w:rPr>
  </w:style>
  <w:style w:type="paragraph" w:styleId="988">
    <w:name w:val="Heading 2"/>
    <w:basedOn w:val="986"/>
    <w:next w:val="986"/>
    <w:link w:val="1004"/>
    <w:uiPriority w:val="9"/>
    <w:unhideWhenUsed/>
    <w:qFormat/>
    <w:pPr>
      <w:keepNext w:val="true"/>
      <w:keepLines w:val="true"/>
      <w:numPr>
        <w:ilvl w:val="1"/>
        <w:numId w:val="1"/>
      </w:numPr>
      <w:pBdr/>
      <w:spacing w:after="0" w:before="40"/>
      <w:ind/>
      <w:outlineLvl w:val="1"/>
    </w:pPr>
    <w:rPr>
      <w:rFonts w:asciiTheme="majorHAnsi" w:hAnsiTheme="majorHAnsi" w:eastAsiaTheme="majorEastAsia" w:cstheme="majorBidi"/>
      <w:color w:val="2e74b5" w:themeColor="accent1" w:themeShade="BF"/>
      <w:sz w:val="26"/>
      <w:szCs w:val="26"/>
    </w:rPr>
  </w:style>
  <w:style w:type="paragraph" w:styleId="989">
    <w:name w:val="Heading 3"/>
    <w:basedOn w:val="986"/>
    <w:next w:val="986"/>
    <w:link w:val="1005"/>
    <w:uiPriority w:val="9"/>
    <w:unhideWhenUsed/>
    <w:qFormat/>
    <w:pPr>
      <w:keepNext w:val="true"/>
      <w:keepLines w:val="true"/>
      <w:numPr>
        <w:ilvl w:val="2"/>
        <w:numId w:val="1"/>
      </w:numPr>
      <w:pBdr/>
      <w:spacing w:after="0" w:before="40"/>
      <w:ind/>
      <w:outlineLvl w:val="2"/>
    </w:pPr>
    <w:rPr>
      <w:rFonts w:asciiTheme="majorHAnsi" w:hAnsiTheme="majorHAnsi" w:eastAsiaTheme="majorEastAsia" w:cstheme="majorBidi"/>
      <w:color w:val="1f4d78" w:themeColor="accent1" w:themeShade="7F"/>
      <w:szCs w:val="24"/>
    </w:rPr>
  </w:style>
  <w:style w:type="paragraph" w:styleId="990">
    <w:name w:val="Heading 4"/>
    <w:basedOn w:val="986"/>
    <w:next w:val="986"/>
    <w:link w:val="1006"/>
    <w:uiPriority w:val="9"/>
    <w:semiHidden/>
    <w:unhideWhenUsed/>
    <w:qFormat/>
    <w:pPr>
      <w:keepNext w:val="true"/>
      <w:keepLines w:val="true"/>
      <w:numPr>
        <w:ilvl w:val="3"/>
        <w:numId w:val="1"/>
      </w:numPr>
      <w:pBdr/>
      <w:spacing w:after="0" w:before="40"/>
      <w:ind/>
      <w:outlineLvl w:val="3"/>
    </w:pPr>
    <w:rPr>
      <w:rFonts w:asciiTheme="majorHAnsi" w:hAnsiTheme="majorHAnsi" w:eastAsiaTheme="majorEastAsia" w:cstheme="majorBidi"/>
      <w:i/>
      <w:iCs/>
      <w:color w:val="2e74b5" w:themeColor="accent1" w:themeShade="BF"/>
      <w:sz w:val="22"/>
    </w:rPr>
  </w:style>
  <w:style w:type="paragraph" w:styleId="991">
    <w:name w:val="Heading 5"/>
    <w:basedOn w:val="986"/>
    <w:next w:val="986"/>
    <w:link w:val="1007"/>
    <w:uiPriority w:val="9"/>
    <w:semiHidden/>
    <w:unhideWhenUsed/>
    <w:qFormat/>
    <w:pPr>
      <w:keepNext w:val="true"/>
      <w:keepLines w:val="true"/>
      <w:numPr>
        <w:ilvl w:val="4"/>
        <w:numId w:val="1"/>
      </w:numPr>
      <w:pBdr/>
      <w:spacing w:after="0" w:before="40"/>
      <w:ind/>
      <w:outlineLvl w:val="4"/>
    </w:pPr>
    <w:rPr>
      <w:rFonts w:asciiTheme="majorHAnsi" w:hAnsiTheme="majorHAnsi" w:eastAsiaTheme="majorEastAsia" w:cstheme="majorBidi"/>
      <w:color w:val="2e74b5" w:themeColor="accent1" w:themeShade="BF"/>
      <w:sz w:val="22"/>
    </w:rPr>
  </w:style>
  <w:style w:type="paragraph" w:styleId="992">
    <w:name w:val="Heading 6"/>
    <w:basedOn w:val="986"/>
    <w:next w:val="986"/>
    <w:link w:val="1008"/>
    <w:uiPriority w:val="9"/>
    <w:semiHidden/>
    <w:unhideWhenUsed/>
    <w:qFormat/>
    <w:pPr>
      <w:keepNext w:val="true"/>
      <w:keepLines w:val="true"/>
      <w:numPr>
        <w:ilvl w:val="5"/>
        <w:numId w:val="1"/>
      </w:numPr>
      <w:pBdr/>
      <w:spacing w:after="0" w:before="40"/>
      <w:ind/>
      <w:outlineLvl w:val="5"/>
    </w:pPr>
    <w:rPr>
      <w:rFonts w:asciiTheme="majorHAnsi" w:hAnsiTheme="majorHAnsi" w:eastAsiaTheme="majorEastAsia" w:cstheme="majorBidi"/>
      <w:color w:val="1f4d78" w:themeColor="accent1" w:themeShade="7F"/>
      <w:sz w:val="22"/>
    </w:rPr>
  </w:style>
  <w:style w:type="paragraph" w:styleId="993">
    <w:name w:val="Heading 7"/>
    <w:basedOn w:val="986"/>
    <w:next w:val="986"/>
    <w:link w:val="1009"/>
    <w:uiPriority w:val="9"/>
    <w:semiHidden/>
    <w:unhideWhenUsed/>
    <w:qFormat/>
    <w:pPr>
      <w:keepNext w:val="true"/>
      <w:keepLines w:val="true"/>
      <w:numPr>
        <w:ilvl w:val="6"/>
        <w:numId w:val="1"/>
      </w:numPr>
      <w:pBdr/>
      <w:spacing w:after="0" w:before="40"/>
      <w:ind/>
      <w:outlineLvl w:val="6"/>
    </w:pPr>
    <w:rPr>
      <w:rFonts w:asciiTheme="majorHAnsi" w:hAnsiTheme="majorHAnsi" w:eastAsiaTheme="majorEastAsia" w:cstheme="majorBidi"/>
      <w:i/>
      <w:iCs/>
      <w:color w:val="1f4d78" w:themeColor="accent1" w:themeShade="7F"/>
      <w:sz w:val="22"/>
    </w:rPr>
  </w:style>
  <w:style w:type="paragraph" w:styleId="994">
    <w:name w:val="Heading 8"/>
    <w:basedOn w:val="986"/>
    <w:next w:val="986"/>
    <w:link w:val="1010"/>
    <w:uiPriority w:val="9"/>
    <w:semiHidden/>
    <w:unhideWhenUsed/>
    <w:qFormat/>
    <w:pPr>
      <w:keepNext w:val="true"/>
      <w:keepLines w:val="true"/>
      <w:numPr>
        <w:ilvl w:val="7"/>
        <w:numId w:val="2"/>
      </w:numPr>
      <w:pBdr/>
      <w:spacing w:after="0" w:before="40"/>
      <w:ind w:hanging="1440" w:left="1440"/>
      <w:outlineLvl w:val="7"/>
    </w:pPr>
    <w:rPr>
      <w:rFonts w:asciiTheme="majorHAnsi" w:hAnsiTheme="majorHAnsi" w:eastAsiaTheme="majorEastAsia" w:cstheme="majorBidi"/>
      <w:color w:val="272727" w:themeColor="text1" w:themeTint="D8"/>
      <w:sz w:val="21"/>
      <w:szCs w:val="21"/>
    </w:rPr>
  </w:style>
  <w:style w:type="paragraph" w:styleId="995">
    <w:name w:val="Heading 9"/>
    <w:basedOn w:val="986"/>
    <w:next w:val="986"/>
    <w:link w:val="1011"/>
    <w:uiPriority w:val="9"/>
    <w:semiHidden/>
    <w:unhideWhenUsed/>
    <w:qFormat/>
    <w:pPr>
      <w:keepNext w:val="true"/>
      <w:keepLines w:val="true"/>
      <w:numPr>
        <w:ilvl w:val="8"/>
        <w:numId w:val="1"/>
      </w:numPr>
      <w:pBdr/>
      <w:spacing w:after="0" w:before="40"/>
      <w:ind/>
      <w:outlineLvl w:val="8"/>
    </w:pPr>
    <w:rPr>
      <w:rFonts w:asciiTheme="majorHAnsi" w:hAnsiTheme="majorHAnsi" w:eastAsiaTheme="majorEastAsia" w:cstheme="majorBidi"/>
      <w:i/>
      <w:iCs/>
      <w:color w:val="272727" w:themeColor="text1" w:themeTint="D8"/>
      <w:sz w:val="21"/>
      <w:szCs w:val="21"/>
    </w:rPr>
  </w:style>
  <w:style w:type="character" w:styleId="996" w:default="1">
    <w:name w:val="Default Paragraph Font"/>
    <w:uiPriority w:val="1"/>
    <w:unhideWhenUsed/>
    <w:pPr>
      <w:pBdr/>
      <w:spacing/>
      <w:ind/>
    </w:pPr>
  </w:style>
  <w:style w:type="table" w:styleId="99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98" w:default="1">
    <w:name w:val="No List"/>
    <w:uiPriority w:val="99"/>
    <w:semiHidden/>
    <w:unhideWhenUsed/>
    <w:pPr>
      <w:pBdr/>
      <w:spacing/>
      <w:ind/>
    </w:pPr>
  </w:style>
  <w:style w:type="paragraph" w:styleId="999" w:customStyle="1">
    <w:name w:val="Style1"/>
    <w:basedOn w:val="986"/>
    <w:link w:val="1000"/>
    <w:pPr>
      <w:pBdr>
        <w:top w:val="single" w:color="4472c4" w:themeColor="accent5" w:sz="4" w:space="1"/>
        <w:bottom w:val="single" w:color="4472c4" w:themeColor="accent5" w:sz="4" w:space="1"/>
      </w:pBdr>
      <w:spacing/>
      <w:ind w:right="851" w:left="851"/>
    </w:pPr>
    <w:rPr>
      <w:i/>
      <w:color w:val="ff0000"/>
    </w:rPr>
  </w:style>
  <w:style w:type="character" w:styleId="1000" w:customStyle="1">
    <w:name w:val="Style1 Char"/>
    <w:basedOn w:val="996"/>
    <w:link w:val="999"/>
    <w:pPr>
      <w:pBdr/>
      <w:spacing/>
      <w:ind/>
    </w:pPr>
    <w:rPr>
      <w:i/>
      <w:color w:val="ff0000"/>
    </w:rPr>
  </w:style>
  <w:style w:type="paragraph" w:styleId="1001" w:customStyle="1">
    <w:name w:val="Bài tập"/>
    <w:basedOn w:val="986"/>
    <w:next w:val="986"/>
    <w:link w:val="1002"/>
    <w:qFormat/>
    <w:pPr>
      <w:numPr>
        <w:numId w:val="3"/>
      </w:numPr>
      <w:pBdr/>
      <w:spacing w:after="0" w:before="240"/>
      <w:ind/>
    </w:pPr>
  </w:style>
  <w:style w:type="character" w:styleId="1002" w:customStyle="1">
    <w:name w:val="Bài tập Char"/>
    <w:basedOn w:val="996"/>
    <w:link w:val="1001"/>
    <w:pPr>
      <w:pBdr/>
      <w:spacing/>
      <w:ind/>
    </w:pPr>
    <w:rPr>
      <w:sz w:val="24"/>
    </w:rPr>
  </w:style>
  <w:style w:type="character" w:styleId="1003" w:customStyle="1">
    <w:name w:val="Heading 1 Char"/>
    <w:basedOn w:val="996"/>
    <w:link w:val="987"/>
    <w:uiPriority w:val="9"/>
    <w:pPr>
      <w:pBdr/>
      <w:spacing/>
      <w:ind/>
    </w:pPr>
    <w:rPr>
      <w:rFonts w:asciiTheme="majorHAnsi" w:hAnsiTheme="majorHAnsi" w:eastAsiaTheme="majorEastAsia" w:cstheme="majorBidi"/>
      <w:color w:val="ed7d31" w:themeColor="accent2"/>
      <w:sz w:val="32"/>
      <w:szCs w:val="32"/>
    </w:rPr>
  </w:style>
  <w:style w:type="character" w:styleId="1004" w:customStyle="1">
    <w:name w:val="Heading 2 Char"/>
    <w:basedOn w:val="996"/>
    <w:link w:val="988"/>
    <w:uiPriority w:val="9"/>
    <w:pPr>
      <w:pBdr/>
      <w:spacing/>
      <w:ind/>
    </w:pPr>
    <w:rPr>
      <w:rFonts w:asciiTheme="majorHAnsi" w:hAnsiTheme="majorHAnsi" w:eastAsiaTheme="majorEastAsia" w:cstheme="majorBidi"/>
      <w:color w:val="2e74b5" w:themeColor="accent1" w:themeShade="BF"/>
      <w:sz w:val="26"/>
      <w:szCs w:val="26"/>
    </w:rPr>
  </w:style>
  <w:style w:type="character" w:styleId="1005" w:customStyle="1">
    <w:name w:val="Heading 3 Char"/>
    <w:basedOn w:val="996"/>
    <w:link w:val="989"/>
    <w:uiPriority w:val="9"/>
    <w:pPr>
      <w:pBdr/>
      <w:spacing/>
      <w:ind/>
    </w:pPr>
    <w:rPr>
      <w:rFonts w:asciiTheme="majorHAnsi" w:hAnsiTheme="majorHAnsi" w:eastAsiaTheme="majorEastAsia" w:cstheme="majorBidi"/>
      <w:color w:val="1f4d78" w:themeColor="accent1" w:themeShade="7F"/>
      <w:sz w:val="24"/>
      <w:szCs w:val="24"/>
    </w:rPr>
  </w:style>
  <w:style w:type="character" w:styleId="1006" w:customStyle="1">
    <w:name w:val="Heading 4 Char"/>
    <w:basedOn w:val="996"/>
    <w:link w:val="990"/>
    <w:uiPriority w:val="9"/>
    <w:semiHidden/>
    <w:pPr>
      <w:pBdr/>
      <w:spacing/>
      <w:ind/>
    </w:pPr>
    <w:rPr>
      <w:rFonts w:asciiTheme="majorHAnsi" w:hAnsiTheme="majorHAnsi" w:eastAsiaTheme="majorEastAsia" w:cstheme="majorBidi"/>
      <w:i/>
      <w:iCs/>
      <w:color w:val="2e74b5" w:themeColor="accent1" w:themeShade="BF"/>
    </w:rPr>
  </w:style>
  <w:style w:type="character" w:styleId="1007" w:customStyle="1">
    <w:name w:val="Heading 5 Char"/>
    <w:basedOn w:val="996"/>
    <w:link w:val="991"/>
    <w:uiPriority w:val="9"/>
    <w:semiHidden/>
    <w:pPr>
      <w:pBdr/>
      <w:spacing/>
      <w:ind/>
    </w:pPr>
    <w:rPr>
      <w:rFonts w:asciiTheme="majorHAnsi" w:hAnsiTheme="majorHAnsi" w:eastAsiaTheme="majorEastAsia" w:cstheme="majorBidi"/>
      <w:color w:val="2e74b5" w:themeColor="accent1" w:themeShade="BF"/>
    </w:rPr>
  </w:style>
  <w:style w:type="character" w:styleId="1008" w:customStyle="1">
    <w:name w:val="Heading 6 Char"/>
    <w:basedOn w:val="996"/>
    <w:link w:val="992"/>
    <w:uiPriority w:val="9"/>
    <w:semiHidden/>
    <w:pPr>
      <w:pBdr/>
      <w:spacing/>
      <w:ind/>
    </w:pPr>
    <w:rPr>
      <w:rFonts w:asciiTheme="majorHAnsi" w:hAnsiTheme="majorHAnsi" w:eastAsiaTheme="majorEastAsia" w:cstheme="majorBidi"/>
      <w:color w:val="1f4d78" w:themeColor="accent1" w:themeShade="7F"/>
    </w:rPr>
  </w:style>
  <w:style w:type="character" w:styleId="1009" w:customStyle="1">
    <w:name w:val="Heading 7 Char"/>
    <w:basedOn w:val="996"/>
    <w:link w:val="993"/>
    <w:uiPriority w:val="9"/>
    <w:semiHidden/>
    <w:pPr>
      <w:pBdr/>
      <w:spacing/>
      <w:ind/>
    </w:pPr>
    <w:rPr>
      <w:rFonts w:asciiTheme="majorHAnsi" w:hAnsiTheme="majorHAnsi" w:eastAsiaTheme="majorEastAsia" w:cstheme="majorBidi"/>
      <w:i/>
      <w:iCs/>
      <w:color w:val="1f4d78" w:themeColor="accent1" w:themeShade="7F"/>
    </w:rPr>
  </w:style>
  <w:style w:type="character" w:styleId="1010" w:customStyle="1">
    <w:name w:val="Heading 8 Char"/>
    <w:basedOn w:val="996"/>
    <w:link w:val="994"/>
    <w:uiPriority w:val="9"/>
    <w:semiHidden/>
    <w:pPr>
      <w:pBdr/>
      <w:spacing/>
      <w:ind/>
    </w:pPr>
    <w:rPr>
      <w:rFonts w:asciiTheme="majorHAnsi" w:hAnsiTheme="majorHAnsi" w:eastAsiaTheme="majorEastAsia" w:cstheme="majorBidi"/>
      <w:color w:val="272727" w:themeColor="text1" w:themeTint="D8"/>
      <w:sz w:val="21"/>
      <w:szCs w:val="21"/>
    </w:rPr>
  </w:style>
  <w:style w:type="character" w:styleId="1011" w:customStyle="1">
    <w:name w:val="Heading 9 Char"/>
    <w:basedOn w:val="996"/>
    <w:link w:val="995"/>
    <w:uiPriority w:val="9"/>
    <w:semiHidden/>
    <w:pPr>
      <w:pBdr/>
      <w:spacing/>
      <w:ind/>
    </w:pPr>
    <w:rPr>
      <w:rFonts w:asciiTheme="majorHAnsi" w:hAnsiTheme="majorHAnsi" w:eastAsiaTheme="majorEastAsia" w:cstheme="majorBidi"/>
      <w:i/>
      <w:iCs/>
      <w:color w:val="272727" w:themeColor="text1" w:themeTint="D8"/>
      <w:sz w:val="21"/>
      <w:szCs w:val="21"/>
    </w:rPr>
  </w:style>
  <w:style w:type="paragraph" w:styleId="1012">
    <w:name w:val="Title"/>
    <w:basedOn w:val="986"/>
    <w:next w:val="986"/>
    <w:link w:val="1013"/>
    <w:uiPriority w:val="10"/>
    <w:qFormat/>
    <w:pPr>
      <w:pBdr/>
      <w:spacing w:line="240" w:lineRule="auto"/>
      <w:ind/>
      <w:jc w:val="center"/>
    </w:pPr>
    <w:rPr>
      <w:rFonts w:ascii="Cambria" w:hAnsi="Cambria" w:eastAsiaTheme="majorEastAsia" w:cstheme="majorBidi"/>
      <w:color w:val="0070c0"/>
      <w:spacing w:val="-10"/>
      <w:sz w:val="48"/>
      <w:szCs w:val="56"/>
    </w:rPr>
  </w:style>
  <w:style w:type="character" w:styleId="1013" w:customStyle="1">
    <w:name w:val="Title Char"/>
    <w:basedOn w:val="996"/>
    <w:link w:val="1012"/>
    <w:uiPriority w:val="10"/>
    <w:pPr>
      <w:pBdr/>
      <w:spacing/>
      <w:ind/>
    </w:pPr>
    <w:rPr>
      <w:rFonts w:ascii="Cambria" w:hAnsi="Cambria" w:eastAsiaTheme="majorEastAsia" w:cstheme="majorBidi"/>
      <w:color w:val="0070c0"/>
      <w:spacing w:val="-10"/>
      <w:sz w:val="48"/>
      <w:szCs w:val="56"/>
    </w:rPr>
  </w:style>
  <w:style w:type="paragraph" w:styleId="1014">
    <w:name w:val="Subtitle"/>
    <w:basedOn w:val="986"/>
    <w:next w:val="986"/>
    <w:link w:val="1015"/>
    <w:uiPriority w:val="11"/>
    <w:qFormat/>
    <w:pPr>
      <w:numPr>
        <w:ilvl w:val="1"/>
      </w:numPr>
      <w:pBdr/>
      <w:spacing w:line="240" w:lineRule="auto"/>
      <w:ind/>
      <w:jc w:val="center"/>
    </w:pPr>
    <w:rPr>
      <w:rFonts w:eastAsiaTheme="minorEastAsia"/>
      <w:color w:val="5a5a5a" w:themeColor="text1" w:themeTint="A5"/>
      <w:spacing w:val="15"/>
      <w:sz w:val="40"/>
    </w:rPr>
  </w:style>
  <w:style w:type="character" w:styleId="1015" w:customStyle="1">
    <w:name w:val="Subtitle Char"/>
    <w:basedOn w:val="996"/>
    <w:link w:val="1014"/>
    <w:uiPriority w:val="11"/>
    <w:pPr>
      <w:pBdr/>
      <w:spacing/>
      <w:ind/>
    </w:pPr>
    <w:rPr>
      <w:rFonts w:eastAsiaTheme="minorEastAsia"/>
      <w:color w:val="5a5a5a" w:themeColor="text1" w:themeTint="A5"/>
      <w:spacing w:val="15"/>
      <w:sz w:val="40"/>
    </w:rPr>
  </w:style>
  <w:style w:type="character" w:styleId="1016">
    <w:name w:val="Emphasis"/>
    <w:basedOn w:val="996"/>
    <w:uiPriority w:val="20"/>
    <w:qFormat/>
    <w:pPr>
      <w:pBdr/>
      <w:spacing/>
      <w:ind/>
    </w:pPr>
    <w:rPr>
      <w:i/>
      <w:iCs/>
      <w:color w:val="ff0000"/>
    </w:rPr>
  </w:style>
  <w:style w:type="paragraph" w:styleId="1017">
    <w:name w:val="List Paragraph"/>
    <w:basedOn w:val="986"/>
    <w:uiPriority w:val="34"/>
    <w:qFormat/>
    <w:pPr>
      <w:pBdr/>
      <w:spacing/>
      <w:ind w:left="720"/>
    </w:pPr>
  </w:style>
  <w:style w:type="character" w:styleId="1018">
    <w:name w:val="annotation reference"/>
    <w:basedOn w:val="996"/>
    <w:uiPriority w:val="99"/>
    <w:semiHidden/>
    <w:unhideWhenUsed/>
    <w:pPr>
      <w:pBdr/>
      <w:spacing/>
      <w:ind/>
    </w:pPr>
    <w:rPr>
      <w:sz w:val="16"/>
      <w:szCs w:val="16"/>
    </w:rPr>
  </w:style>
  <w:style w:type="paragraph" w:styleId="1019">
    <w:name w:val="annotation text"/>
    <w:basedOn w:val="986"/>
    <w:link w:val="1020"/>
    <w:uiPriority w:val="99"/>
    <w:semiHidden/>
    <w:unhideWhenUsed/>
    <w:pPr>
      <w:pBdr/>
      <w:spacing w:line="240" w:lineRule="auto"/>
      <w:ind/>
    </w:pPr>
    <w:rPr>
      <w:sz w:val="20"/>
      <w:szCs w:val="20"/>
    </w:rPr>
  </w:style>
  <w:style w:type="character" w:styleId="1020" w:customStyle="1">
    <w:name w:val="Comment Text Char"/>
    <w:basedOn w:val="996"/>
    <w:link w:val="1019"/>
    <w:uiPriority w:val="99"/>
    <w:semiHidden/>
    <w:pPr>
      <w:pBdr/>
      <w:spacing/>
      <w:ind/>
    </w:pPr>
    <w:rPr>
      <w:sz w:val="20"/>
      <w:szCs w:val="20"/>
    </w:rPr>
  </w:style>
  <w:style w:type="paragraph" w:styleId="1021">
    <w:name w:val="annotation subject"/>
    <w:basedOn w:val="1019"/>
    <w:next w:val="1019"/>
    <w:link w:val="1022"/>
    <w:uiPriority w:val="99"/>
    <w:semiHidden/>
    <w:unhideWhenUsed/>
    <w:pPr>
      <w:pBdr/>
      <w:spacing/>
      <w:ind/>
    </w:pPr>
    <w:rPr>
      <w:b/>
      <w:bCs/>
    </w:rPr>
  </w:style>
  <w:style w:type="character" w:styleId="1022" w:customStyle="1">
    <w:name w:val="Comment Subject Char"/>
    <w:basedOn w:val="1020"/>
    <w:link w:val="1021"/>
    <w:uiPriority w:val="99"/>
    <w:semiHidden/>
    <w:pPr>
      <w:pBdr/>
      <w:spacing/>
      <w:ind/>
    </w:pPr>
    <w:rPr>
      <w:b/>
      <w:bCs/>
      <w:sz w:val="20"/>
      <w:szCs w:val="20"/>
    </w:rPr>
  </w:style>
  <w:style w:type="paragraph" w:styleId="1023">
    <w:name w:val="Balloon Text"/>
    <w:basedOn w:val="986"/>
    <w:link w:val="1024"/>
    <w:uiPriority w:val="99"/>
    <w:semiHidden/>
    <w:unhideWhenUsed/>
    <w:pPr>
      <w:pBdr/>
      <w:spacing w:after="0" w:line="240" w:lineRule="auto"/>
      <w:ind/>
    </w:pPr>
    <w:rPr>
      <w:rFonts w:ascii="Segoe UI" w:hAnsi="Segoe UI" w:cs="Segoe UI"/>
      <w:sz w:val="18"/>
      <w:szCs w:val="18"/>
    </w:rPr>
  </w:style>
  <w:style w:type="character" w:styleId="1024" w:customStyle="1">
    <w:name w:val="Balloon Text Char"/>
    <w:basedOn w:val="996"/>
    <w:link w:val="1023"/>
    <w:uiPriority w:val="99"/>
    <w:semiHidden/>
    <w:pPr>
      <w:pBdr/>
      <w:spacing/>
      <w:ind/>
    </w:pPr>
    <w:rPr>
      <w:rFonts w:ascii="Segoe UI" w:hAnsi="Segoe UI" w:cs="Segoe UI"/>
      <w:sz w:val="18"/>
      <w:szCs w:val="18"/>
    </w:rPr>
  </w:style>
  <w:style w:type="paragraph" w:styleId="1025">
    <w:name w:val="Header"/>
    <w:basedOn w:val="986"/>
    <w:link w:val="1026"/>
    <w:uiPriority w:val="99"/>
    <w:unhideWhenUsed/>
    <w:pPr>
      <w:pBdr/>
      <w:tabs>
        <w:tab w:val="center" w:leader="none" w:pos="4513"/>
        <w:tab w:val="right" w:leader="none" w:pos="9026"/>
      </w:tabs>
      <w:spacing w:after="0" w:line="240" w:lineRule="auto"/>
      <w:ind/>
    </w:pPr>
  </w:style>
  <w:style w:type="character" w:styleId="1026" w:customStyle="1">
    <w:name w:val="Header Char"/>
    <w:basedOn w:val="996"/>
    <w:link w:val="1025"/>
    <w:uiPriority w:val="99"/>
    <w:pPr>
      <w:pBdr/>
      <w:spacing/>
      <w:ind/>
    </w:pPr>
    <w:rPr>
      <w:sz w:val="24"/>
    </w:rPr>
  </w:style>
  <w:style w:type="paragraph" w:styleId="1027">
    <w:name w:val="Footer"/>
    <w:basedOn w:val="986"/>
    <w:link w:val="1028"/>
    <w:uiPriority w:val="99"/>
    <w:unhideWhenUsed/>
    <w:pPr>
      <w:pBdr/>
      <w:tabs>
        <w:tab w:val="center" w:leader="none" w:pos="4513"/>
        <w:tab w:val="right" w:leader="none" w:pos="9026"/>
      </w:tabs>
      <w:spacing w:after="0" w:line="240" w:lineRule="auto"/>
      <w:ind/>
    </w:pPr>
  </w:style>
  <w:style w:type="character" w:styleId="1028" w:customStyle="1">
    <w:name w:val="Footer Char"/>
    <w:basedOn w:val="996"/>
    <w:link w:val="1027"/>
    <w:uiPriority w:val="99"/>
    <w:pPr>
      <w:pBdr/>
      <w:spacing/>
      <w:ind/>
    </w:pPr>
    <w:rPr>
      <w:sz w:val="24"/>
    </w:rPr>
  </w:style>
  <w:style w:type="paragraph" w:styleId="1029">
    <w:name w:val="Caption"/>
    <w:basedOn w:val="986"/>
    <w:next w:val="986"/>
    <w:uiPriority w:val="35"/>
    <w:unhideWhenUsed/>
    <w:qFormat/>
    <w:pPr>
      <w:pBdr/>
      <w:spacing w:after="200" w:line="240" w:lineRule="auto"/>
      <w:ind/>
      <w:jc w:val="center"/>
    </w:pPr>
    <w:rPr>
      <w:i/>
      <w:iCs/>
      <w:color w:val="44546a" w:themeColor="text2"/>
      <w:sz w:val="18"/>
      <w:szCs w:val="18"/>
    </w:rPr>
  </w:style>
  <w:style w:type="character" w:styleId="1030">
    <w:name w:val="Placeholder Text"/>
    <w:basedOn w:val="996"/>
    <w:uiPriority w:val="99"/>
    <w:semiHidden/>
    <w:pPr>
      <w:pBdr/>
      <w:spacing/>
      <w:ind/>
    </w:pPr>
    <w:rPr>
      <w:color w:val="808080"/>
    </w:rPr>
  </w:style>
  <w:style w:type="table" w:styleId="1031">
    <w:name w:val="Table Grid"/>
    <w:basedOn w:val="997"/>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32">
    <w:name w:val="Hyperlink"/>
    <w:basedOn w:val="996"/>
    <w:uiPriority w:val="99"/>
    <w:unhideWhenUsed/>
    <w:pPr>
      <w:pBdr/>
      <w:spacing/>
      <w:ind/>
    </w:pPr>
    <w:rPr>
      <w:color w:val="0563c1" w:themeColor="hyperlink"/>
      <w:u w:val="single"/>
    </w:rPr>
  </w:style>
  <w:style w:type="paragraph" w:styleId="1033">
    <w:name w:val="Normal (Web)"/>
    <w:basedOn w:val="986"/>
    <w:uiPriority w:val="99"/>
    <w:semiHidden/>
    <w:unhideWhenUsed/>
    <w:pPr>
      <w:pBdr/>
      <w:spacing w:after="100" w:afterAutospacing="1" w:before="100" w:beforeAutospacing="1" w:line="240" w:lineRule="auto"/>
      <w:ind/>
      <w:contextualSpacing w:val="false"/>
    </w:pPr>
    <w:rPr>
      <w:rFonts w:ascii="Times New Roman" w:hAnsi="Times New Roman" w:eastAsia="Times New Roman" w:cs="Times New Roman"/>
      <w:szCs w:val="24"/>
      <w:lang w:val="en-US" w:eastAsia="en-US"/>
    </w:rPr>
  </w:style>
  <w:style w:type="character" w:styleId="1034">
    <w:name w:val="Unresolved Mention"/>
    <w:basedOn w:val="996"/>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Dinh Khoi</dc:creator>
  <cp:keywords/>
  <dc:description/>
  <cp:revision>33</cp:revision>
  <dcterms:created xsi:type="dcterms:W3CDTF">2026-04-06T05:37:00Z</dcterms:created>
  <dcterms:modified xsi:type="dcterms:W3CDTF">2026-05-10T18:05:33Z</dcterms:modified>
</cp:coreProperties>
</file>