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9FD069" w14:textId="77777777">
      <w:pPr>
        <w:pStyle w:val="834"/>
        <w:pBdr/>
        <w:spacing w:line="403" w:lineRule="exact"/>
        <w:ind/>
        <w:rPr>
          <w:rFonts w:ascii="IBM Plex Serif" w:hAnsi="IBM Plex Serif" w:cs="IBM Plex Serif"/>
          <w:sz w:val="40"/>
          <w:szCs w:val="40"/>
        </w:rPr>
      </w:pPr>
      <w:r>
        <w:rPr>
          <w:rFonts w:ascii="IBM Plex Serif" w:hAnsi="IBM Plex Serif" w:eastAsia="IBM Plex Serif" w:cs="IBM Plex Serif"/>
          <w:sz w:val="40"/>
          <w:szCs w:val="40"/>
          <w:lang w:val="en-US"/>
        </w:rPr>
        <w:t xml:space="preserve">Natural Language Processing</w:t>
      </w:r>
      <w:r>
        <w:rPr>
          <w:rFonts w:ascii="IBM Plex Serif" w:hAnsi="IBM Plex Serif" w:eastAsia="IBM Plex Serif" w:cs="IBM Plex Serif"/>
          <w:sz w:val="40"/>
          <w:szCs w:val="40"/>
          <w:lang w:val="en-US"/>
        </w:rPr>
        <w:t xml:space="preserve"> (AI</w:t>
      </w:r>
      <w:r>
        <w:rPr>
          <w:rFonts w:ascii="IBM Plex Serif" w:hAnsi="IBM Plex Serif" w:eastAsia="IBM Plex Serif" w:cs="IBM Plex Serif"/>
          <w:sz w:val="40"/>
          <w:szCs w:val="40"/>
          <w:lang w:val="en-US"/>
        </w:rPr>
        <w:t xml:space="preserve">408</w:t>
      </w:r>
      <w:r>
        <w:rPr>
          <w:rFonts w:ascii="IBM Plex Serif" w:hAnsi="IBM Plex Serif" w:eastAsia="IBM Plex Serif" w:cs="IBM Plex Serif"/>
          <w:sz w:val="40"/>
          <w:szCs w:val="40"/>
          <w:lang w:val="en-US"/>
        </w:rPr>
        <w:t xml:space="preserve">DV01)</w:t>
      </w:r>
      <w:r>
        <w:rPr>
          <w:rFonts w:ascii="IBM Plex Serif" w:hAnsi="IBM Plex Serif" w:eastAsia="IBM Plex Serif" w:cs="IBM Plex Serif"/>
          <w:sz w:val="40"/>
          <w:szCs w:val="40"/>
          <w:lang w:val="en-US"/>
        </w:rPr>
      </w:r>
    </w:p>
    <w:p w14:paraId="7F048EEA" w14:textId="6602CF7F">
      <w:pPr>
        <w:pStyle w:val="834"/>
        <w:pBdr/>
        <w:spacing w:line="403" w:lineRule="exact"/>
        <w:ind/>
        <w:rPr>
          <w:rFonts w:ascii="IBM Plex Serif" w:hAnsi="IBM Plex Serif" w:cs="IBM Plex Serif"/>
          <w:sz w:val="40"/>
          <w:szCs w:val="40"/>
        </w:rPr>
      </w:pPr>
      <w:r>
        <w:rPr>
          <w:rFonts w:ascii="IBM Plex Serif" w:hAnsi="IBM Plex Serif" w:eastAsia="IBM Plex Serif" w:cs="IBM Plex Serif"/>
          <w:sz w:val="40"/>
          <w:szCs w:val="40"/>
          <w:lang w:val="en-US"/>
        </w:rPr>
        <w:t xml:space="preserve">Bài tập thực hành cá nhân</w:t>
      </w:r>
      <w:r>
        <w:rPr>
          <w:rFonts w:ascii="IBM Plex Serif" w:hAnsi="IBM Plex Serif" w:eastAsia="IBM Plex Serif" w:cs="IBM Plex Serif"/>
          <w:sz w:val="40"/>
          <w:szCs w:val="40"/>
          <w:lang w:val="en-US"/>
        </w:rPr>
        <w:t xml:space="preserve"> – Tuần 0</w:t>
      </w:r>
      <w:r>
        <w:rPr>
          <w:rFonts w:ascii="IBM Plex Serif" w:hAnsi="IBM Plex Serif" w:eastAsia="IBM Plex Serif" w:cs="IBM Plex Serif"/>
          <w:sz w:val="40"/>
          <w:szCs w:val="40"/>
          <w:lang w:val="en-US"/>
        </w:rPr>
        <w:t xml:space="preserve">9</w:t>
      </w:r>
      <w:r>
        <w:rPr>
          <w:rFonts w:ascii="IBM Plex Serif" w:hAnsi="IBM Plex Serif" w:eastAsia="IBM Plex Serif" w:cs="IBM Plex Serif"/>
          <w:sz w:val="40"/>
          <w:szCs w:val="40"/>
          <w:lang w:val="en-US"/>
        </w:rPr>
      </w:r>
    </w:p>
    <w:tbl>
      <w:tblPr>
        <w:tblStyle w:val="853"/>
        <w:tblW w:w="5000" w:type="pct"/>
        <w:tblBorders/>
        <w:tblLayout w:type="fixed"/>
        <w:tblLook w:val="04A0" w:firstRow="1" w:lastRow="0" w:firstColumn="1" w:lastColumn="0" w:noHBand="0" w:noVBand="1"/>
      </w:tblPr>
      <w:tblGrid>
        <w:gridCol w:w="2387"/>
        <w:gridCol w:w="6639"/>
      </w:tblGrid>
      <w:tr>
        <w:trPr/>
        <w:tc>
          <w:tcPr>
            <w:tcBorders/>
            <w:tcW w:w="2387" w:type="dxa"/>
          </w:tcPr>
          <w:p w14:paraId="5E82A682" w14:textId="12497A81">
            <w:pPr>
              <w:pBdr/>
              <w:spacing w:line="403" w:lineRule="exact"/>
              <w:ind/>
              <w:rPr>
                <w:rFonts w:ascii="IBM Plex Serif" w:hAnsi="IBM Plex Serif" w:cs="IBM Plex Serif"/>
                <w:b/>
                <w:bCs/>
              </w:rPr>
            </w:pPr>
            <w:r>
              <w:rPr>
                <w:rFonts w:ascii="IBM Plex Serif" w:hAnsi="IBM Plex Serif" w:eastAsia="IBM Plex Serif" w:cs="IBM Plex Serif"/>
                <w:b/>
                <w:bCs/>
              </w:rPr>
              <w:t xml:space="preserve">Name</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p>
        </w:tc>
        <w:tc>
          <w:tcPr>
            <w:tcBorders/>
            <w:tcW w:w="6639" w:type="dxa"/>
          </w:tcPr>
          <w:p w14:paraId="553ABCCD" w14:textId="77777777">
            <w:pPr>
              <w:pBdr/>
              <w:spacing w:line="403" w:lineRule="exact"/>
              <w:ind/>
              <w:rPr>
                <w:rFonts w:ascii="IBM Plex Serif" w:hAnsi="IBM Plex Serif" w:cs="IBM Plex Serif"/>
                <w:b w:val="0"/>
                <w:bCs w:val="0"/>
              </w:rPr>
            </w:pPr>
            <w:r>
              <w:rPr>
                <w:rFonts w:ascii="IBM Plex Serif" w:hAnsi="IBM Plex Serif" w:eastAsia="IBM Plex Serif" w:cs="IBM Plex Serif"/>
                <w:b w:val="0"/>
                <w:bCs w:val="0"/>
              </w:rPr>
              <w:t xml:space="preserve">Nguyễn </w:t>
            </w:r>
            <w:r>
              <w:rPr>
                <w:rFonts w:ascii="IBM Plex Serif" w:hAnsi="IBM Plex Serif" w:eastAsia="IBM Plex Serif" w:cs="IBM Plex Serif"/>
                <w:b w:val="0"/>
                <w:bCs w:val="0"/>
              </w:rPr>
              <w:t xml:space="preserve">Phúc </w:t>
            </w:r>
            <w:r>
              <w:rPr>
                <w:rFonts w:ascii="IBM Plex Serif" w:hAnsi="IBM Plex Serif" w:eastAsia="IBM Plex Serif" w:cs="IBM Plex Serif"/>
                <w:b w:val="0"/>
                <w:bCs w:val="0"/>
              </w:rPr>
              <w:t xml:space="preserve">Minh </w:t>
            </w:r>
            <w:r>
              <w:rPr>
                <w:rFonts w:ascii="IBM Plex Serif" w:hAnsi="IBM Plex Serif" w:eastAsia="IBM Plex Serif" w:cs="IBM Plex Serif"/>
                <w:b w:val="0"/>
                <w:bCs w:val="0"/>
              </w:rPr>
              <w:t xml:space="preserve">Châu</w:t>
            </w:r>
            <w:r>
              <w:rPr>
                <w:rFonts w:ascii="IBM Plex Serif" w:hAnsi="IBM Plex Serif" w:eastAsia="IBM Plex Serif" w:cs="IBM Plex Serif"/>
                <w:b w:val="0"/>
                <w:bCs w:val="0"/>
              </w:rPr>
            </w:r>
            <w:r>
              <w:rPr>
                <w:rFonts w:ascii="IBM Plex Serif" w:hAnsi="IBM Plex Serif" w:eastAsia="IBM Plex Serif" w:cs="IBM Plex Serif"/>
                <w:b w:val="0"/>
                <w:bCs w:val="0"/>
              </w:rPr>
            </w:r>
          </w:p>
        </w:tc>
      </w:tr>
      <w:tr>
        <w:trPr/>
        <w:tc>
          <w:tcPr>
            <w:tcBorders/>
            <w:tcW w:w="2387" w:type="dxa"/>
          </w:tcPr>
          <w:p w14:paraId="016DA79B" w14:textId="4F26E68C">
            <w:pPr>
              <w:pBdr/>
              <w:spacing w:line="403" w:lineRule="exact"/>
              <w:ind w:hanging="360" w:left="360"/>
              <w:rPr>
                <w:rFonts w:ascii="IBM Plex Serif" w:hAnsi="IBM Plex Serif" w:cs="IBM Plex Serif"/>
                <w:b/>
                <w:bCs/>
              </w:rPr>
            </w:pPr>
            <w:r>
              <w:rPr>
                <w:rFonts w:ascii="IBM Plex Serif" w:hAnsi="IBM Plex Serif" w:eastAsia="IBM Plex Serif" w:cs="IBM Plex Serif"/>
                <w:b/>
                <w:bCs/>
              </w:rPr>
              <w:t xml:space="preserve">Student ID</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p>
        </w:tc>
        <w:tc>
          <w:tcPr>
            <w:tcBorders/>
            <w:tcW w:w="6639" w:type="dxa"/>
          </w:tcPr>
          <w:p w14:paraId="66C38587" w14:textId="77777777">
            <w:pPr>
              <w:pBdr/>
              <w:spacing w:line="403" w:lineRule="exact"/>
              <w:ind/>
              <w:rPr>
                <w:rFonts w:ascii="IBM Plex Serif" w:hAnsi="IBM Plex Serif" w:cs="IBM Plex Serif"/>
                <w:b w:val="0"/>
                <w:bCs w:val="0"/>
              </w:rPr>
            </w:pPr>
            <w:r>
              <w:rPr>
                <w:rFonts w:ascii="IBM Plex Serif" w:hAnsi="IBM Plex Serif" w:eastAsia="IBM Plex Serif" w:cs="IBM Plex Serif"/>
                <w:b w:val="0"/>
                <w:bCs w:val="0"/>
                <w:lang w:val="en-US"/>
              </w:rPr>
              <w:t xml:space="preserve">22302421</w:t>
            </w:r>
            <w:r>
              <w:rPr>
                <w:rFonts w:ascii="IBM Plex Serif" w:hAnsi="IBM Plex Serif" w:eastAsia="IBM Plex Serif" w:cs="IBM Plex Serif"/>
                <w:b w:val="0"/>
                <w:bCs w:val="0"/>
              </w:rPr>
            </w:r>
          </w:p>
        </w:tc>
      </w:tr>
      <w:tr>
        <w:trPr/>
        <w:tc>
          <w:tcPr>
            <w:tcBorders/>
            <w:tcW w:w="2387" w:type="dxa"/>
          </w:tcPr>
          <w:p w14:paraId="237AA542" w14:textId="68D78A2A">
            <w:pPr>
              <w:pBdr/>
              <w:spacing w:line="403" w:lineRule="exact"/>
              <w:ind/>
              <w:rPr>
                <w:rFonts w:ascii="IBM Plex Serif" w:hAnsi="IBM Plex Serif" w:cs="IBM Plex Serif"/>
                <w:b/>
                <w:bCs/>
              </w:rPr>
            </w:pPr>
            <w:r>
              <w:rPr>
                <w:rFonts w:ascii="IBM Plex Serif" w:hAnsi="IBM Plex Serif" w:eastAsia="IBM Plex Serif" w:cs="IBM Plex Serif"/>
                <w:b/>
                <w:bCs/>
              </w:rPr>
              <w:t xml:space="preserve">Deadline:</w:t>
            </w:r>
            <w:r>
              <w:rPr>
                <w:rFonts w:ascii="IBM Plex Serif" w:hAnsi="IBM Plex Serif" w:eastAsia="IBM Plex Serif" w:cs="IBM Plex Serif"/>
                <w:b/>
                <w:bCs/>
              </w:rPr>
            </w:r>
          </w:p>
        </w:tc>
        <w:tc>
          <w:tcPr>
            <w:tcBorders/>
            <w:tcW w:w="6639" w:type="dxa"/>
          </w:tcPr>
          <w:p w14:paraId="332287B4" w14:textId="71B31A49">
            <w:pPr>
              <w:pBdr/>
              <w:spacing w:line="403" w:lineRule="exact"/>
              <w:ind/>
              <w:rPr>
                <w:rFonts w:ascii="IBM Plex Serif" w:hAnsi="IBM Plex Serif" w:cs="IBM Plex Serif"/>
                <w:b w:val="0"/>
                <w:bCs w:val="0"/>
              </w:rPr>
            </w:pPr>
            <w:r>
              <w:rPr>
                <w:rFonts w:ascii="IBM Plex Serif" w:hAnsi="IBM Plex Serif" w:eastAsia="IBM Plex Serif" w:cs="IBM Plex Serif"/>
                <w:b w:val="0"/>
                <w:bCs w:val="0"/>
              </w:rPr>
              <w:t xml:space="preserve">18/</w:t>
            </w:r>
            <w:r>
              <w:rPr>
                <w:rFonts w:ascii="IBM Plex Serif" w:hAnsi="IBM Plex Serif" w:eastAsia="IBM Plex Serif" w:cs="IBM Plex Serif"/>
                <w:b w:val="0"/>
                <w:bCs w:val="0"/>
              </w:rPr>
              <w:t xml:space="preserve">05</w:t>
            </w:r>
            <w:r>
              <w:rPr>
                <w:rFonts w:ascii="IBM Plex Serif" w:hAnsi="IBM Plex Serif" w:eastAsia="IBM Plex Serif" w:cs="IBM Plex Serif"/>
                <w:b w:val="0"/>
                <w:bCs w:val="0"/>
                <w:lang w:val="en-US"/>
              </w:rPr>
              <w:t xml:space="preserve">/</w:t>
            </w:r>
            <w:r>
              <w:rPr>
                <w:rFonts w:ascii="IBM Plex Serif" w:hAnsi="IBM Plex Serif" w:eastAsia="IBM Plex Serif" w:cs="IBM Plex Serif"/>
                <w:b w:val="0"/>
                <w:bCs w:val="0"/>
                <w:lang w:val="en-US"/>
              </w:rPr>
              <w:t xml:space="preserve">2026 - </w:t>
            </w:r>
            <w:r>
              <w:rPr>
                <w:rFonts w:ascii="IBM Plex Serif" w:hAnsi="IBM Plex Serif" w:eastAsia="IBM Plex Serif" w:cs="IBM Plex Serif"/>
                <w:b w:val="0"/>
                <w:bCs w:val="0"/>
                <w:lang w:val="en-US"/>
              </w:rPr>
              <w:t xml:space="preserve">25/</w:t>
            </w:r>
            <w:r>
              <w:rPr>
                <w:rFonts w:ascii="IBM Plex Serif" w:hAnsi="IBM Plex Serif" w:eastAsia="IBM Plex Serif" w:cs="IBM Plex Serif"/>
                <w:b w:val="0"/>
                <w:bCs w:val="0"/>
                <w:lang w:val="en-US"/>
              </w:rPr>
              <w:t xml:space="preserve">05/</w:t>
            </w:r>
            <w:r>
              <w:rPr>
                <w:rFonts w:ascii="IBM Plex Serif" w:hAnsi="IBM Plex Serif" w:eastAsia="IBM Plex Serif" w:cs="IBM Plex Serif"/>
                <w:b w:val="0"/>
                <w:bCs w:val="0"/>
                <w:lang w:val="en-US"/>
              </w:rPr>
              <w:t xml:space="preserve">2006</w:t>
            </w:r>
            <w:r>
              <w:rPr>
                <w:rFonts w:ascii="IBM Plex Serif" w:hAnsi="IBM Plex Serif" w:eastAsia="IBM Plex Serif" w:cs="IBM Plex Serif"/>
                <w:b w:val="0"/>
                <w:bCs w:val="0"/>
              </w:rPr>
            </w:r>
            <w:r>
              <w:rPr>
                <w:rFonts w:ascii="IBM Plex Serif" w:hAnsi="IBM Plex Serif" w:eastAsia="IBM Plex Serif" w:cs="IBM Plex Serif"/>
                <w:b w:val="0"/>
                <w:bCs w:val="0"/>
              </w:rPr>
            </w:r>
          </w:p>
        </w:tc>
      </w:tr>
      <w:tr>
        <w:trPr/>
        <w:tc>
          <w:tcPr>
            <w:tcBorders/>
            <w:tcW w:w="2387" w:type="dxa"/>
          </w:tcPr>
          <w:p w14:paraId="3E7B310C" w14:textId="34C08987">
            <w:pPr>
              <w:pBdr/>
              <w:spacing w:line="403" w:lineRule="exact"/>
              <w:ind/>
              <w:rPr>
                <w:rFonts w:ascii="IBM Plex Serif" w:hAnsi="IBM Plex Serif" w:cs="IBM Plex Serif"/>
                <w:b/>
                <w:bCs/>
              </w:rPr>
            </w:pPr>
            <w:r>
              <w:rPr>
                <w:rFonts w:ascii="IBM Plex Serif" w:hAnsi="IBM Plex Serif" w:eastAsia="IBM Plex Serif" w:cs="IBM Plex Serif"/>
                <w:b/>
                <w:bCs/>
              </w:rPr>
              <w:t xml:space="preserve">File name format:</w:t>
            </w:r>
            <w:r>
              <w:rPr>
                <w:rFonts w:ascii="IBM Plex Serif" w:hAnsi="IBM Plex Serif" w:eastAsia="IBM Plex Serif" w:cs="IBM Plex Serif"/>
                <w:b/>
                <w:bCs/>
              </w:rPr>
            </w:r>
          </w:p>
        </w:tc>
        <w:tc>
          <w:tcPr>
            <w:tcBorders/>
            <w:tcW w:w="6639" w:type="dxa"/>
          </w:tcPr>
          <w:p w14:paraId="171563D7" w14:textId="7EDE43D9">
            <w:pPr>
              <w:pBdr/>
              <w:spacing w:line="403" w:lineRule="exact"/>
              <w:ind/>
              <w:rPr>
                <w:rFonts w:ascii="IBM Plex Serif" w:hAnsi="IBM Plex Serif" w:cs="IBM Plex Serif"/>
                <w:b w:val="0"/>
                <w:bCs w:val="0"/>
              </w:rPr>
            </w:pPr>
            <w:r>
              <w:rPr>
                <w:rFonts w:ascii="IBM Plex Serif" w:hAnsi="IBM Plex Serif" w:eastAsia="IBM Plex Serif" w:cs="IBM Plex Serif"/>
                <w:b w:val="0"/>
                <w:bCs w:val="0"/>
              </w:rPr>
              <w:t xml:space="preserve">A</w:t>
            </w:r>
            <w:r>
              <w:rPr>
                <w:rFonts w:ascii="IBM Plex Serif" w:hAnsi="IBM Plex Serif" w:eastAsia="IBM Plex Serif" w:cs="IBM Plex Serif"/>
                <w:b w:val="0"/>
                <w:bCs w:val="0"/>
                <w:lang w:val="en-US"/>
              </w:rPr>
              <w:t xml:space="preserve">I301DV01</w:t>
            </w:r>
            <w:r>
              <w:rPr>
                <w:rFonts w:ascii="IBM Plex Serif" w:hAnsi="IBM Plex Serif" w:eastAsia="IBM Plex Serif" w:cs="IBM Plex Serif"/>
                <w:b w:val="0"/>
                <w:bCs w:val="0"/>
                <w:lang w:val="en-US"/>
              </w:rPr>
              <w:t xml:space="preserve">-</w:t>
            </w:r>
            <w:r>
              <w:rPr>
                <w:rFonts w:ascii="IBM Plex Serif" w:hAnsi="IBM Plex Serif" w:eastAsia="IBM Plex Serif" w:cs="IBM Plex Serif"/>
                <w:b w:val="0"/>
                <w:bCs w:val="0"/>
              </w:rPr>
              <w:t xml:space="preserve">Lab-</w:t>
            </w:r>
            <w:r>
              <w:rPr>
                <w:rFonts w:ascii="IBM Plex Serif" w:hAnsi="IBM Plex Serif" w:eastAsia="IBM Plex Serif" w:cs="IBM Plex Serif"/>
                <w:b w:val="0"/>
                <w:bCs w:val="0"/>
              </w:rPr>
              <w:t xml:space="preserve">09</w:t>
            </w:r>
            <w:r>
              <w:rPr>
                <w:rFonts w:ascii="IBM Plex Serif" w:hAnsi="IBM Plex Serif" w:eastAsia="IBM Plex Serif" w:cs="IBM Plex Serif"/>
                <w:b w:val="0"/>
                <w:bCs w:val="0"/>
                <w:lang w:val="en-US"/>
              </w:rPr>
              <w:t xml:space="preserve">-</w:t>
            </w:r>
            <w:r>
              <w:rPr>
                <w:rFonts w:ascii="IBM Plex Serif" w:hAnsi="IBM Plex Serif" w:eastAsia="IBM Plex Serif" w:cs="IBM Plex Serif"/>
                <w:b w:val="0"/>
                <w:bCs w:val="0"/>
                <w:lang w:val="en-US"/>
              </w:rPr>
              <w:t xml:space="preserve">22302421</w:t>
            </w:r>
            <w:r>
              <w:rPr>
                <w:rFonts w:ascii="IBM Plex Serif" w:hAnsi="IBM Plex Serif" w:eastAsia="IBM Plex Serif" w:cs="IBM Plex Serif"/>
                <w:b w:val="0"/>
                <w:bCs w:val="0"/>
              </w:rPr>
              <w:t xml:space="preserve">.pdf</w:t>
            </w:r>
            <w:r>
              <w:rPr>
                <w:rFonts w:ascii="IBM Plex Serif" w:hAnsi="IBM Plex Serif" w:eastAsia="IBM Plex Serif" w:cs="IBM Plex Serif"/>
                <w:b w:val="0"/>
                <w:bCs w:val="0"/>
              </w:rPr>
            </w:r>
          </w:p>
        </w:tc>
      </w:tr>
    </w:tbl>
    <w:p w14:paraId="27E20FB6" w14:textId="4D364DDD">
      <w:pPr>
        <w:pStyle w:val="809"/>
        <w:pBdr/>
        <w:spacing w:line="403" w:lineRule="exact"/>
        <w:ind/>
        <w:rPr>
          <w:rFonts w:ascii="IBM Plex Serif" w:hAnsi="IBM Plex Serif" w:cs="IBM Plex Serif"/>
        </w:rPr>
      </w:pPr>
      <w:r>
        <w:rPr>
          <w:rFonts w:ascii="IBM Plex Serif" w:hAnsi="IBM Plex Serif" w:eastAsia="IBM Plex Serif" w:cs="IBM Plex Serif"/>
          <w:lang w:val="en-US"/>
        </w:rPr>
        <w:t xml:space="preserve">Chuẩn bị</w:t>
      </w:r>
      <w:r>
        <w:rPr>
          <w:rFonts w:ascii="IBM Plex Serif" w:hAnsi="IBM Plex Serif" w:eastAsia="IBM Plex Serif" w:cs="IBM Plex Serif"/>
          <w:lang w:val="en-US"/>
        </w:rPr>
      </w:r>
    </w:p>
    <w:p w14:paraId="3755FBFD" w14:textId="22752C0C">
      <w:pPr>
        <w:pStyle w:val="839"/>
        <w:numPr>
          <w:ilvl w:val="0"/>
          <w:numId w:val="4"/>
        </w:numPr>
        <w:pBdr/>
        <w:spacing w:line="403" w:lineRule="exact"/>
        <w:ind/>
        <w:rPr>
          <w:rFonts w:ascii="IBM Plex Serif" w:hAnsi="IBM Plex Serif" w:cs="IBM Plex Serif"/>
        </w:rPr>
      </w:pPr>
      <w:r>
        <w:rPr>
          <w:rFonts w:ascii="IBM Plex Serif" w:hAnsi="IBM Plex Serif" w:eastAsia="IBM Plex Serif" w:cs="IBM Plex Serif"/>
          <w:lang w:val="en-US"/>
        </w:rPr>
        <w:t xml:space="preserve">Đọc kỹ slide bài giảng</w:t>
      </w:r>
      <w:r>
        <w:rPr>
          <w:rFonts w:ascii="IBM Plex Serif" w:hAnsi="IBM Plex Serif" w:eastAsia="IBM Plex Serif" w:cs="IBM Plex Serif"/>
          <w:lang w:val="en-US"/>
        </w:rPr>
        <w:t xml:space="preserve"> </w:t>
      </w:r>
      <w:r>
        <w:rPr>
          <w:rFonts w:ascii="IBM Plex Serif" w:hAnsi="IBM Plex Serif" w:eastAsia="IBM Plex Serif" w:cs="IBM Plex Serif"/>
          <w:b/>
          <w:lang w:val="en-US"/>
        </w:rPr>
        <w:t xml:space="preserve">Semantics</w:t>
      </w:r>
      <w:r>
        <w:rPr>
          <w:rFonts w:ascii="IBM Plex Serif" w:hAnsi="IBM Plex Serif" w:eastAsia="IBM Plex Serif" w:cs="IBM Plex Serif"/>
          <w:lang w:val="en-US"/>
        </w:rPr>
      </w:r>
    </w:p>
    <w:p w14:paraId="1EA2D102" w14:textId="77777777">
      <w:pPr>
        <w:pStyle w:val="839"/>
        <w:numPr>
          <w:ilvl w:val="0"/>
          <w:numId w:val="4"/>
        </w:numPr>
        <w:pBdr/>
        <w:spacing w:line="403" w:lineRule="exact"/>
        <w:ind/>
        <w:rPr>
          <w:rFonts w:ascii="IBM Plex Serif" w:hAnsi="IBM Plex Serif" w:cs="IBM Plex Serif"/>
        </w:rPr>
      </w:pPr>
      <w:r>
        <w:rPr>
          <w:rFonts w:ascii="IBM Plex Serif" w:hAnsi="IBM Plex Serif" w:eastAsia="IBM Plex Serif" w:cs="IBM Plex Serif"/>
          <w:lang w:val="en-US"/>
        </w:rPr>
        <w:t xml:space="preserve">[1] </w:t>
      </w:r>
      <w:r>
        <w:rPr>
          <w:rFonts w:ascii="IBM Plex Serif" w:hAnsi="IBM Plex Serif" w:eastAsia="IBM Plex Serif" w:cs="IBM Plex Serif"/>
          <w:color w:val="0000ff"/>
          <w:lang w:val="en-US"/>
        </w:rPr>
        <w:t xml:space="preserve">Chapter 5</w:t>
      </w:r>
      <w:r>
        <w:rPr>
          <w:rFonts w:ascii="IBM Plex Serif" w:hAnsi="IBM Plex Serif" w:eastAsia="IBM Plex Serif" w:cs="IBM Plex Serif"/>
          <w:lang w:val="en-US"/>
        </w:rPr>
        <w:t xml:space="preserve">. Dan Jurafsky and James H. Martin, </w:t>
      </w:r>
      <w:r>
        <w:rPr>
          <w:rFonts w:ascii="IBM Plex Serif" w:hAnsi="IBM Plex Serif" w:eastAsia="IBM Plex Serif" w:cs="IBM Plex Serif"/>
          <w:i/>
          <w:iCs/>
          <w:color w:val="ee0000"/>
          <w:lang w:val="en-US"/>
        </w:rPr>
        <w:t xml:space="preserve">Speech and Language Processing</w:t>
      </w:r>
      <w:r>
        <w:rPr>
          <w:rFonts w:ascii="IBM Plex Serif" w:hAnsi="IBM Plex Serif" w:eastAsia="IBM Plex Serif" w:cs="IBM Plex Serif"/>
          <w:lang w:val="en-US"/>
        </w:rPr>
        <w:t xml:space="preserve">, 3rd ed. Pearson, 2026.</w:t>
      </w:r>
      <w:r>
        <w:rPr>
          <w:rFonts w:ascii="IBM Plex Serif" w:hAnsi="IBM Plex Serif" w:eastAsia="IBM Plex Serif" w:cs="IBM Plex Serif"/>
          <w:lang w:val="en-US"/>
        </w:rPr>
      </w:r>
    </w:p>
    <w:p w14:paraId="6738EA6E" w14:textId="77777777">
      <w:pPr>
        <w:pStyle w:val="839"/>
        <w:numPr>
          <w:ilvl w:val="1"/>
          <w:numId w:val="4"/>
        </w:numPr>
        <w:pBdr/>
        <w:spacing w:line="403" w:lineRule="exact"/>
        <w:ind/>
        <w:rPr>
          <w:rFonts w:ascii="IBM Plex Serif" w:hAnsi="IBM Plex Serif" w:cs="IBM Plex Serif"/>
        </w:rPr>
      </w:pPr>
      <w:r>
        <w:rPr>
          <w:rFonts w:ascii="IBM Plex Serif" w:hAnsi="IBM Plex Serif" w:eastAsia="IBM Plex Serif" w:cs="IBM Plex Serif"/>
          <w:lang w:val="en-US"/>
        </w:rPr>
        <w:t xml:space="preserve">https://web.stanford.edu/~jurafsky/slp3/</w:t>
      </w:r>
      <w:r>
        <w:rPr>
          <w:rFonts w:ascii="IBM Plex Serif" w:hAnsi="IBM Plex Serif" w:eastAsia="IBM Plex Serif" w:cs="IBM Plex Serif"/>
          <w:lang w:val="en-US"/>
        </w:rPr>
      </w:r>
    </w:p>
    <w:p w14:paraId="0D865A5A" w14:textId="77777777">
      <w:pPr>
        <w:pStyle w:val="839"/>
        <w:numPr>
          <w:ilvl w:val="1"/>
          <w:numId w:val="4"/>
        </w:numPr>
        <w:pBdr/>
        <w:spacing w:line="403" w:lineRule="exact"/>
        <w:ind/>
        <w:rPr>
          <w:rFonts w:ascii="IBM Plex Serif" w:hAnsi="IBM Plex Serif" w:cs="IBM Plex Serif"/>
        </w:rPr>
      </w:pPr>
      <w:r>
        <w:rPr>
          <w:rFonts w:ascii="IBM Plex Serif" w:hAnsi="IBM Plex Serif" w:eastAsia="IBM Plex Serif" w:cs="IBM Plex Serif"/>
          <w:lang w:val="en-US"/>
        </w:rPr>
        <w:t xml:space="preserve">Embeddings: https://web.stanford.edu/~jurafsky/slp3/5.pdf</w:t>
      </w:r>
      <w:r>
        <w:rPr>
          <w:rFonts w:ascii="IBM Plex Serif" w:hAnsi="IBM Plex Serif" w:eastAsia="IBM Plex Serif" w:cs="IBM Plex Serif"/>
          <w:lang w:val="en-US"/>
        </w:rPr>
      </w:r>
    </w:p>
    <w:p w14:paraId="7644E0BF" w14:textId="77777777">
      <w:pPr>
        <w:pStyle w:val="839"/>
        <w:numPr>
          <w:ilvl w:val="0"/>
          <w:numId w:val="4"/>
        </w:numPr>
        <w:pBdr/>
        <w:spacing w:line="403" w:lineRule="exact"/>
        <w:ind/>
        <w:rPr>
          <w:rFonts w:ascii="IBM Plex Serif" w:hAnsi="IBM Plex Serif" w:cs="IBM Plex Serif"/>
        </w:rPr>
      </w:pPr>
      <w:r>
        <w:rPr>
          <w:rFonts w:ascii="IBM Plex Serif" w:hAnsi="IBM Plex Serif" w:eastAsia="IBM Plex Serif" w:cs="IBM Plex Serif"/>
          <w:lang w:val="en-US"/>
        </w:rPr>
        <w:t xml:space="preserve">[2] </w:t>
      </w:r>
      <w:r>
        <w:rPr>
          <w:rFonts w:ascii="IBM Plex Serif" w:hAnsi="IBM Plex Serif" w:eastAsia="IBM Plex Serif" w:cs="IBM Plex Serif"/>
          <w:color w:val="0000ff"/>
          <w:lang w:val="en-US"/>
        </w:rPr>
        <w:t xml:space="preserve">Chapter 3</w:t>
      </w:r>
      <w:r>
        <w:rPr>
          <w:rFonts w:ascii="IBM Plex Serif" w:hAnsi="IBM Plex Serif" w:eastAsia="IBM Plex Serif" w:cs="IBM Plex Serif"/>
          <w:lang w:val="en-US"/>
        </w:rPr>
        <w:t xml:space="preserve">. Sowmya Vajjala, Bodhisattwa Majumder, Anuj Gupta, and Harshit Surana, </w:t>
      </w:r>
      <w:r>
        <w:rPr>
          <w:rFonts w:ascii="IBM Plex Serif" w:hAnsi="IBM Plex Serif" w:eastAsia="IBM Plex Serif" w:cs="IBM Plex Serif"/>
          <w:i/>
          <w:iCs/>
          <w:color w:val="ee0000"/>
          <w:lang w:val="en-US"/>
        </w:rPr>
        <w:t xml:space="preserve">Practical Natural Language Processing</w:t>
      </w:r>
      <w:r>
        <w:rPr>
          <w:rFonts w:ascii="IBM Plex Serif" w:hAnsi="IBM Plex Serif" w:eastAsia="IBM Plex Serif" w:cs="IBM Plex Serif"/>
          <w:lang w:val="en-US"/>
        </w:rPr>
        <w:t xml:space="preserve">. O’Reilly, 2020.</w:t>
      </w:r>
      <w:r>
        <w:rPr>
          <w:rFonts w:ascii="IBM Plex Serif" w:hAnsi="IBM Plex Serif" w:eastAsia="IBM Plex Serif" w:cs="IBM Plex Serif"/>
          <w:lang w:val="en-US"/>
        </w:rPr>
      </w:r>
    </w:p>
    <w:p w14:paraId="0A9CBE85" w14:textId="5994B027">
      <w:pPr>
        <w:pStyle w:val="839"/>
        <w:numPr>
          <w:ilvl w:val="0"/>
          <w:numId w:val="4"/>
        </w:numPr>
        <w:pBdr/>
        <w:spacing w:line="403" w:lineRule="exact"/>
        <w:ind/>
        <w:rPr>
          <w:rFonts w:ascii="IBM Plex Serif" w:hAnsi="IBM Plex Serif" w:cs="IBM Plex Serif"/>
        </w:rPr>
      </w:pPr>
      <w:r>
        <w:rPr>
          <w:rFonts w:ascii="IBM Plex Serif" w:hAnsi="IBM Plex Serif" w:eastAsia="IBM Plex Serif" w:cs="IBM Plex Serif"/>
          <w:lang w:val="en-US"/>
        </w:rPr>
        <w:t xml:space="preserve">[3] </w:t>
      </w:r>
      <w:r>
        <w:rPr>
          <w:rFonts w:ascii="IBM Plex Serif" w:hAnsi="IBM Plex Serif" w:eastAsia="IBM Plex Serif" w:cs="IBM Plex Serif"/>
          <w:color w:val="0000ff"/>
          <w:lang w:val="en-US"/>
        </w:rPr>
        <w:t xml:space="preserve">Chapter 2</w:t>
      </w:r>
      <w:r>
        <w:rPr>
          <w:rFonts w:ascii="IBM Plex Serif" w:hAnsi="IBM Plex Serif" w:eastAsia="IBM Plex Serif" w:cs="IBM Plex Serif"/>
          <w:lang w:val="en-US"/>
        </w:rPr>
        <w:t xml:space="preserve">. Jay Alammar and Maarten Grootendorst, </w:t>
      </w:r>
      <w:r>
        <w:rPr>
          <w:rFonts w:ascii="IBM Plex Serif" w:hAnsi="IBM Plex Serif" w:eastAsia="IBM Plex Serif" w:cs="IBM Plex Serif"/>
          <w:i/>
          <w:iCs/>
          <w:color w:val="ee0000"/>
          <w:lang w:val="en-US"/>
        </w:rPr>
        <w:t xml:space="preserve">Hands-On Large Language Models</w:t>
      </w:r>
      <w:r>
        <w:rPr>
          <w:rFonts w:ascii="IBM Plex Serif" w:hAnsi="IBM Plex Serif" w:eastAsia="IBM Plex Serif" w:cs="IBM Plex Serif"/>
          <w:lang w:val="en-US"/>
        </w:rPr>
        <w:t xml:space="preserve">. O’Reilly, 2024.</w:t>
      </w:r>
      <w:r>
        <w:rPr>
          <w:rFonts w:ascii="IBM Plex Serif" w:hAnsi="IBM Plex Serif" w:eastAsia="IBM Plex Serif" w:cs="IBM Plex Serif"/>
          <w:lang w:val="en-US"/>
        </w:rPr>
      </w:r>
    </w:p>
    <w:p w14:paraId="1536F717" w14:textId="3942A1CE">
      <w:pPr>
        <w:pStyle w:val="809"/>
        <w:pBdr/>
        <w:spacing w:line="403" w:lineRule="exact"/>
        <w:ind/>
        <w:rPr>
          <w:rFonts w:ascii="IBM Plex Serif" w:hAnsi="IBM Plex Serif" w:cs="IBM Plex Serif"/>
        </w:rPr>
      </w:pPr>
      <w:r>
        <w:rPr>
          <w:rFonts w:ascii="IBM Plex Serif" w:hAnsi="IBM Plex Serif" w:eastAsia="IBM Plex Serif" w:cs="IBM Plex Serif"/>
          <w:lang w:val="en-US"/>
        </w:rPr>
        <w:t xml:space="preserve">Câu hỏi lý thuyế</w:t>
      </w:r>
      <w:r>
        <w:rPr>
          <w:rFonts w:ascii="IBM Plex Serif" w:hAnsi="IBM Plex Serif" w:eastAsia="IBM Plex Serif" w:cs="IBM Plex Serif"/>
          <w:lang w:val="en-US"/>
        </w:rPr>
        <w:t xml:space="preserve">t</w:t>
      </w:r>
      <w:r>
        <w:rPr>
          <w:rFonts w:ascii="IBM Plex Serif" w:hAnsi="IBM Plex Serif" w:eastAsia="IBM Plex Serif" w:cs="IBM Plex Serif"/>
          <w:lang w:val="en-US"/>
        </w:rPr>
      </w:r>
    </w:p>
    <w:p w14:paraId="4C462B42" w14:textId="425765B3">
      <w:pPr>
        <w:pStyle w:val="823"/>
        <w:pBdr/>
        <w:spacing w:line="403" w:lineRule="exact"/>
        <w:ind/>
        <w:rPr>
          <w:rFonts w:ascii="IBM Plex Serif" w:hAnsi="IBM Plex Serif" w:cs="IBM Plex Serif"/>
        </w:rPr>
      </w:pPr>
      <w:r>
        <w:rPr>
          <w:rFonts w:ascii="IBM Plex Serif" w:hAnsi="IBM Plex Serif" w:eastAsia="IBM Plex Serif" w:cs="IBM Plex Serif"/>
          <w:lang w:val="en-US"/>
        </w:rPr>
        <w:t xml:space="preserve">(tham khảo Chapter 3 tài liệu [2])</w:t>
      </w:r>
      <w:r>
        <w:rPr>
          <w:rFonts w:ascii="IBM Plex Serif" w:hAnsi="IBM Plex Serif" w:eastAsia="IBM Plex Serif" w:cs="IBM Plex Serif"/>
          <w:lang w:val="en-US"/>
        </w:rPr>
      </w:r>
    </w:p>
    <w:p w14:paraId="5E63191A" w14:textId="77777777">
      <w:pPr>
        <w:pBdr/>
        <w:spacing w:line="403" w:lineRule="exact"/>
        <w:ind/>
        <w:rPr>
          <w:rFonts w:ascii="IBM Plex Serif" w:hAnsi="IBM Plex Serif" w:cs="IBM Plex Serif"/>
        </w:rPr>
      </w:pPr>
      <w:r>
        <w:rPr>
          <w:rFonts w:ascii="IBM Plex Serif" w:hAnsi="IBM Plex Serif" w:eastAsia="IBM Plex Serif" w:cs="IBM Plex Serif"/>
          <w:lang w:val="en-US"/>
        </w:rPr>
        <w:t xml:space="preserve">Trình bày các kỹ thuật biểu diễn văn bản (text presentation) sau:</w:t>
      </w:r>
      <w:r>
        <w:rPr>
          <w:rFonts w:ascii="IBM Plex Serif" w:hAnsi="IBM Plex Serif" w:eastAsia="IBM Plex Serif" w:cs="IBM Plex Serif"/>
          <w:lang w:val="en-US"/>
        </w:rPr>
      </w:r>
    </w:p>
    <w:p w14:paraId="7C5ACFE6" w14:textId="133FCF4E">
      <w:pPr>
        <w:pStyle w:val="839"/>
        <w:numPr>
          <w:ilvl w:val="0"/>
          <w:numId w:val="4"/>
        </w:numPr>
        <w:pBdr/>
        <w:spacing w:line="403" w:lineRule="exact"/>
        <w:ind/>
        <w:rPr>
          <w:rFonts w:ascii="IBM Plex Serif" w:hAnsi="IBM Plex Serif" w:cs="IBM Plex Serif"/>
        </w:rPr>
      </w:pPr>
      <w:r>
        <w:rPr>
          <w:rFonts w:ascii="IBM Plex Serif" w:hAnsi="IBM Plex Serif" w:eastAsia="IBM Plex Serif" w:cs="IBM Plex Serif"/>
          <w:lang w:val="en-US"/>
        </w:rPr>
        <w:t xml:space="preserve">TF-IDF</w:t>
      </w:r>
      <w:r>
        <w:rPr>
          <w:rFonts w:ascii="IBM Plex Serif" w:hAnsi="IBM Plex Serif" w:eastAsia="IBM Plex Serif" w:cs="IBM Plex Serif"/>
          <w:lang w:val="en-US"/>
        </w:rPr>
      </w:r>
    </w:p>
    <w:p w14:paraId="3B0E2217" w14:textId="4B691162">
      <w:pPr>
        <w:pStyle w:val="839"/>
        <w:numPr>
          <w:ilvl w:val="0"/>
          <w:numId w:val="4"/>
        </w:numPr>
        <w:pBdr/>
        <w:spacing w:line="403" w:lineRule="exact"/>
        <w:ind/>
        <w:rPr>
          <w:rFonts w:ascii="IBM Plex Serif" w:hAnsi="IBM Plex Serif" w:cs="IBM Plex Serif"/>
        </w:rPr>
      </w:pPr>
      <w:r>
        <w:rPr>
          <w:rFonts w:ascii="IBM Plex Serif" w:hAnsi="IBM Plex Serif" w:eastAsia="IBM Plex Serif" w:cs="IBM Plex Serif"/>
          <w:lang w:val="en-US"/>
        </w:rPr>
        <w:t xml:space="preserve">Word2vec</w:t>
      </w:r>
      <w:r>
        <w:rPr>
          <w:rFonts w:ascii="IBM Plex Serif" w:hAnsi="IBM Plex Serif" w:eastAsia="IBM Plex Serif" w:cs="IBM Plex Serif"/>
          <w:lang w:val="en-US"/>
        </w:rPr>
      </w:r>
    </w:p>
    <w:p w14:paraId="27554BCD" w14:textId="64AF6058">
      <w:pPr>
        <w:pBdr/>
        <w:spacing w:line="403" w:lineRule="exact"/>
        <w:ind/>
        <w:rPr>
          <w:rFonts w:ascii="IBM Plex Serif" w:hAnsi="IBM Plex Serif" w:cs="IBM Plex Serif"/>
          <w:highlight w:val="none"/>
        </w:rPr>
      </w:pPr>
      <w:r>
        <w:rPr>
          <w:rFonts w:ascii="IBM Plex Serif" w:hAnsi="IBM Plex Serif" w:eastAsia="IBM Plex Serif" w:cs="IBM Plex Serif"/>
          <w:lang w:val="en-US"/>
        </w:rPr>
        <w:t xml:space="preserve">Nêu ưu điểm và nhược điểm của từng kỹ thuật.</w:t>
      </w:r>
      <w:r>
        <w:rPr>
          <w:rFonts w:ascii="IBM Plex Serif" w:hAnsi="IBM Plex Serif" w:eastAsia="IBM Plex Serif" w:cs="IBM Plex Serif"/>
          <w:highlight w:val="none"/>
          <w:lang w:val="en-US"/>
        </w:rPr>
      </w:r>
    </w:p>
    <w:p w14:paraId="23D414DF">
      <w:pPr>
        <w:pBdr/>
        <w:spacing w:line="403" w:lineRule="exact"/>
        <w:ind/>
        <w:rPr>
          <w:rFonts w:ascii="IBM Plex Serif" w:hAnsi="IBM Plex Serif" w:cs="IBM Plex Serif"/>
          <w:highlight w:val="none"/>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4628F8D9">
      <w:pPr>
        <w:pBdr/>
        <w:spacing w:line="403" w:lineRule="exact"/>
        <w:ind w:firstLine="720"/>
        <w:rPr>
          <w:rFonts w:ascii="IBM Plex Serif" w:hAnsi="IBM Plex Serif" w:cs="IBM Plex Serif"/>
          <w:b w:val="0"/>
          <w:bCs w:val="0"/>
          <w:highlight w:val="none"/>
        </w:rPr>
      </w:pPr>
      <w:r>
        <w:rPr>
          <w:rFonts w:ascii="IBM Plex Serif" w:hAnsi="IBM Plex Serif" w:eastAsia="IBM Plex Serif" w:cs="IBM Plex Serif"/>
          <w:b/>
          <w:bCs/>
          <w:highlight w:val="none"/>
          <w:lang w:val="en-US" w:bidi="en-US"/>
        </w:rPr>
        <w:t xml:space="preserve">TF-IDF</w:t>
      </w:r>
      <w:r>
        <w:rPr>
          <w:rFonts w:ascii="IBM Plex Serif" w:hAnsi="IBM Plex Serif" w:eastAsia="IBM Plex Serif" w:cs="IBM Plex Serif"/>
          <w:b w:val="0"/>
          <w:bCs w:val="0"/>
          <w:highlight w:val="none"/>
          <w:lang w:val="en-US" w:bidi="en-US"/>
        </w:rPr>
        <w:t xml:space="preserve"> là một kỹ thuật vector hóa cơ bản nhằm định lượng tầm quan trọng của một từ (term) đối với một tài liệu cụ thể trong một tập hợp văn bản (corpus)</w:t>
      </w:r>
      <w:r>
        <w:rPr>
          <w:rFonts w:ascii="IBM Plex Serif" w:hAnsi="IBM Plex Serif" w:eastAsia="IBM Plex Serif" w:cs="IBM Plex Serif"/>
          <w:b w:val="0"/>
          <w:bCs w:val="0"/>
          <w:highlight w:val="none"/>
          <w:lang w:val="en-US" w:bidi="en-US"/>
        </w:rPr>
        <w:t xml:space="preserve">. Thay vì chỉ đếm số lần xuất hiện đơn thuần, TF-IDF gán trọng số cho từ dựa trên mức độ phổ biến </w:t>
      </w:r>
      <w:r>
        <w:rPr>
          <w:rFonts w:ascii="IBM Plex Serif" w:hAnsi="IBM Plex Serif" w:eastAsia="IBM Plex Serif" w:cs="IBM Plex Serif"/>
          <w:b w:val="0"/>
          <w:bCs w:val="0"/>
          <w:highlight w:val="none"/>
          <w:lang w:val="en-US" w:bidi="en-US"/>
        </w:rPr>
        <w:t xml:space="preserve">c</w:t>
      </w:r>
      <w:r>
        <w:rPr>
          <w:rFonts w:ascii="IBM Plex Serif" w:hAnsi="IBM Plex Serif" w:eastAsia="IBM Plex Serif" w:cs="IBM Plex Serif"/>
          <w:b w:val="0"/>
          <w:bCs w:val="0"/>
          <w:highlight w:val="none"/>
          <w:lang w:val="en-US" w:bidi="en-US"/>
        </w:rPr>
        <w:t xml:space="preserve">ủa </w:t>
      </w:r>
      <w:r>
        <w:rPr>
          <w:rFonts w:ascii="IBM Plex Serif" w:hAnsi="IBM Plex Serif" w:eastAsia="IBM Plex Serif" w:cs="IBM Plex Serif"/>
          <w:b w:val="0"/>
          <w:bCs w:val="0"/>
          <w:highlight w:val="none"/>
          <w:lang w:val="en-US" w:bidi="en-US"/>
        </w:rPr>
        <w:t xml:space="preserve">từ.</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rPr>
      </w:r>
    </w:p>
    <w:p w14:paraId="2D77FC9E">
      <w:pPr>
        <w:pBdr/>
        <w:spacing w:line="403" w:lineRule="exact"/>
        <w:ind/>
        <w:rPr>
          <w:rFonts w:ascii="IBM Plex Serif" w:hAnsi="IBM Plex Serif" w:cs="IBM Plex Serif"/>
        </w:rPr>
      </w:pPr>
      <w:r>
        <w:rPr>
          <w:rFonts w:ascii="IBM Plex Serif" w:hAnsi="IBM Plex Serif" w:eastAsia="IBM Plex Serif" w:cs="IBM Plex Serif"/>
          <w:b w:val="0"/>
          <w:bCs w:val="0"/>
          <w:highlight w:val="none"/>
          <w:lang w:val="en-US" w:bidi="en-US"/>
        </w:rPr>
        <w:t xml:space="preserve">Trọng số TF-IDF là tích của hai chỉ số</w:t>
      </w:r>
      <w:r>
        <w:rPr>
          <w:rFonts w:ascii="IBM Plex Serif" w:hAnsi="IBM Plex Serif" w:eastAsia="IBM Plex Serif" w:cs="IBM Plex Serif"/>
          <w:b w:val="0"/>
          <w:bCs w:val="0"/>
          <w:highlight w:val="none"/>
          <w:lang w:val="en-US" w:bidi="en-US"/>
        </w:rPr>
        <w:t xml:space="preserve">:</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p w14:paraId="1BAA6957">
      <w:pPr>
        <w:pStyle w:val="839"/>
        <w:numPr>
          <w:ilvl w:val="0"/>
          <w:numId w:val="17"/>
        </w:numPr>
        <w:pBdr/>
        <w:spacing w:line="403" w:lineRule="exact"/>
        <w:ind/>
        <w:rPr>
          <w:rFonts w:ascii="IBM Plex Serif" w:hAnsi="IBM Plex Serif" w:cs="IBM Plex Serif"/>
          <w:b w:val="0"/>
          <w:bCs w:val="0"/>
          <w:highlight w:val="none"/>
        </w:rPr>
      </w:pPr>
      <w:r>
        <w:rPr>
          <w:rFonts w:ascii="IBM Plex Serif" w:hAnsi="IBM Plex Serif" w:eastAsia="IBM Plex Serif" w:cs="IBM Plex Serif"/>
          <w:b/>
          <w:bCs/>
          <w:highlight w:val="none"/>
          <w:lang w:val="en-US" w:bidi="en-US"/>
        </w:rPr>
        <w:t xml:space="preserve">TF (Term Frequency)</w:t>
      </w:r>
      <w:r>
        <w:rPr>
          <w:rFonts w:ascii="IBM Plex Serif" w:hAnsi="IBM Plex Serif" w:eastAsia="IBM Plex Serif" w:cs="IBM Plex Serif"/>
          <w:b w:val="0"/>
          <w:bCs w:val="0"/>
          <w:highlight w:val="none"/>
          <w:lang w:val="en-US" w:bidi="en-US"/>
        </w:rPr>
        <w:t xml:space="preserve">: Đo lường tần suất từ xuất hiện trong tài liệu. Từ xuất hiện càng nhiều, TF càng cao</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p w14:paraId="587EB9BA">
      <w:pPr>
        <w:pStyle w:val="839"/>
        <w:numPr>
          <w:ilvl w:val="0"/>
          <w:numId w:val="17"/>
        </w:numPr>
        <w:pBdr/>
        <w:spacing w:line="403" w:lineRule="exact"/>
        <w:ind/>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bCs/>
          <w:highlight w:val="none"/>
          <w:lang w:val="en-US" w:bidi="en-US"/>
        </w:rPr>
        <w:t xml:space="preserve">IDF (Inverse Document Frequency)</w:t>
      </w:r>
      <w:r>
        <w:rPr>
          <w:rFonts w:ascii="IBM Plex Serif" w:hAnsi="IBM Plex Serif" w:eastAsia="IBM Plex Serif" w:cs="IBM Plex Serif"/>
          <w:b w:val="0"/>
          <w:bCs w:val="0"/>
          <w:highlight w:val="none"/>
          <w:lang w:val="en-US" w:bidi="en-US"/>
        </w:rPr>
        <w:t xml:space="preserve">: Đo lường mức độ quan trọng của từ trên toàn bộ tập dữ liệu. Những từ quá phổ biến (như "là", "và", "the") sẽ có chỉ số IDF thấp, trong khi những từ hiếm và mang tính đặc trưng sẽ có IDF cao</w:t>
      </w:r>
      <w:r>
        <w:rPr>
          <w:rFonts w:ascii="IBM Plex Serif" w:hAnsi="IBM Plex Serif" w:eastAsia="IBM Plex Serif" w:cs="IBM Plex Serif"/>
          <w:b w:val="0"/>
          <w:bCs w:val="0"/>
          <w:highlight w:val="none"/>
          <w:lang w:val="en-US" w:bidi="en-US"/>
        </w:rPr>
      </w:r>
    </w:p>
    <w:tbl>
      <w:tblPr>
        <w:tblStyle w:val="853"/>
        <w:tblW w:w="0" w:type="auto"/>
        <w:tblBorders/>
        <w:tblLayout w:type="fixed"/>
        <w:tblLook w:val="04A0" w:firstRow="1" w:lastRow="0" w:firstColumn="1" w:lastColumn="0" w:noHBand="0" w:noVBand="1"/>
      </w:tblPr>
      <w:tblGrid>
        <w:gridCol w:w="4088"/>
        <w:gridCol w:w="4938"/>
      </w:tblGrid>
      <w:tr>
        <w:trPr/>
        <w:tc>
          <w:tcPr>
            <w:tcBorders/>
            <w:tcW w:w="4088" w:type="dxa"/>
          </w:tcPr>
          <w:p w14:paraId="2CED285D">
            <w:pPr>
              <w:pBdr/>
              <w:spacing w:line="403" w:lineRule="exact"/>
              <w:ind/>
              <w:jc w:val="center"/>
              <w:rPr>
                <w:rFonts w:ascii="IBM Plex Serif" w:hAnsi="IBM Plex Serif" w:cs="IBM Plex Serif"/>
                <w:b/>
                <w:bCs/>
                <w:highlight w:val="none"/>
              </w:rPr>
            </w:pPr>
            <w:r>
              <w:rPr>
                <w:rFonts w:ascii="IBM Plex Serif" w:hAnsi="IBM Plex Serif" w:eastAsia="IBM Plex Serif" w:cs="IBM Plex Serif"/>
                <w:b/>
                <w:bCs/>
                <w:highlight w:val="none"/>
                <w:lang w:val="en-US" w:bidi="en-US"/>
              </w:rPr>
              <w:t xml:space="preserve">Ưu </w:t>
            </w:r>
            <w:r>
              <w:rPr>
                <w:rFonts w:ascii="IBM Plex Serif" w:hAnsi="IBM Plex Serif" w:eastAsia="IBM Plex Serif" w:cs="IBM Plex Serif"/>
                <w:b/>
                <w:bCs/>
                <w:highlight w:val="none"/>
                <w:lang w:val="en-US" w:bidi="en-US"/>
              </w:rPr>
              <w:t xml:space="preserve">Điểm</w:t>
            </w: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rPr>
            </w:r>
          </w:p>
        </w:tc>
        <w:tc>
          <w:tcPr>
            <w:tcBorders/>
            <w:tcW w:w="4938" w:type="dxa"/>
          </w:tcPr>
          <w:p w14:paraId="7F89DB12">
            <w:pPr>
              <w:pBdr/>
              <w:spacing w:line="403" w:lineRule="exact"/>
              <w:ind/>
              <w:jc w:val="center"/>
              <w:rPr>
                <w:rFonts w:ascii="IBM Plex Serif" w:hAnsi="IBM Plex Serif" w:cs="IBM Plex Serif"/>
                <w:b/>
                <w:bCs/>
                <w:highlight w:val="none"/>
              </w:rPr>
            </w:pPr>
            <w:r>
              <w:rPr>
                <w:rFonts w:ascii="IBM Plex Serif" w:hAnsi="IBM Plex Serif" w:eastAsia="IBM Plex Serif" w:cs="IBM Plex Serif"/>
                <w:b/>
                <w:bCs/>
                <w:highlight w:val="none"/>
                <w:lang w:val="en-US" w:bidi="en-US"/>
              </w:rPr>
              <w:t xml:space="preserve">Nhược </w:t>
            </w:r>
            <w:r>
              <w:rPr>
                <w:rFonts w:ascii="IBM Plex Serif" w:hAnsi="IBM Plex Serif" w:eastAsia="IBM Plex Serif" w:cs="IBM Plex Serif"/>
                <w:b/>
                <w:bCs/>
                <w:highlight w:val="none"/>
                <w:lang w:val="en-US" w:bidi="en-US"/>
              </w:rPr>
              <w:t xml:space="preserve">Điểm</w:t>
            </w: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rPr>
            </w:r>
          </w:p>
        </w:tc>
      </w:tr>
      <w:tr>
        <w:trPr/>
        <w:tc>
          <w:tcPr>
            <w:tcBorders/>
            <w:tcW w:w="4088" w:type="dxa"/>
            <w:vAlign w:val="center"/>
          </w:tcPr>
          <w:p w14:paraId="29AB150A">
            <w:pPr>
              <w:pStyle w:val="839"/>
              <w:numPr>
                <w:ilvl w:val="0"/>
                <w:numId w:val="20"/>
              </w:numPr>
              <w:pBdr/>
              <w:spacing w:line="403" w:lineRule="exact"/>
              <w:ind/>
              <w:jc w:val="left"/>
              <w:rPr>
                <w:rFonts w:ascii="IBM Plex Serif" w:hAnsi="IBM Plex Serif" w:cs="IBM Plex Serif"/>
              </w:rPr>
            </w:pPr>
            <w:r>
              <w:rPr>
                <w:rFonts w:ascii="IBM Plex Serif" w:hAnsi="IBM Plex Serif" w:eastAsia="IBM Plex Serif" w:cs="IBM Plex Serif"/>
                <w:lang w:val="en-US"/>
              </w:rPr>
              <w:t xml:space="preserve">Trực </w:t>
            </w:r>
            <w:r>
              <w:rPr>
                <w:rFonts w:ascii="IBM Plex Serif" w:hAnsi="IBM Plex Serif" w:eastAsia="IBM Plex Serif" w:cs="IBM Plex Serif"/>
                <w:lang w:val="en-US"/>
              </w:rPr>
              <w:t xml:space="preserve">quan</w:t>
            </w:r>
            <w:r>
              <w:rPr>
                <w:rFonts w:ascii="IBM Plex Serif" w:hAnsi="IBM Plex Serif" w:eastAsia="IBM Plex Serif" w:cs="IBM Plex Serif"/>
              </w:rPr>
            </w:r>
          </w:p>
          <w:p w14:paraId="6F4098DF">
            <w:pPr>
              <w:pStyle w:val="839"/>
              <w:numPr>
                <w:ilvl w:val="0"/>
                <w:numId w:val="20"/>
              </w:numPr>
              <w:pBdr/>
              <w:spacing w:line="403" w:lineRule="exact"/>
              <w:ind/>
              <w:jc w:val="left"/>
              <w:rPr>
                <w:rFonts w:ascii="IBM Plex Serif" w:hAnsi="IBM Plex Serif" w:cs="IBM Plex Serif"/>
              </w:rPr>
            </w:pPr>
            <w:r>
              <w:rPr>
                <w:rFonts w:ascii="IBM Plex Serif" w:hAnsi="IBM Plex Serif" w:eastAsia="IBM Plex Serif" w:cs="IBM Plex Serif"/>
                <w:highlight w:val="none"/>
                <w:lang w:val="en-US"/>
              </w:rPr>
              <w:t xml:space="preserve">Đơn </w:t>
            </w:r>
            <w:r>
              <w:rPr>
                <w:rFonts w:ascii="IBM Plex Serif" w:hAnsi="IBM Plex Serif" w:eastAsia="IBM Plex Serif" w:cs="IBM Plex Serif"/>
                <w:highlight w:val="none"/>
                <w:lang w:val="en-US"/>
              </w:rPr>
              <w:t xml:space="preserve">giản</w:t>
            </w:r>
            <w:r>
              <w:rPr>
                <w:rFonts w:ascii="IBM Plex Serif" w:hAnsi="IBM Plex Serif" w:eastAsia="IBM Plex Serif" w:cs="IBM Plex Serif"/>
              </w:rPr>
            </w:r>
          </w:p>
          <w:p w14:paraId="41D5670F">
            <w:pPr>
              <w:pStyle w:val="839"/>
              <w:numPr>
                <w:ilvl w:val="0"/>
                <w:numId w:val="20"/>
              </w:numPr>
              <w:pBdr/>
              <w:spacing w:line="403" w:lineRule="exact"/>
              <w:ind/>
              <w:jc w:val="left"/>
              <w:rPr>
                <w:rFonts w:ascii="IBM Plex Serif" w:hAnsi="IBM Plex Serif" w:cs="IBM Plex Serif"/>
              </w:rPr>
            </w:pPr>
            <w:r>
              <w:rPr>
                <w:rFonts w:ascii="IBM Plex Serif" w:hAnsi="IBM Plex Serif" w:eastAsia="IBM Plex Serif" w:cs="IBM Plex Serif"/>
                <w:highlight w:val="none"/>
                <w:lang w:val="en-US"/>
              </w:rPr>
              <w:t xml:space="preserve">Lọc </w:t>
            </w:r>
            <w:r>
              <w:rPr>
                <w:rFonts w:ascii="IBM Plex Serif" w:hAnsi="IBM Plex Serif" w:eastAsia="IBM Plex Serif" w:cs="IBM Plex Serif"/>
                <w:highlight w:val="none"/>
                <w:lang w:val="en-US"/>
              </w:rPr>
              <w:t xml:space="preserve">nhi</w:t>
            </w:r>
            <w:r>
              <w:rPr>
                <w:rFonts w:ascii="IBM Plex Serif" w:hAnsi="IBM Plex Serif" w:eastAsia="IBM Plex Serif" w:cs="IBM Plex Serif"/>
                <w:highlight w:val="none"/>
                <w:lang w:val="en-US"/>
              </w:rPr>
              <w:t xml:space="preserve">ễu </w:t>
            </w:r>
            <w:r>
              <w:rPr>
                <w:rFonts w:ascii="IBM Plex Serif" w:hAnsi="IBM Plex Serif" w:eastAsia="IBM Plex Serif" w:cs="IBM Plex Serif"/>
                <w:highlight w:val="none"/>
                <w:lang w:val="en-US"/>
              </w:rPr>
              <w:t xml:space="preserve">tốt </w:t>
            </w:r>
            <w:r>
              <w:rPr>
                <w:rFonts w:ascii="IBM Plex Serif" w:hAnsi="IBM Plex Serif" w:eastAsia="IBM Plex Serif" w:cs="IBM Plex Serif"/>
                <w:highlight w:val="none"/>
                <w:lang w:val="en-US"/>
              </w:rPr>
              <w:t xml:space="preserve">với </w:t>
            </w:r>
            <w:r>
              <w:rPr>
                <w:rFonts w:ascii="IBM Plex Serif" w:hAnsi="IBM Plex Serif" w:eastAsia="IBM Plex Serif" w:cs="IBM Plex Serif"/>
                <w:highlight w:val="none"/>
                <w:lang w:val="en-US"/>
              </w:rPr>
              <w:t xml:space="preserve">c</w:t>
            </w:r>
            <w:r>
              <w:rPr>
                <w:rFonts w:ascii="IBM Plex Serif" w:hAnsi="IBM Plex Serif" w:eastAsia="IBM Plex Serif" w:cs="IBM Plex Serif"/>
                <w:highlight w:val="none"/>
                <w:lang w:val="en-US"/>
              </w:rPr>
              <w:t xml:space="preserve">ơ chế IDF giúp loại bỏ tác động của các từ dừng (stop words) không mang nhiều ý nghĩa ngữ nghĩa</w:t>
            </w:r>
            <w:r>
              <w:rPr>
                <w:rFonts w:ascii="IBM Plex Serif" w:hAnsi="IBM Plex Serif" w:eastAsia="IBM Plex Serif" w:cs="IBM Plex Serif"/>
                <w:highlight w:val="none"/>
                <w:lang w:val="en-US"/>
              </w:rPr>
            </w:r>
            <w:r>
              <w:rPr>
                <w:rFonts w:ascii="IBM Plex Serif" w:hAnsi="IBM Plex Serif" w:eastAsia="IBM Plex Serif" w:cs="IBM Plex Serif"/>
              </w:rPr>
            </w:r>
          </w:p>
          <w:p w14:paraId="70173FBD">
            <w:pPr>
              <w:pStyle w:val="839"/>
              <w:numPr>
                <w:ilvl w:val="0"/>
                <w:numId w:val="20"/>
              </w:numPr>
              <w:pBdr/>
              <w:spacing w:line="403" w:lineRule="exact"/>
              <w:ind/>
              <w:jc w:val="left"/>
              <w:rPr>
                <w:rFonts w:ascii="IBM Plex Serif" w:hAnsi="IBM Plex Serif" w:cs="IBM Plex Serif"/>
              </w:rPr>
            </w:pPr>
            <w:r>
              <w:rPr>
                <w:rFonts w:ascii="IBM Plex Serif" w:hAnsi="IBM Plex Serif" w:eastAsia="IBM Plex Serif" w:cs="IBM Plex Serif"/>
                <w:highlight w:val="none"/>
                <w:lang w:val="en-US"/>
              </w:rPr>
              <w:t xml:space="preserve">Baseline </w:t>
            </w:r>
            <w:r>
              <w:rPr>
                <w:rFonts w:ascii="IBM Plex Serif" w:hAnsi="IBM Plex Serif" w:eastAsia="IBM Plex Serif" w:cs="IBM Plex Serif"/>
                <w:highlight w:val="none"/>
                <w:lang w:val="en-US"/>
              </w:rPr>
              <w:t xml:space="preserve">hàng </w:t>
            </w:r>
            <w:r>
              <w:rPr>
                <w:rFonts w:ascii="IBM Plex Serif" w:hAnsi="IBM Plex Serif" w:eastAsia="IBM Plex Serif" w:cs="IBM Plex Serif"/>
                <w:highlight w:val="none"/>
                <w:lang w:val="en-US"/>
              </w:rPr>
              <w:t xml:space="preserve">đầu </w:t>
            </w:r>
            <w:r>
              <w:rPr>
                <w:rFonts w:ascii="IBM Plex Serif" w:hAnsi="IBM Plex Serif" w:eastAsia="IBM Plex Serif" w:cs="IBM Plex Serif"/>
                <w:highlight w:val="none"/>
                <w:lang w:val="en-US"/>
              </w:rPr>
              <w:t xml:space="preserve">cho </w:t>
            </w:r>
            <w:r>
              <w:rPr>
                <w:rFonts w:ascii="IBM Plex Serif" w:hAnsi="IBM Plex Serif" w:eastAsia="IBM Plex Serif" w:cs="IBM Plex Serif"/>
                <w:highlight w:val="none"/>
                <w:lang w:val="en-US"/>
              </w:rPr>
              <w:t xml:space="preserve">các </w:t>
            </w:r>
            <w:r>
              <w:rPr>
                <w:rFonts w:ascii="IBM Plex Serif" w:hAnsi="IBM Plex Serif" w:eastAsia="IBM Plex Serif" w:cs="IBM Plex Serif"/>
                <w:highlight w:val="none"/>
                <w:lang w:val="en-US"/>
              </w:rPr>
              <w:t xml:space="preserve">hệ </w:t>
            </w:r>
            <w:r>
              <w:rPr>
                <w:rFonts w:ascii="IBM Plex Serif" w:hAnsi="IBM Plex Serif" w:eastAsia="IBM Plex Serif" w:cs="IBM Plex Serif"/>
                <w:highlight w:val="none"/>
                <w:lang w:val="en-US"/>
              </w:rPr>
              <w:t xml:space="preserve">thống </w:t>
            </w:r>
            <w:r>
              <w:rPr>
                <w:rFonts w:ascii="IBM Plex Serif" w:hAnsi="IBM Plex Serif" w:eastAsia="IBM Plex Serif" w:cs="IBM Plex Serif"/>
                <w:highlight w:val="none"/>
                <w:lang w:val="en-US"/>
              </w:rPr>
              <w:t xml:space="preserve">truy </w:t>
            </w:r>
            <w:r>
              <w:rPr>
                <w:rFonts w:ascii="IBM Plex Serif" w:hAnsi="IBM Plex Serif" w:eastAsia="IBM Plex Serif" w:cs="IBM Plex Serif"/>
                <w:highlight w:val="none"/>
                <w:lang w:val="en-US"/>
              </w:rPr>
              <w:t xml:space="preserve">vấn </w:t>
            </w:r>
            <w:r>
              <w:rPr>
                <w:rFonts w:ascii="IBM Plex Serif" w:hAnsi="IBM Plex Serif" w:eastAsia="IBM Plex Serif" w:cs="IBM Plex Serif"/>
                <w:highlight w:val="none"/>
                <w:lang w:val="en-US"/>
              </w:rPr>
              <w:t xml:space="preserve">đơn </w:t>
            </w:r>
            <w:r>
              <w:rPr>
                <w:rFonts w:ascii="IBM Plex Serif" w:hAnsi="IBM Plex Serif" w:eastAsia="IBM Plex Serif" w:cs="IBM Plex Serif"/>
                <w:highlight w:val="none"/>
                <w:lang w:val="en-US"/>
              </w:rPr>
              <w:t xml:space="preserve">giản</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tc>
        <w:tc>
          <w:tcPr>
            <w:tcBorders/>
            <w:tcW w:w="4938" w:type="dxa"/>
            <w:vAlign w:val="center"/>
          </w:tcPr>
          <w:p w14:paraId="06E2FB6E">
            <w:pPr>
              <w:pStyle w:val="839"/>
              <w:numPr>
                <w:ilvl w:val="0"/>
                <w:numId w:val="21"/>
              </w:numPr>
              <w:pBdr/>
              <w:spacing w:line="403" w:lineRule="exact"/>
              <w:ind/>
              <w:jc w:val="left"/>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t xml:space="preserve">Dữ liệu thưa (Sparsity)</w:t>
            </w:r>
            <w:r>
              <w:rPr>
                <w:rFonts w:ascii="IBM Plex Serif" w:hAnsi="IBM Plex Serif" w:eastAsia="IBM Plex Serif" w:cs="IBM Plex Serif"/>
              </w:rPr>
            </w:r>
          </w:p>
          <w:p w14:paraId="05F54C67">
            <w:pPr>
              <w:pStyle w:val="839"/>
              <w:numPr>
                <w:ilvl w:val="0"/>
                <w:numId w:val="21"/>
              </w:numPr>
              <w:pBdr/>
              <w:spacing w:line="403" w:lineRule="exact"/>
              <w:ind/>
              <w:jc w:val="left"/>
              <w:rPr>
                <w:rFonts w:ascii="IBM Plex Serif" w:hAnsi="IBM Plex Serif" w:cs="IBM Plex Serif"/>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Không nắm bắt ngữ nghĩa</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t xml:space="preserve">không </w:t>
            </w:r>
            <w:r>
              <w:rPr>
                <w:rFonts w:ascii="IBM Plex Serif" w:hAnsi="IBM Plex Serif" w:eastAsia="IBM Plex Serif" w:cs="IBM Plex Serif"/>
                <w:highlight w:val="none"/>
                <w:lang w:val="en-US"/>
              </w:rPr>
              <w:t xml:space="preserve">bắt </w:t>
            </w:r>
            <w:r>
              <w:rPr>
                <w:rFonts w:ascii="IBM Plex Serif" w:hAnsi="IBM Plex Serif" w:eastAsia="IBM Plex Serif" w:cs="IBM Plex Serif"/>
                <w:highlight w:val="none"/>
                <w:lang w:val="en-US"/>
              </w:rPr>
              <w:t xml:space="preserve">nối </w:t>
            </w:r>
            <w:r>
              <w:rPr>
                <w:rFonts w:ascii="IBM Plex Serif" w:hAnsi="IBM Plex Serif" w:eastAsia="IBM Plex Serif" w:cs="IBM Plex Serif"/>
                <w:highlight w:val="none"/>
                <w:lang w:val="en-US"/>
              </w:rPr>
              <w:t xml:space="preserve">quan </w:t>
            </w:r>
            <w:r>
              <w:rPr>
                <w:rFonts w:ascii="IBM Plex Serif" w:hAnsi="IBM Plex Serif" w:eastAsia="IBM Plex Serif" w:cs="IBM Plex Serif"/>
                <w:highlight w:val="none"/>
                <w:lang w:val="en-US"/>
              </w:rPr>
              <w:t xml:space="preserve">hệ, </w:t>
            </w:r>
            <w:r>
              <w:rPr>
                <w:rFonts w:ascii="IBM Plex Serif" w:hAnsi="IBM Plex Serif" w:eastAsia="IBM Plex Serif" w:cs="IBM Plex Serif"/>
                <w:highlight w:val="none"/>
                <w:lang w:val="en-US"/>
              </w:rPr>
              <w:t xml:space="preserve">chia </w:t>
            </w:r>
            <w:r>
              <w:rPr>
                <w:rFonts w:ascii="IBM Plex Serif" w:hAnsi="IBM Plex Serif" w:eastAsia="IBM Plex Serif" w:cs="IBM Plex Serif"/>
                <w:highlight w:val="none"/>
                <w:lang w:val="en-US"/>
              </w:rPr>
              <w:t xml:space="preserve">từ </w:t>
            </w:r>
            <w:r>
              <w:rPr>
                <w:rFonts w:ascii="IBM Plex Serif" w:hAnsi="IBM Plex Serif" w:eastAsia="IBM Plex Serif" w:cs="IBM Plex Serif"/>
                <w:highlight w:val="none"/>
                <w:lang w:val="en-US"/>
              </w:rPr>
              <w:t xml:space="preserve">độc </w:t>
            </w:r>
            <w:r>
              <w:rPr>
                <w:rFonts w:ascii="IBM Plex Serif" w:hAnsi="IBM Plex Serif" w:eastAsia="IBM Plex Serif" w:cs="IBM Plex Serif"/>
                <w:highlight w:val="none"/>
                <w:lang w:val="en-US"/>
              </w:rPr>
              <w:t xml:space="preserve">l</w:t>
            </w:r>
            <w:r>
              <w:rPr>
                <w:rFonts w:ascii="IBM Plex Serif" w:hAnsi="IBM Plex Serif" w:eastAsia="IBM Plex Serif" w:cs="IBM Plex Serif"/>
                <w:highlight w:val="none"/>
                <w:lang w:val="en-US"/>
              </w:rPr>
              <w:t xml:space="preserve">ập)</w:t>
            </w:r>
            <w:r>
              <w:rPr>
                <w:rFonts w:ascii="IBM Plex Serif" w:hAnsi="IBM Plex Serif" w:eastAsia="IBM Plex Serif" w:cs="IBM Plex Serif"/>
              </w:rPr>
            </w:r>
          </w:p>
          <w:p w14:paraId="2CFAA67E">
            <w:pPr>
              <w:pStyle w:val="839"/>
              <w:numPr>
                <w:ilvl w:val="0"/>
                <w:numId w:val="21"/>
              </w:numPr>
              <w:pBdr/>
              <w:spacing w:line="403" w:lineRule="exact"/>
              <w:ind/>
              <w:jc w:val="left"/>
              <w:rPr>
                <w:rFonts w:ascii="IBM Plex Serif" w:hAnsi="IBM Plex Serif" w:cs="IBM Plex Serif"/>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Không thể biểu diễn được những từ không xuất hiện trong tập huấn luyện</w:t>
            </w:r>
            <w:r>
              <w:rPr>
                <w:rFonts w:ascii="IBM Plex Serif" w:hAnsi="IBM Plex Serif" w:eastAsia="IBM Plex Serif" w:cs="IBM Plex Serif"/>
              </w:rPr>
            </w:r>
          </w:p>
          <w:p w14:paraId="2CE76AD1">
            <w:pPr>
              <w:pStyle w:val="839"/>
              <w:numPr>
                <w:ilvl w:val="0"/>
                <w:numId w:val="21"/>
              </w:numPr>
              <w:pBdr/>
              <w:spacing w:line="403" w:lineRule="exact"/>
              <w:ind/>
              <w:jc w:val="left"/>
              <w:rPr>
                <w:rFonts w:ascii="IBM Plex Serif" w:hAnsi="IBM Plex Serif" w:cs="IBM Plex Serif"/>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Do dựa trên mô hình Bag-of-Words, thứ tự và cấu trúc ngữ pháp của câu bị bỏ qua hoàn toàn</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tc>
      </w:tr>
    </w:tbl>
    <w:p w14:paraId="4A48D8C4">
      <w:pPr>
        <w:pBdr/>
        <w:spacing w:line="403" w:lineRule="exact"/>
        <w:ind w:firstLine="0" w:left="0"/>
        <w:rPr>
          <w:rFonts w:ascii="IBM Plex Serif" w:hAnsi="IBM Plex Serif" w:cs="IBM Plex Serif"/>
          <w:b w:val="0"/>
          <w:bCs w:val="0"/>
          <w:highlight w:val="none"/>
        </w:rPr>
      </w:pP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r>
    </w:p>
    <w:p w14:paraId="7B4317C2">
      <w:pPr>
        <w:pBdr/>
        <w:spacing w:line="403" w:lineRule="exact"/>
        <w:ind w:firstLine="720" w:left="0"/>
        <w:rPr>
          <w:rFonts w:ascii="IBM Plex Serif" w:hAnsi="IBM Plex Serif" w:cs="IBM Plex Serif"/>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bCs/>
          <w:highlight w:val="none"/>
          <w:lang w:val="en-US" w:bidi="en-US"/>
        </w:rPr>
        <w:t xml:space="preserve">Word2vec</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t xml:space="preserve">đ</w:t>
      </w:r>
      <w:r>
        <w:rPr>
          <w:rFonts w:ascii="IBM Plex Serif" w:hAnsi="IBM Plex Serif" w:eastAsia="IBM Plex Serif" w:cs="IBM Plex Serif"/>
          <w:b w:val="0"/>
          <w:bCs w:val="0"/>
          <w:highlight w:val="none"/>
          <w:lang w:val="en-US" w:bidi="en-US"/>
        </w:rPr>
        <w:t xml:space="preserve">ược giới thiệu vào năm 2013, Word2vec là một trong những thành công đầu tiên trong việc nắm bắt ý nghĩa của văn bản dưới dạng các vector dày đặc (dense vectors) và thấp chiều (thường từ 50 đến 500 chiều)</w:t>
      </w:r>
      <w:r>
        <w:rPr>
          <w:rFonts w:ascii="IBM Plex Serif" w:hAnsi="IBM Plex Serif" w:eastAsia="IBM Plex Serif" w:cs="IBM Plex Serif"/>
          <w:b w:val="0"/>
          <w:bCs w:val="0"/>
          <w:highlight w:val="none"/>
          <w:lang w:val="en-US" w:bidi="en-US"/>
        </w:rPr>
      </w:r>
    </w:p>
    <w:p w14:paraId="2AD9F645">
      <w:pPr>
        <w:pBdr/>
        <w:spacing w:line="403" w:lineRule="exact"/>
        <w:ind w:firstLine="0" w:left="0"/>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t xml:space="preserve">. Thay vì đếm, nó sử dụng mạng thần kinh để dự đoán</w:t>
      </w:r>
      <w:r>
        <w:rPr>
          <w:rFonts w:ascii="IBM Plex Serif" w:hAnsi="IBM Plex Serif" w:eastAsia="IBM Plex Serif" w:cs="IBM Plex Serif"/>
          <w:b w:val="0"/>
          <w:bCs w:val="0"/>
          <w:highlight w:val="none"/>
          <w:lang w:val="en-US" w:bidi="en-US"/>
        </w:rPr>
        <w:t xml:space="preserve">.</w:t>
      </w:r>
      <w:r>
        <w:rPr>
          <w:rFonts w:ascii="IBM Plex Serif" w:hAnsi="IBM Plex Serif" w:eastAsia="IBM Plex Serif" w:cs="IBM Plex Serif"/>
          <w:b w:val="0"/>
          <w:bCs w:val="0"/>
          <w:highlight w:val="none"/>
          <w:lang w:val="en-US" w:bidi="en-US"/>
        </w:rPr>
      </w:r>
    </w:p>
    <w:p w14:paraId="6D68F2EA">
      <w:pPr>
        <w:pBdr/>
        <w:spacing w:line="403" w:lineRule="exact"/>
        <w:ind w:firstLine="0" w:left="0"/>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p w14:paraId="1C6382C4">
      <w:pPr>
        <w:pBdr/>
        <w:spacing w:line="403" w:lineRule="exact"/>
        <w:ind w:firstLine="720" w:left="0"/>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t xml:space="preserve">Word2vec dựa trên giả thuyết phân phối (distributional hypothesis): các từ xuất hiện trong cùng một ngữ cảnh thường có ý nghĩa tương tự nhau.</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t xml:space="preserve">C</w:t>
      </w:r>
      <w:r>
        <w:rPr>
          <w:rFonts w:ascii="IBM Plex Serif" w:hAnsi="IBM Plex Serif" w:eastAsia="IBM Plex Serif" w:cs="IBM Plex Serif"/>
          <w:b w:val="0"/>
          <w:bCs w:val="0"/>
          <w:highlight w:val="none"/>
          <w:lang w:val="en-US" w:bidi="en-US"/>
        </w:rPr>
        <w:t xml:space="preserve">ó hai kiến trúc chính </w:t>
      </w:r>
      <w:r>
        <w:rPr>
          <w:rFonts w:ascii="IBM Plex Serif" w:hAnsi="IBM Plex Serif" w:eastAsia="IBM Plex Serif" w:cs="IBM Plex Serif"/>
          <w:b w:val="0"/>
          <w:bCs w:val="0"/>
          <w:highlight w:val="none"/>
          <w:lang w:val="en-US" w:bidi="en-US"/>
        </w:rPr>
        <w:t xml:space="preserve">là: </w:t>
      </w:r>
      <w:r>
        <w:rPr>
          <w:rFonts w:ascii="IBM Plex Serif" w:hAnsi="IBM Plex Serif" w:eastAsia="IBM Plex Serif" w:cs="IBM Plex Serif"/>
          <w:b w:val="0"/>
          <w:bCs w:val="0"/>
          <w:highlight w:val="none"/>
          <w:lang w:val="en-US" w:bidi="en-US"/>
        </w:rPr>
      </w:r>
    </w:p>
    <w:p w14:paraId="61B6C3C9">
      <w:pPr>
        <w:pStyle w:val="839"/>
        <w:numPr>
          <w:ilvl w:val="0"/>
          <w:numId w:val="24"/>
        </w:numPr>
        <w:pBdr/>
        <w:spacing w:line="403" w:lineRule="exact"/>
        <w:ind/>
        <w:rPr>
          <w:rFonts w:ascii="IBM Plex Serif" w:hAnsi="IBM Plex Serif" w:cs="IBM Plex Serif"/>
          <w:b w:val="0"/>
          <w:bCs w:val="0"/>
          <w:highlight w:val="none"/>
        </w:rPr>
      </w:pPr>
      <w:r>
        <w:rPr>
          <w:rFonts w:ascii="IBM Plex Serif" w:hAnsi="IBM Plex Serif" w:eastAsia="IBM Plex Serif" w:cs="IBM Plex Serif"/>
          <w:b/>
          <w:bCs/>
          <w:highlight w:val="none"/>
          <w:lang w:val="en-US" w:bidi="en-US"/>
        </w:rPr>
        <w:t xml:space="preserve">CBOW (Continuous Bag of Words)</w:t>
      </w:r>
      <w:r>
        <w:rPr>
          <w:rFonts w:ascii="IBM Plex Serif" w:hAnsi="IBM Plex Serif" w:eastAsia="IBM Plex Serif" w:cs="IBM Plex Serif"/>
          <w:b/>
          <w:bCs/>
          <w:highlight w:val="none"/>
          <w:lang w:val="en-US" w:bidi="en-US"/>
        </w:rPr>
        <w:t xml:space="preserve">:</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t xml:space="preserve">Dự đoán từ mục tiêu dựa trên các từ ngữ cảnh xung quanh</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p w14:paraId="715EDD2B">
      <w:pPr>
        <w:pStyle w:val="839"/>
        <w:numPr>
          <w:ilvl w:val="0"/>
          <w:numId w:val="24"/>
        </w:numPr>
        <w:pBdr/>
        <w:spacing w:line="403" w:lineRule="exact"/>
        <w:ind/>
        <w:rPr>
          <w:rFonts w:ascii="IBM Plex Serif" w:hAnsi="IBM Plex Serif" w:cs="IBM Plex Serif"/>
          <w:b w:val="0"/>
          <w:bCs w:val="0"/>
          <w:highlight w:val="none"/>
        </w:rPr>
      </w:pPr>
      <w:r>
        <w:rPr>
          <w:rFonts w:ascii="IBM Plex Serif" w:hAnsi="IBM Plex Serif" w:eastAsia="IBM Plex Serif" w:cs="IBM Plex Serif"/>
          <w:b/>
          <w:bCs/>
          <w:highlight w:val="none"/>
          <w:lang w:val="en-US" w:bidi="en-US"/>
        </w:rPr>
        <w:t xml:space="preserve">Skip-gram</w:t>
      </w:r>
      <w:r>
        <w:rPr>
          <w:rFonts w:ascii="IBM Plex Serif" w:hAnsi="IBM Plex Serif" w:eastAsia="IBM Plex Serif" w:cs="IBM Plex Serif"/>
          <w:b/>
          <w:bCs/>
          <w:lang w:val="en-US"/>
        </w:rPr>
        <w:t xml:space="preserve">:</w:t>
      </w:r>
      <w:r>
        <w:rPr>
          <w:rFonts w:ascii="IBM Plex Serif" w:hAnsi="IBM Plex Serif" w:eastAsia="IBM Plex Serif" w:cs="IBM Plex Serif"/>
          <w:lang w:val="en-US"/>
        </w:rPr>
        <w:t xml:space="preserve"> </w:t>
      </w:r>
      <w:r>
        <w:rPr>
          <w:rFonts w:ascii="IBM Plex Serif" w:hAnsi="IBM Plex Serif" w:eastAsia="IBM Plex Serif" w:cs="IBM Plex Serif"/>
          <w:lang w:val="en-US"/>
        </w:rPr>
        <w:t xml:space="preserve">S</w:t>
      </w:r>
      <w:r>
        <w:rPr>
          <w:rFonts w:ascii="IBM Plex Serif" w:hAnsi="IBM Plex Serif" w:eastAsia="IBM Plex Serif" w:cs="IBM Plex Serif"/>
          <w:lang w:val="en-US"/>
        </w:rPr>
        <w:t xml:space="preserve">ử dụng một từ mục tiêu để dự đoán các từ ngữ cảnh xung quanh</w:t>
      </w:r>
      <w:r>
        <w:rPr>
          <w:rFonts w:ascii="IBM Plex Serif" w:hAnsi="IBM Plex Serif" w:eastAsia="IBM Plex Serif" w:cs="IBM Plex Serif"/>
          <w:lang w:val="en-US"/>
        </w:rPr>
      </w:r>
      <w:r>
        <w:rPr>
          <w:rFonts w:ascii="IBM Plex Serif" w:hAnsi="IBM Plex Serif" w:eastAsia="IBM Plex Serif" w:cs="IBM Plex Serif"/>
        </w:rPr>
      </w:r>
    </w:p>
    <w:p w14:paraId="7D3D25AE">
      <w:pPr>
        <w:pBdr/>
        <w:spacing w:line="403" w:lineRule="exact"/>
        <w:ind w:firstLine="0" w:left="0"/>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tbl>
      <w:tblPr>
        <w:tblStyle w:val="853"/>
        <w:tblW w:w="0" w:type="auto"/>
        <w:tblBorders/>
        <w:tblLook w:val="04A0" w:firstRow="1" w:lastRow="0" w:firstColumn="1" w:lastColumn="0" w:noHBand="0" w:noVBand="1"/>
      </w:tblPr>
      <w:tblGrid>
        <w:gridCol w:w="4513"/>
        <w:gridCol w:w="4513"/>
      </w:tblGrid>
      <w:tr>
        <w:trPr/>
        <w:tc>
          <w:tcPr>
            <w:tcBorders/>
            <w:tcW w:w="4513" w:type="dxa"/>
          </w:tcPr>
          <w:p w14:paraId="4F8A4D88">
            <w:pPr>
              <w:pBdr/>
              <w:spacing w:line="403" w:lineRule="exact"/>
              <w:ind/>
              <w:jc w:val="center"/>
              <w:rPr>
                <w:rFonts w:ascii="IBM Plex Serif" w:hAnsi="IBM Plex Serif" w:cs="IBM Plex Serif"/>
                <w:b/>
                <w:bCs/>
                <w:highlight w:val="none"/>
              </w:rPr>
            </w:pPr>
            <w:r>
              <w:rPr>
                <w:rFonts w:ascii="IBM Plex Serif" w:hAnsi="IBM Plex Serif" w:eastAsia="IBM Plex Serif" w:cs="IBM Plex Serif"/>
                <w:b/>
                <w:bCs/>
                <w:highlight w:val="none"/>
                <w:lang w:val="en-US" w:bidi="en-US"/>
              </w:rPr>
              <w:t xml:space="preserve">Ưu </w:t>
            </w:r>
            <w:r>
              <w:rPr>
                <w:rFonts w:ascii="IBM Plex Serif" w:hAnsi="IBM Plex Serif" w:eastAsia="IBM Plex Serif" w:cs="IBM Plex Serif"/>
                <w:b/>
                <w:bCs/>
                <w:highlight w:val="none"/>
                <w:lang w:val="en-US" w:bidi="en-US"/>
              </w:rPr>
              <w:t xml:space="preserve">Điểm</w:t>
            </w: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rPr>
            </w:r>
          </w:p>
        </w:tc>
        <w:tc>
          <w:tcPr>
            <w:tcBorders/>
            <w:tcW w:w="4513" w:type="dxa"/>
          </w:tcPr>
          <w:p w14:paraId="001F8E65">
            <w:pPr>
              <w:pBdr/>
              <w:spacing w:line="403" w:lineRule="exact"/>
              <w:ind/>
              <w:jc w:val="center"/>
              <w:rPr>
                <w:rFonts w:ascii="IBM Plex Serif" w:hAnsi="IBM Plex Serif" w:cs="IBM Plex Serif"/>
                <w:b/>
                <w:bCs/>
                <w:highlight w:val="none"/>
              </w:rPr>
            </w:pPr>
            <w:r>
              <w:rPr>
                <w:rFonts w:ascii="IBM Plex Serif" w:hAnsi="IBM Plex Serif" w:eastAsia="IBM Plex Serif" w:cs="IBM Plex Serif"/>
                <w:b/>
                <w:bCs/>
                <w:highlight w:val="none"/>
                <w:lang w:val="en-US" w:bidi="en-US"/>
              </w:rPr>
              <w:t xml:space="preserve">Nhược </w:t>
            </w:r>
            <w:r>
              <w:rPr>
                <w:rFonts w:ascii="IBM Plex Serif" w:hAnsi="IBM Plex Serif" w:eastAsia="IBM Plex Serif" w:cs="IBM Plex Serif"/>
                <w:b/>
                <w:bCs/>
                <w:highlight w:val="none"/>
                <w:lang w:val="en-US" w:bidi="en-US"/>
              </w:rPr>
              <w:t xml:space="preserve">Điểm</w:t>
            </w: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rPr>
            </w:r>
          </w:p>
        </w:tc>
      </w:tr>
      <w:tr>
        <w:trPr/>
        <w:tc>
          <w:tcPr>
            <w:tcBorders/>
            <w:tcW w:w="4513" w:type="dxa"/>
          </w:tcPr>
          <w:p w14:paraId="00AA304D">
            <w:pPr>
              <w:pStyle w:val="839"/>
              <w:numPr>
                <w:ilvl w:val="0"/>
                <w:numId w:val="22"/>
              </w:numPr>
              <w:pBdr/>
              <w:spacing w:line="403" w:lineRule="exact"/>
              <w:ind/>
              <w:jc w:val="left"/>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Vector có kích thước cố định và nhỏ, giúp các thuật toán học máy xử lý nhanh hơn và tránh hiện tượng quá khớp (overfitting)</w:t>
              <w:br/>
            </w:r>
            <w:r>
              <w:rPr>
                <w:rFonts w:ascii="IBM Plex Serif" w:hAnsi="IBM Plex Serif" w:eastAsia="IBM Plex Serif" w:cs="IBM Plex Serif"/>
                <w:b w:val="0"/>
                <w:bCs w:val="0"/>
                <w:highlight w:val="none"/>
                <w:lang w:val="en-US" w:bidi="en-US"/>
              </w:rPr>
            </w:r>
          </w:p>
          <w:p w14:paraId="506D40ED">
            <w:pPr>
              <w:pStyle w:val="839"/>
              <w:numPr>
                <w:ilvl w:val="0"/>
                <w:numId w:val="22"/>
              </w:numPr>
              <w:pBdr/>
              <w:spacing w:line="403" w:lineRule="exact"/>
              <w:ind/>
              <w:jc w:val="left"/>
              <w:rPr>
                <w:rFonts w:ascii="IBM Plex Serif" w:hAnsi="IBM Plex Serif" w:cs="IBM Plex Serif"/>
              </w:rPr>
            </w:pPr>
            <w:r>
              <w:rPr>
                <w:rFonts w:ascii="IBM Plex Serif" w:hAnsi="IBM Plex Serif" w:eastAsia="IBM Plex Serif" w:cs="IBM Plex Serif"/>
                <w:b w:val="0"/>
                <w:bCs w:val="0"/>
                <w:highlight w:val="none"/>
                <w:lang w:val="en-US" w:bidi="en-US"/>
              </w:rPr>
              <w:t xml:space="preserve">Nắm bắt quan hệ ngữ nghĩa </w:t>
            </w:r>
            <w:r>
              <w:rPr>
                <w:rFonts w:ascii="IBM Plex Serif" w:hAnsi="IBM Plex Serif" w:eastAsia="IBM Plex Serif" w:cs="IBM Plex Serif"/>
                <w:b w:val="0"/>
                <w:bCs w:val="0"/>
                <w:highlight w:val="none"/>
                <w:lang w:val="en-US" w:bidi="en-US"/>
              </w:rPr>
              <w:t xml:space="preserve">bằng </w:t>
            </w:r>
            <w:r>
              <w:rPr>
                <w:rFonts w:ascii="IBM Plex Serif" w:hAnsi="IBM Plex Serif" w:eastAsia="IBM Plex Serif" w:cs="IBM Plex Serif"/>
                <w:b w:val="0"/>
                <w:bCs w:val="0"/>
                <w:highlight w:val="none"/>
                <w:lang w:val="en-US" w:bidi="en-US"/>
              </w:rPr>
              <w:t xml:space="preserve">c</w:t>
            </w:r>
            <w:r>
              <w:rPr>
                <w:rFonts w:ascii="IBM Plex Serif" w:hAnsi="IBM Plex Serif" w:eastAsia="IBM Plex Serif" w:cs="IBM Plex Serif"/>
                <w:b w:val="0"/>
                <w:bCs w:val="0"/>
                <w:highlight w:val="none"/>
                <w:lang w:val="en-US" w:bidi="en-US"/>
              </w:rPr>
              <w:t xml:space="preserve">ác từ có ý nghĩa tương đương sẽ nằm gần nhau trong không gian vector </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(ví dụ: King – Man + Woman ≈ Queen)</w:t>
              <w:br/>
            </w:r>
            <w:r>
              <w:rPr>
                <w:rFonts w:ascii="IBM Plex Serif" w:hAnsi="IBM Plex Serif" w:eastAsia="IBM Plex Serif" w:cs="IBM Plex Serif"/>
                <w:b w:val="0"/>
                <w:bCs w:val="0"/>
                <w:highlight w:val="none"/>
                <w:lang w:val="en-US" w:bidi="en-US"/>
              </w:rPr>
            </w:r>
          </w:p>
          <w:p w14:paraId="63BF4AD3">
            <w:pPr>
              <w:pStyle w:val="839"/>
              <w:numPr>
                <w:ilvl w:val="0"/>
                <w:numId w:val="22"/>
              </w:numPr>
              <w:pBdr/>
              <w:spacing w:line="403" w:lineRule="exact"/>
              <w:ind/>
              <w:jc w:val="left"/>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Khả năng tổng quát hóa tốt giữa các từ tương tự ngay cả khi chúng không xuất hiện cùng nhau thường xuyên trong một văn bản cụ thể</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tc>
        <w:tc>
          <w:tcPr>
            <w:tcBorders/>
            <w:tcW w:w="4513" w:type="dxa"/>
          </w:tcPr>
          <w:p w14:paraId="666C45A9">
            <w:pPr>
              <w:pStyle w:val="839"/>
              <w:numPr>
                <w:ilvl w:val="0"/>
                <w:numId w:val="23"/>
              </w:numPr>
              <w:pBdr/>
              <w:spacing w:line="403" w:lineRule="exact"/>
              <w:ind/>
              <w:jc w:val="left"/>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Mỗi từ chỉ có một đại diện vector duy nhất, không thay đổi theo ngữ cảnh (ví dụ: từ "bank" trong "financial bank" và "river bank" sẽ có cùng một vector), gây ra sự mơ hồ về đa nghĩa.</w:t>
              <w:br/>
            </w:r>
            <w:r>
              <w:rPr>
                <w:rFonts w:ascii="IBM Plex Serif" w:hAnsi="IBM Plex Serif" w:eastAsia="IBM Plex Serif" w:cs="IBM Plex Serif"/>
                <w:b w:val="0"/>
                <w:bCs w:val="0"/>
                <w:highlight w:val="none"/>
                <w:lang w:val="en-US" w:bidi="en-US"/>
              </w:rPr>
            </w:r>
          </w:p>
          <w:p w14:paraId="78CEC062">
            <w:pPr>
              <w:pStyle w:val="839"/>
              <w:numPr>
                <w:ilvl w:val="0"/>
                <w:numId w:val="23"/>
              </w:numPr>
              <w:pBdr/>
              <w:spacing w:line="403" w:lineRule="exact"/>
              <w:ind/>
              <w:jc w:val="left"/>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Cần một lượng lớn văn bản để huấn luyện mô hình đạt độ chính xác cao</w:t>
              <w:br/>
            </w:r>
            <w:r>
              <w:rPr>
                <w:rFonts w:ascii="IBM Plex Serif" w:hAnsi="IBM Plex Serif" w:eastAsia="IBM Plex Serif" w:cs="IBM Plex Serif"/>
                <w:b w:val="0"/>
                <w:bCs w:val="0"/>
                <w:highlight w:val="none"/>
                <w:lang w:val="en-US" w:bidi="en-US"/>
              </w:rPr>
            </w:r>
          </w:p>
          <w:p w14:paraId="353DD030">
            <w:pPr>
              <w:pStyle w:val="839"/>
              <w:numPr>
                <w:ilvl w:val="0"/>
                <w:numId w:val="23"/>
              </w:numPr>
              <w:pBdr/>
              <w:spacing w:line="403" w:lineRule="exact"/>
              <w:ind/>
              <w:jc w:val="left"/>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Huấn luyện mô hình từ đầu rất tốn kém thời gian và tài nguyên; các mô hình tiền huấn luyện thường có kích thước tệp rất lớn (vài GB</w:t>
            </w:r>
            <w:r>
              <w:rPr>
                <w:rFonts w:ascii="IBM Plex Serif" w:hAnsi="IBM Plex Serif" w:eastAsia="IBM Plex Serif" w:cs="IBM Plex Serif"/>
                <w:b w:val="0"/>
                <w:bCs w:val="0"/>
                <w:highlight w:val="none"/>
                <w:lang w:val="en-US" w:bidi="en-US"/>
              </w:rPr>
              <w:t xml:space="preserve">)</w:t>
              <w:br/>
            </w:r>
            <w:r>
              <w:rPr>
                <w:rFonts w:ascii="IBM Plex Serif" w:hAnsi="IBM Plex Serif" w:eastAsia="IBM Plex Serif" w:cs="IBM Plex Serif"/>
                <w:b w:val="0"/>
                <w:bCs w:val="0"/>
                <w:highlight w:val="none"/>
                <w:lang w:val="en-US" w:bidi="en-US"/>
              </w:rPr>
            </w:r>
          </w:p>
          <w:p w14:paraId="0A8E614E">
            <w:pPr>
              <w:pStyle w:val="839"/>
              <w:numPr>
                <w:ilvl w:val="0"/>
                <w:numId w:val="23"/>
              </w:numPr>
              <w:pBdr/>
              <w:spacing w:line="403" w:lineRule="exact"/>
              <w:ind/>
              <w:jc w:val="left"/>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Nếu một từ không xuất hiện trong từ điển huấn luyện, mô hình không thể tạo ra vector cho từ đó (trừ khi kết hợp các kỹ thuật subword như fastText)</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tc>
      </w:tr>
    </w:tbl>
    <w:p w14:paraId="76E782FE">
      <w:pPr>
        <w:pBdr/>
        <w:spacing w:line="403" w:lineRule="exact"/>
        <w:ind w:firstLine="0" w:left="0"/>
        <w:rPr>
          <w:rFonts w:ascii="IBM Plex Serif" w:hAnsi="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p w14:paraId="0DEDECB3" w14:textId="5545E2B8">
      <w:pPr>
        <w:pStyle w:val="823"/>
        <w:pBdr/>
        <w:spacing w:line="403" w:lineRule="exact"/>
        <w:ind/>
        <w:rPr>
          <w:rFonts w:ascii="IBM Plex Serif" w:hAnsi="IBM Plex Serif" w:cs="IBM Plex Serif"/>
        </w:rPr>
      </w:pPr>
      <w:r>
        <w:rPr>
          <w:rFonts w:ascii="IBM Plex Serif" w:hAnsi="IBM Plex Serif" w:eastAsia="IBM Plex Serif" w:cs="IBM Plex Serif"/>
          <w:lang w:val="en-US"/>
        </w:rPr>
        <w:t xml:space="preserve">(tham khảo Chapter 9, tài liệu [1])</w:t>
      </w:r>
      <w:r>
        <w:rPr>
          <w:rFonts w:ascii="IBM Plex Serif" w:hAnsi="IBM Plex Serif" w:eastAsia="IBM Plex Serif" w:cs="IBM Plex Serif"/>
          <w:lang w:val="en-US"/>
        </w:rPr>
      </w:r>
    </w:p>
    <w:p w14:paraId="616101AD" w14:textId="6D35077C">
      <w:pPr>
        <w:pBdr/>
        <w:spacing w:line="403" w:lineRule="exact"/>
        <w:ind/>
        <w:rPr>
          <w:rFonts w:ascii="IBM Plex Serif" w:hAnsi="IBM Plex Serif" w:eastAsia="IBM Plex Serif" w:cs="IBM Plex Serif"/>
          <w:highlight w:val="none"/>
          <w:lang w:val="en-US"/>
        </w:rPr>
      </w:pPr>
      <w:r>
        <w:rPr>
          <w:rFonts w:ascii="IBM Plex Serif" w:hAnsi="IBM Plex Serif" w:eastAsia="IBM Plex Serif" w:cs="IBM Plex Serif"/>
          <w:lang w:val="en-US"/>
        </w:rPr>
        <w:t xml:space="preserve">Trình bày phương pháp biểu diễn BERT</w:t>
      </w:r>
      <w:r>
        <w:rPr>
          <w:rFonts w:ascii="IBM Plex Serif" w:hAnsi="IBM Plex Serif" w:cs="IBM Plex Serif"/>
        </w:rPr>
      </w:r>
    </w:p>
    <w:p w14:paraId="3044BA3F">
      <w:pPr>
        <w:pBdr/>
        <w:spacing w:line="403" w:lineRule="exact"/>
        <w:ind w:firstLine="72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BERT dựa trên kiến trúc Transformer, nhưng khác với mô hình Transformer nguyên bản (có cả Encoder và Decoder), BERT chỉ sử dụng chồng các khối Encoder</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1E882288">
      <w:pPr>
        <w:pStyle w:val="839"/>
        <w:numPr>
          <w:ilvl w:val="0"/>
          <w:numId w:val="25"/>
        </w:numPr>
        <w:pBdr/>
        <w:spacing w:line="403" w:lineRule="exact"/>
        <w:ind/>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Số lượng lớp:</w:t>
      </w:r>
      <w:r>
        <w:rPr>
          <w:rFonts w:ascii="IBM Plex Serif" w:hAnsi="IBM Plex Serif" w:eastAsia="IBM Plex Serif" w:cs="IBM Plex Serif"/>
          <w:highlight w:val="none"/>
          <w:lang w:val="en-US"/>
        </w:rPr>
        <w:t xml:space="preserve"> Phiên bản BERT cơ bản (base) thường có 12 khối Encoder chồng lên nhau</w:t>
      </w:r>
      <w:r>
        <w:rPr>
          <w:rFonts w:ascii="IBM Plex Serif" w:hAnsi="IBM Plex Serif" w:eastAsia="IBM Plex Serif" w:cs="IBM Plex Serif"/>
          <w:highlight w:val="none"/>
          <w:lang w:val="en-US"/>
        </w:rPr>
      </w:r>
    </w:p>
    <w:p w14:paraId="1877987F">
      <w:pPr>
        <w:pStyle w:val="839"/>
        <w:numPr>
          <w:ilvl w:val="0"/>
          <w:numId w:val="25"/>
        </w:numPr>
        <w:pBdr/>
        <w:spacing w:line="403" w:lineRule="exact"/>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Cơ chế tự chú ý (Self-attention):</w:t>
      </w:r>
      <w:r>
        <w:rPr>
          <w:rFonts w:ascii="IBM Plex Serif" w:hAnsi="IBM Plex Serif" w:eastAsia="IBM Plex Serif" w:cs="IBM Plex Serif"/>
          <w:highlight w:val="none"/>
          <w:lang w:val="en-US"/>
        </w:rPr>
        <w:t xml:space="preserve"> Mỗi khối Encoder sử dụng cơ chế multi-head self-attention để cho phép mỗi từ trong câu "nhìn" vào tất cả các từ khác xung quanh nó đồng thời, từ đó xây dựng nên mối quan hệ ngữ nghĩa phức tạp</w:t>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20B00FED">
      <w:pPr>
        <w:pBdr/>
        <w:spacing w:line="403" w:lineRule="exact"/>
        <w:ind w:firstLine="0" w:left="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p w14:paraId="3609AAE7">
      <w:pPr>
        <w:pBdr/>
        <w:spacing w:line="403" w:lineRule="exact"/>
        <w:ind w:firstLine="720" w:left="0"/>
        <w:rPr>
          <w:rFonts w:ascii="IBM Plex Serif" w:hAnsi="IBM Plex Serif" w:eastAsia="IBM Plex Serif" w:cs="IBM Plex Serif"/>
          <w:highlight w:val="none"/>
          <w:lang w:val="en-US" w:bidi="en-US"/>
        </w:rPr>
      </w:pPr>
      <w:r>
        <w:rPr>
          <w:rFonts w:ascii="IBM Plex Serif" w:hAnsi="IBM Plex Serif" w:eastAsia="IBM Plex Serif" w:cs="IBM Plex Serif"/>
          <w:highlight w:val="none"/>
          <w:lang w:val="en-US" w:bidi="en-US"/>
        </w:rPr>
        <w:t xml:space="preserve">Để BERT có thể xử lý văn bản, dữ liệu đầu vào được biểu diễn qua các thành phần sau:</w:t>
      </w:r>
      <w:r>
        <w:rPr>
          <w:rFonts w:ascii="IBM Plex Serif" w:hAnsi="IBM Plex Serif" w:eastAsia="IBM Plex Serif" w:cs="IBM Plex Serif"/>
          <w:highlight w:val="none"/>
          <w:lang w:val="en-US" w:bidi="en-US"/>
        </w:rPr>
      </w:r>
    </w:p>
    <w:p w14:paraId="2A21B980">
      <w:pPr>
        <w:pStyle w:val="839"/>
        <w:numPr>
          <w:ilvl w:val="0"/>
          <w:numId w:val="26"/>
        </w:numPr>
        <w:pBdr/>
        <w:spacing w:line="403" w:lineRule="exact"/>
        <w:ind/>
        <w:rPr>
          <w:rFonts w:ascii="IBM Plex Serif" w:hAnsi="IBM Plex Serif" w:eastAsia="IBM Plex Serif" w:cs="IBM Plex Serif"/>
          <w:highlight w:val="none"/>
          <w:lang w:val="en-US" w:bidi="en-US"/>
        </w:rPr>
      </w:pPr>
      <w:r>
        <w:rPr>
          <w:rFonts w:ascii="IBM Plex Serif" w:hAnsi="IBM Plex Serif" w:eastAsia="IBM Plex Serif" w:cs="IBM Plex Serif"/>
          <w:b/>
          <w:bCs/>
          <w:highlight w:val="none"/>
          <w:lang w:val="en-US" w:bidi="en-US"/>
        </w:rPr>
        <w:t xml:space="preserve">Tokenization (WordPiece):</w:t>
      </w:r>
      <w:r>
        <w:rPr>
          <w:rFonts w:ascii="IBM Plex Serif" w:hAnsi="IBM Plex Serif" w:eastAsia="IBM Plex Serif" w:cs="IBM Plex Serif"/>
          <w:highlight w:val="none"/>
          <w:lang w:val="en-US" w:bidi="en-US"/>
        </w:rPr>
        <w:t xml:space="preserve"> BERT sử dụng thuật toán WordPiece để chia văn bản thành các đơn vị con (subwords), giúp giải quyết vấn đề từ ngoài từ điển (OOV)</w:t>
      </w:r>
      <w:r>
        <w:rPr>
          <w:rFonts w:ascii="IBM Plex Serif" w:hAnsi="IBM Plex Serif" w:eastAsia="IBM Plex Serif" w:cs="IBM Plex Serif"/>
          <w:highlight w:val="none"/>
          <w:lang w:val="en-US" w:bidi="en-US"/>
        </w:rPr>
      </w:r>
    </w:p>
    <w:p w14:paraId="6375273F">
      <w:pPr>
        <w:pStyle w:val="839"/>
        <w:numPr>
          <w:ilvl w:val="0"/>
          <w:numId w:val="26"/>
        </w:numPr>
        <w:pBdr/>
        <w:spacing w:line="403" w:lineRule="exact"/>
        <w:ind/>
        <w:rPr>
          <w:rFonts w:ascii="IBM Plex Serif" w:hAnsi="IBM Plex Serif" w:eastAsia="IBM Plex Serif" w:cs="IBM Plex Serif"/>
          <w:b/>
          <w:bCs/>
          <w:highlight w:val="none"/>
        </w:rPr>
      </w:pP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bidi="en-US"/>
        </w:rPr>
        <w:t xml:space="preserve">Các Token đặc biệt:</w:t>
      </w:r>
      <w:r>
        <w:rPr>
          <w:rFonts w:ascii="IBM Plex Serif" w:hAnsi="IBM Plex Serif" w:eastAsia="IBM Plex Serif" w:cs="IBM Plex Serif"/>
          <w:b/>
          <w:bCs/>
          <w:highlight w:val="none"/>
          <w:lang w:val="en-US" w:bidi="en-US"/>
        </w:rPr>
      </w:r>
    </w:p>
    <w:p w14:paraId="6D4ADCB1">
      <w:pPr>
        <w:pStyle w:val="839"/>
        <w:numPr>
          <w:ilvl w:val="1"/>
          <w:numId w:val="26"/>
        </w:numPr>
        <w:pBdr/>
        <w:spacing w:line="403" w:lineRule="exact"/>
        <w:ind/>
        <w:rPr>
          <w:rFonts w:ascii="IBM Plex Serif" w:hAnsi="IBM Plex Serif" w:eastAsia="IBM Plex Serif" w:cs="IBM Plex Serif"/>
          <w:highlight w:val="none"/>
          <w:lang w:val="en-US" w:bidi="en-US"/>
        </w:rPr>
      </w:pPr>
      <w:r>
        <w:rPr>
          <w:rFonts w:ascii="IBM Plex Serif" w:hAnsi="IBM Plex Serif" w:eastAsia="IBM Plex Serif" w:cs="IBM Plex Serif"/>
          <w:highlight w:val="none"/>
          <w:lang w:val="en-US" w:bidi="en-US"/>
        </w:rPr>
      </w:r>
      <w:r>
        <w:rPr>
          <w:rFonts w:ascii="IBM Plex Serif" w:hAnsi="IBM Plex Serif" w:eastAsia="IBM Plex Serif" w:cs="IBM Plex Serif"/>
          <w:b/>
          <w:bCs/>
          <w:highlight w:val="none"/>
          <w:lang w:val="en-US" w:bidi="en-US"/>
        </w:rPr>
        <w:t xml:space="preserve">[CLS] (Classification):</w:t>
      </w:r>
      <w:r>
        <w:rPr>
          <w:rFonts w:ascii="IBM Plex Serif" w:hAnsi="IBM Plex Serif" w:eastAsia="IBM Plex Serif" w:cs="IBM Plex Serif"/>
          <w:highlight w:val="none"/>
          <w:lang w:val="en-US" w:bidi="en-US"/>
        </w:rPr>
        <w:t xml:space="preserve"> Luôn nằm ở đầu mỗi chuỗi đầu vào. Vectơ trạng thái cuối cùng của token này được dùng làm đại diện cho toàn bộ câu trong các tác vụ phân loại</w:t>
      </w:r>
      <w:r>
        <w:rPr>
          <w:rFonts w:ascii="IBM Plex Serif" w:hAnsi="IBM Plex Serif" w:eastAsia="IBM Plex Serif" w:cs="IBM Plex Serif"/>
          <w:highlight w:val="none"/>
          <w:lang w:val="en-US" w:bidi="en-US"/>
        </w:rPr>
      </w:r>
    </w:p>
    <w:p w14:paraId="04744C14">
      <w:pPr>
        <w:pStyle w:val="839"/>
        <w:numPr>
          <w:ilvl w:val="1"/>
          <w:numId w:val="26"/>
        </w:numPr>
        <w:pBdr/>
        <w:spacing w:line="403" w:lineRule="exact"/>
        <w:ind/>
        <w:rPr>
          <w:rFonts w:ascii="IBM Plex Serif" w:hAnsi="IBM Plex Serif" w:eastAsia="IBM Plex Serif" w:cs="IBM Plex Serif"/>
          <w:highlight w:val="none"/>
          <w:lang w:val="en-US" w:bidi="en-US"/>
        </w:rPr>
      </w:pPr>
      <w:r>
        <w:rPr>
          <w:rFonts w:ascii="IBM Plex Serif" w:hAnsi="IBM Plex Serif" w:eastAsia="IBM Plex Serif" w:cs="IBM Plex Serif"/>
          <w:highlight w:val="none"/>
          <w:lang w:val="en-US" w:bidi="en-US"/>
        </w:rPr>
      </w:r>
      <w:r>
        <w:rPr>
          <w:rFonts w:ascii="IBM Plex Serif" w:hAnsi="IBM Plex Serif" w:eastAsia="IBM Plex Serif" w:cs="IBM Plex Serif"/>
          <w:b/>
          <w:bCs/>
          <w:highlight w:val="none"/>
          <w:lang w:val="en-US" w:bidi="en-US"/>
        </w:rPr>
        <w:t xml:space="preserve">[SEP] (Separator):</w:t>
      </w:r>
      <w:r>
        <w:rPr>
          <w:rFonts w:ascii="IBM Plex Serif" w:hAnsi="IBM Plex Serif" w:eastAsia="IBM Plex Serif" w:cs="IBM Plex Serif"/>
          <w:highlight w:val="none"/>
          <w:lang w:val="en-US" w:bidi="en-US"/>
        </w:rPr>
        <w:t xml:space="preserve"> Dùng để ngăn cách giữa hai câu hoặc đánh dấu điểm kết thúc của một đoạn văn</w:t>
      </w:r>
      <w:r>
        <w:rPr>
          <w:rFonts w:ascii="IBM Plex Serif" w:hAnsi="IBM Plex Serif" w:eastAsia="IBM Plex Serif" w:cs="IBM Plex Serif"/>
          <w:highlight w:val="none"/>
          <w:lang w:val="en-US" w:bidi="en-US"/>
        </w:rPr>
      </w:r>
    </w:p>
    <w:p w14:paraId="52374D76">
      <w:pPr>
        <w:pStyle w:val="839"/>
        <w:numPr>
          <w:ilvl w:val="0"/>
          <w:numId w:val="26"/>
        </w:numPr>
        <w:pBdr/>
        <w:spacing w:line="403" w:lineRule="exact"/>
        <w:ind/>
        <w:rPr>
          <w:rFonts w:ascii="IBM Plex Serif" w:hAnsi="IBM Plex Serif" w:eastAsia="IBM Plex Serif" w:cs="IBM Plex Serif"/>
          <w:highlight w:val="none"/>
          <w:lang w:val="en-US" w:bidi="en-US"/>
        </w:rPr>
      </w:pPr>
      <w:r>
        <w:rPr>
          <w:rFonts w:ascii="IBM Plex Serif" w:hAnsi="IBM Plex Serif" w:eastAsia="IBM Plex Serif" w:cs="IBM Plex Serif"/>
          <w:highlight w:val="none"/>
          <w:lang w:val="en-US" w:bidi="en-US"/>
        </w:rPr>
      </w:r>
      <w:r>
        <w:rPr>
          <w:rFonts w:ascii="IBM Plex Serif" w:hAnsi="IBM Plex Serif" w:eastAsia="IBM Plex Serif" w:cs="IBM Plex Serif"/>
          <w:b/>
          <w:bCs/>
          <w:highlight w:val="none"/>
          <w:lang w:val="en-US" w:bidi="en-US"/>
        </w:rPr>
        <w:t xml:space="preserve">Sự kết hợp các Embedding: </w:t>
      </w:r>
      <w:r>
        <w:rPr>
          <w:rFonts w:ascii="IBM Plex Serif" w:hAnsi="IBM Plex Serif" w:eastAsia="IBM Plex Serif" w:cs="IBM Plex Serif"/>
          <w:highlight w:val="none"/>
          <w:lang w:val="en-US" w:bidi="en-US"/>
        </w:rPr>
        <w:t xml:space="preserve">Biểu diễn cuối cùng của mỗi token là tổng của ba loại embedding: Token Embeddings (giá trị của từ đó), Segmentation Embeddings (để phân biệt câu A và câu B), và Positional Embeddings (để mô hình biết vị trí của từ trong câu vì Tran</w:t>
      </w:r>
      <w:r>
        <w:rPr>
          <w:rFonts w:ascii="IBM Plex Serif" w:hAnsi="IBM Plex Serif" w:eastAsia="IBM Plex Serif" w:cs="IBM Plex Serif"/>
          <w:highlight w:val="none"/>
          <w:lang w:val="en-US" w:bidi="en-US"/>
        </w:rPr>
        <w:t xml:space="preserve">sformer không xử lý tuần tự)</w:t>
      </w:r>
      <w:r>
        <w:rPr>
          <w:rFonts w:ascii="IBM Plex Serif" w:hAnsi="IBM Plex Serif" w:eastAsia="IBM Plex Serif" w:cs="IBM Plex Serif"/>
          <w:highlight w:val="none"/>
          <w:lang w:val="en-US" w:bidi="en-US"/>
        </w:rPr>
      </w: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r>
    </w:p>
    <w:p w14:paraId="3D9E5D68">
      <w:pPr>
        <w:pBdr/>
        <w:spacing w:line="403" w:lineRule="exact"/>
        <w:ind w:firstLine="720" w:left="0"/>
        <w:rPr>
          <w:rFonts w:ascii="IBM Plex Serif" w:hAnsi="IBM Plex Serif" w:eastAsia="IBM Plex Serif" w:cs="IBM Plex Serif"/>
          <w:highlight w:val="none"/>
          <w:lang w:val="en-US" w:bidi="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r>
    </w:p>
    <w:p w14:paraId="03B8BF11">
      <w:pPr>
        <w:pBdr/>
        <w:spacing w:line="403" w:lineRule="exact"/>
        <w:ind w:firstLine="720" w:left="0"/>
        <w:rPr>
          <w:rFonts w:ascii="IBM Plex Serif" w:hAnsi="IBM Plex Serif" w:eastAsia="IBM Plex Serif" w:cs="IBM Plex Serif"/>
          <w:highlight w:val="none"/>
          <w:lang w:val="en-US" w:bidi="en-US"/>
        </w:rPr>
      </w:pPr>
      <w:r>
        <w:rPr>
          <w:rFonts w:ascii="IBM Plex Serif" w:hAnsi="IBM Plex Serif" w:eastAsia="IBM Plex Serif" w:cs="IBM Plex Serif"/>
          <w:highlight w:val="none"/>
          <w:lang w:val="en-US" w:bidi="en-US"/>
        </w:rPr>
        <w:t xml:space="preserve">BERT được huấn luyện trước trên một lượng dữ liệu khổng lồ (như Wikipedia) thông qua hai nhiệm vụ học không giám sát chính:</w:t>
      </w:r>
      <w:r>
        <w:rPr>
          <w:rFonts w:ascii="IBM Plex Serif" w:hAnsi="IBM Plex Serif" w:eastAsia="IBM Plex Serif" w:cs="IBM Plex Serif"/>
          <w:highlight w:val="none"/>
          <w:lang w:val="en-US" w:bidi="en-US"/>
        </w:rPr>
      </w:r>
    </w:p>
    <w:p w14:paraId="5C6EC6E9">
      <w:pPr>
        <w:pStyle w:val="839"/>
        <w:numPr>
          <w:ilvl w:val="0"/>
          <w:numId w:val="27"/>
        </w:numPr>
        <w:pBdr/>
        <w:spacing w:line="403" w:lineRule="exact"/>
        <w:ind/>
        <w:rPr>
          <w:rFonts w:ascii="IBM Plex Serif" w:hAnsi="IBM Plex Serif" w:eastAsia="IBM Plex Serif" w:cs="IBM Plex Serif"/>
          <w:highlight w:val="none"/>
          <w:lang w:val="en-US" w:bidi="en-US"/>
        </w:rPr>
      </w:pPr>
      <w:r>
        <w:rPr>
          <w:rFonts w:ascii="IBM Plex Serif" w:hAnsi="IBM Plex Serif" w:eastAsia="IBM Plex Serif" w:cs="IBM Plex Serif"/>
          <w:b/>
          <w:bCs/>
          <w:highlight w:val="none"/>
          <w:lang w:val="en-US" w:bidi="en-US"/>
        </w:rPr>
        <w:t xml:space="preserve">Masked Language Modeling (MLM): </w:t>
      </w:r>
      <w:r>
        <w:rPr>
          <w:rFonts w:ascii="IBM Plex Serif" w:hAnsi="IBM Plex Serif" w:eastAsia="IBM Plex Serif" w:cs="IBM Plex Serif"/>
          <w:highlight w:val="none"/>
          <w:lang w:val="en-US" w:bidi="en-US"/>
        </w:rPr>
        <w:t xml:space="preserve">Mô hình sẽ che đi (mask) ngẫu nhiên một số từ trong câu và yêu cầu BERT dự đoán từ đó dựa vào ngữ cảnh của cả hai phía (trái và phải)</w:t>
      </w:r>
      <w:r>
        <w:rPr>
          <w:rFonts w:ascii="IBM Plex Serif" w:hAnsi="IBM Plex Serif" w:eastAsia="IBM Plex Serif" w:cs="IBM Plex Serif"/>
          <w:highlight w:val="none"/>
          <w:lang w:val="en-US" w:bidi="en-US"/>
        </w:rPr>
        <w:t xml:space="preserve">. Đây chính là đặc tính song phương (bidirectional) cốt lõi giúp BERT vượt trội hơn các mô hình chỉ đọc từ trái sang phải như GPT-1</w:t>
      </w:r>
      <w:r>
        <w:rPr>
          <w:rFonts w:ascii="IBM Plex Serif" w:hAnsi="IBM Plex Serif" w:eastAsia="IBM Plex Serif" w:cs="IBM Plex Serif"/>
          <w:highlight w:val="none"/>
          <w:lang w:val="en-US" w:bidi="en-US"/>
        </w:rPr>
      </w:r>
    </w:p>
    <w:p w14:paraId="119D0EAB">
      <w:pPr>
        <w:pStyle w:val="839"/>
        <w:numPr>
          <w:ilvl w:val="0"/>
          <w:numId w:val="27"/>
        </w:numPr>
        <w:pBdr/>
        <w:spacing w:line="403" w:lineRule="exact"/>
        <w:ind/>
        <w:rPr>
          <w:rFonts w:ascii="IBM Plex Serif" w:hAnsi="IBM Plex Serif" w:eastAsia="IBM Plex Serif" w:cs="IBM Plex Serif"/>
          <w:highlight w:val="none"/>
          <w:lang w:val="en-US" w:bidi="en-US"/>
        </w:rPr>
      </w:pPr>
      <w:r>
        <w:rPr>
          <w:rFonts w:ascii="IBM Plex Serif" w:hAnsi="IBM Plex Serif" w:eastAsia="IBM Plex Serif" w:cs="IBM Plex Serif"/>
          <w:highlight w:val="none"/>
          <w:lang w:val="en-US" w:bidi="en-US"/>
        </w:rPr>
      </w:r>
      <w:r>
        <w:rPr>
          <w:rFonts w:ascii="IBM Plex Serif" w:hAnsi="IBM Plex Serif" w:eastAsia="IBM Plex Serif" w:cs="IBM Plex Serif"/>
          <w:b/>
          <w:bCs/>
          <w:highlight w:val="none"/>
          <w:lang w:val="en-US" w:bidi="en-US"/>
        </w:rPr>
        <w:t xml:space="preserve">Next Sentence Prediction (NSP):</w:t>
      </w:r>
      <w:r>
        <w:rPr>
          <w:rFonts w:ascii="IBM Plex Serif" w:hAnsi="IBM Plex Serif" w:eastAsia="IBM Plex Serif" w:cs="IBM Plex Serif"/>
          <w:highlight w:val="none"/>
          <w:lang w:val="en-US" w:bidi="en-US"/>
        </w:rPr>
        <w:t xml:space="preserve"> BERT học cách hiểu mối quan hệ giữa hai câu bằng cách dự đoán xem câu B có thực sự là câu tiếp theo của câu A trong văn bản gốc hay không</w:t>
      </w:r>
      <w:r>
        <w:rPr>
          <w:rFonts w:ascii="IBM Plex Serif" w:hAnsi="IBM Plex Serif" w:eastAsia="IBM Plex Serif" w:cs="IBM Plex Serif"/>
          <w:highlight w:val="none"/>
          <w:lang w:val="en-US" w:bidi="en-US"/>
        </w:rPr>
      </w: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r>
    </w:p>
    <w:p w14:paraId="4E75B3C3">
      <w:pPr>
        <w:pBdr/>
        <w:spacing w:line="403" w:lineRule="exact"/>
        <w:ind w:firstLine="720" w:left="0"/>
        <w:rPr>
          <w:rFonts w:ascii="IBM Plex Serif" w:hAnsi="IBM Plex Serif" w:eastAsia="IBM Plex Serif" w:cs="IBM Plex Serif"/>
          <w:b w:val="0"/>
          <w:bCs w:val="0"/>
          <w:highlight w:val="none"/>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p w14:paraId="19D1A199">
      <w:pPr>
        <w:pBdr/>
        <w:spacing w:line="403" w:lineRule="exact"/>
        <w:ind w:firstLine="720" w:left="0"/>
        <w:rPr>
          <w:rFonts w:ascii="IBM Plex Serif" w:hAnsi="IBM Plex Serif" w:eastAsia="IBM Plex Serif" w:cs="IBM Plex Serif"/>
          <w:b w:val="0"/>
          <w:bCs w:val="0"/>
          <w:highlight w:val="none"/>
          <w:lang w:val="en-US" w:bidi="en-US"/>
        </w:rPr>
      </w:pPr>
      <w:r>
        <w:rPr>
          <w:rFonts w:ascii="IBM Plex Serif" w:hAnsi="IBM Plex Serif" w:eastAsia="IBM Plex Serif" w:cs="IBM Plex Serif"/>
          <w:b w:val="0"/>
          <w:bCs w:val="0"/>
          <w:highlight w:val="none"/>
          <w:lang w:val="en-US" w:bidi="en-US"/>
        </w:rPr>
        <w:t xml:space="preserve">Khác với các phương pháp biểu diễn tĩnh như Word2vec (nơi từ "bank" luôn có một vectơ duy nhất), BERT tạo ra các contextualized word embeddings</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 Điều này có nghĩa là cùng một từ "bank" sẽ có các biểu diễn vectơ khác nhau tùy thuộc vào việc nó xuất hiện trong ngữ cảnh "tài chính" hay "bờ sông"</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rPr>
        <w:t xml:space="preserve">.</w:t>
      </w:r>
      <w:r>
        <w:rPr>
          <w:rFonts w:ascii="IBM Plex Serif" w:hAnsi="IBM Plex Serif" w:eastAsia="IBM Plex Serif" w:cs="IBM Plex Serif"/>
          <w:b w:val="0"/>
          <w:bCs w:val="0"/>
          <w:highlight w:val="none"/>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63B5725" w14:textId="77777777">
      <w:pPr>
        <w:pBdr/>
        <w:spacing w:after="0" w:line="240" w:lineRule="auto"/>
        <w:ind/>
        <w:rPr/>
      </w:pPr>
      <w:r>
        <w:separator/>
      </w:r>
      <w:r/>
    </w:p>
  </w:endnote>
  <w:endnote w:type="continuationSeparator" w:id="0">
    <w:p w14:paraId="5720ECA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BM Plex Serif">
    <w:panose1 w:val="02060503050406000203"/>
  </w:font>
  <w:font w:name="Calibri">
    <w:panose1 w:val="020F0502020204030204"/>
  </w:font>
  <w:font w:name="Symbol">
    <w:panose1 w:val="05010000000000000000"/>
  </w:font>
  <w:font w:name="Courier New">
    <w:panose1 w:val="02070309020205020404"/>
  </w:font>
  <w:font w:name="Wingdings">
    <w:panose1 w:val="05010000000000000000"/>
  </w:font>
  <w:font w:name="Times New Roman">
    <w:panose1 w:val="02020603050405020304"/>
  </w:font>
  <w:font w:name="Segoe UI">
    <w:panose1 w:val="020B05020405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9B2D56" w14:textId="4E31C8E3">
    <w:pPr>
      <w:pStyle w:val="849"/>
      <w:pBdr>
        <w:top w:val="single" w:color="0070c0" w:sz="4" w:space="1"/>
      </w:pBdr>
      <w:spacing/>
      <w:ind/>
      <w:rPr>
        <w:color w:val="0070c0"/>
        <w:sz w:val="22"/>
      </w:rPr>
    </w:pPr>
    <w:r>
      <w:rPr>
        <w:color w:val="0070c0"/>
        <w:sz w:val="22"/>
        <w:lang w:val="en-US"/>
      </w:rPr>
      <w:t xml:space="preserve">Natural Language Processing (NLP)</w:t>
    </w:r>
    <w:r>
      <w:rPr>
        <w:color w:val="0070c0"/>
        <w:sz w:val="22"/>
        <w:lang w:val="en-US"/>
      </w:rPr>
      <w:t xml:space="preserve"> </w:t>
    </w:r>
    <w:r>
      <w:rPr>
        <w:color w:val="0070c0"/>
        <w:sz w:val="22"/>
      </w:rPr>
      <w:t xml:space="preserve">Lab</w:t>
    </w:r>
    <w:r>
      <w:rPr>
        <w:color w:val="0070c0"/>
        <w:sz w:val="22"/>
        <w:lang w:val="en-US"/>
      </w:rPr>
      <w:t xml:space="preserve">Trang </w:t>
    </w:r>
    <w:r>
      <w:rPr>
        <w:color w:val="0070c0"/>
        <w:sz w:val="22"/>
        <w:lang w:val="en-US"/>
      </w:rPr>
      <w:fldChar w:fldCharType="begin"/>
    </w:r>
    <w:r>
      <w:rPr>
        <w:color w:val="0070c0"/>
        <w:sz w:val="22"/>
        <w:lang w:val="en-US"/>
      </w:rPr>
      <w:instrText xml:space="preserve"> PAGE   \* MERGEFORMAT </w:instrText>
    </w:r>
    <w:r>
      <w:rPr>
        <w:color w:val="0070c0"/>
        <w:sz w:val="22"/>
        <w:lang w:val="en-US"/>
      </w:rPr>
      <w:fldChar w:fldCharType="separate"/>
    </w:r>
    <w:r>
      <w:rPr>
        <w:color w:val="0070c0"/>
        <w:sz w:val="22"/>
      </w:rPr>
      <w:t xml:space="preserve">1</w:t>
    </w:r>
    <w:r>
      <w:rPr>
        <w:color w:val="0070c0"/>
        <w:sz w:val="22"/>
        <w:lang w:val="en-US"/>
      </w:rPr>
      <w:fldChar w:fldCharType="end"/>
    </w:r>
    <w:r>
      <w:rPr>
        <w:color w:val="0070c0"/>
        <w:sz w:val="22"/>
        <w:lang w:val="en-US"/>
      </w:rPr>
      <w:t xml:space="preserve">/</w:t>
    </w:r>
    <w:r>
      <w:rPr>
        <w:color w:val="0070c0"/>
        <w:sz w:val="22"/>
        <w:lang w:val="en-US"/>
      </w:rPr>
      <w:fldChar w:fldCharType="begin"/>
    </w:r>
    <w:r>
      <w:rPr>
        <w:color w:val="0070c0"/>
        <w:sz w:val="22"/>
        <w:lang w:val="en-US"/>
      </w:rPr>
      <w:instrText xml:space="preserve"> NUMPAGES   \* MERGEFORMAT </w:instrText>
    </w:r>
    <w:r>
      <w:rPr>
        <w:color w:val="0070c0"/>
        <w:sz w:val="22"/>
        <w:lang w:val="en-US"/>
      </w:rPr>
      <w:fldChar w:fldCharType="separate"/>
    </w:r>
    <w:r>
      <w:rPr>
        <w:color w:val="0070c0"/>
        <w:sz w:val="22"/>
        <w:lang w:val="en-US"/>
      </w:rPr>
      <w:t xml:space="preserve">1</w:t>
    </w:r>
    <w:r>
      <w:rPr>
        <w:color w:val="0070c0"/>
        <w:sz w:val="22"/>
        <w:lang w:val="en-US"/>
      </w:rPr>
      <w:fldChar w:fldCharType="end"/>
    </w:r>
    <w:r>
      <w:rPr>
        <w:color w:val="0070c0"/>
        <w:sz w:val="22"/>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1CEE33" w14:textId="77777777">
    <w:pPr>
      <w:pStyle w:val="849"/>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35A62D" w14:textId="77777777">
    <w:pPr>
      <w:pStyle w:val="84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62C1872" w14:textId="77777777">
      <w:pPr>
        <w:pBdr/>
        <w:spacing w:after="0" w:line="240" w:lineRule="auto"/>
        <w:ind/>
        <w:rPr/>
      </w:pPr>
      <w:r>
        <w:separator/>
      </w:r>
      <w:r/>
    </w:p>
  </w:footnote>
  <w:footnote w:type="continuationSeparator" w:id="0">
    <w:p w14:paraId="2A6479B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777E63" w14:textId="77777777">
    <w:pPr>
      <w:pStyle w:val="847"/>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676C99" w14:textId="77777777">
    <w:pPr>
      <w:pStyle w:val="847"/>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7BFFFB" w14:textId="77777777">
    <w:pPr>
      <w:pStyle w:val="84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B5835"/>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
    <w:nsid w:val="14276014"/>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nsid w:val="21B72DE3"/>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nsid w:val="392E5396"/>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nsid w:val="39A53A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418E3372"/>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4E0841E1"/>
    <w:lvl w:ilvl="0">
      <w:isLgl w:val="false"/>
      <w:lvlJc w:val="right"/>
      <w:lvlText w:val="%1."/>
      <w:numFmt w:val="upperRoman"/>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4EAA2675"/>
    <w:lvl w:ilvl="0">
      <w:isLgl w:val="false"/>
      <w:lvlJc w:val="left"/>
      <w:lvlText w:val="%1."/>
      <w:numFmt w:val="decimal"/>
      <w:pPr>
        <w:pBdr/>
        <w:tabs>
          <w:tab w:val="num" w:leader="none" w:pos="720"/>
        </w:tabs>
        <w:spacing/>
        <w:ind w:hanging="720" w:left="720"/>
      </w:pPr>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pStyle w:val="816"/>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8">
    <w:nsid w:val="52901A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52A424CA"/>
    <w:lvl w:ilvl="0">
      <w:isLgl w:val="false"/>
      <w:lvlJc w:val="left"/>
      <w:lvlText w:val="%1. "/>
      <w:numFmt w:val="upperLetter"/>
      <w:pPr>
        <w:pBdr/>
        <w:spacing/>
        <w:ind w:hanging="432" w:left="432"/>
      </w:pPr>
      <w:pStyle w:val="809"/>
      <w:rPr>
        <w:rFonts w:hint="default"/>
      </w:rPr>
      <w:start w:val="1"/>
      <w:suff w:val="tab"/>
    </w:lvl>
    <w:lvl w:ilvl="1">
      <w:isLgl w:val="false"/>
      <w:lvlJc w:val="left"/>
      <w:lvlText w:val="%2. "/>
      <w:numFmt w:val="decimal"/>
      <w:pPr>
        <w:pBdr/>
        <w:spacing/>
        <w:ind w:hanging="576" w:left="576"/>
      </w:pPr>
      <w:pStyle w:val="810"/>
      <w:rPr>
        <w:rFonts w:hint="default"/>
      </w:rPr>
      <w:start w:val="1"/>
      <w:suff w:val="space"/>
    </w:lvl>
    <w:lvl w:ilvl="2">
      <w:isLgl w:val="false"/>
      <w:lvlJc w:val="left"/>
      <w:lvlText w:val="%3. "/>
      <w:numFmt w:val="lowerLetter"/>
      <w:pPr>
        <w:pBdr/>
        <w:spacing/>
        <w:ind w:hanging="720" w:left="720"/>
      </w:pPr>
      <w:pStyle w:val="811"/>
      <w:rPr>
        <w:rFonts w:hint="default"/>
      </w:rPr>
      <w:start w:val="1"/>
      <w:suff w:val="space"/>
    </w:lvl>
    <w:lvl w:ilvl="3">
      <w:isLgl w:val="false"/>
      <w:lvlJc w:val="left"/>
      <w:lvlText w:val="%1.%2.%3.%4"/>
      <w:numFmt w:val="decimal"/>
      <w:pPr>
        <w:pBdr/>
        <w:spacing/>
        <w:ind w:hanging="864" w:left="864"/>
      </w:pPr>
      <w:pStyle w:val="812"/>
      <w:rPr>
        <w:rFonts w:hint="default"/>
      </w:rPr>
      <w:start w:val="1"/>
      <w:suff w:val="tab"/>
    </w:lvl>
    <w:lvl w:ilvl="4">
      <w:isLgl w:val="false"/>
      <w:lvlJc w:val="left"/>
      <w:lvlText w:val="%1.%2.%3.%4.%5"/>
      <w:numFmt w:val="decimal"/>
      <w:pPr>
        <w:pBdr/>
        <w:spacing/>
        <w:ind w:hanging="1008" w:left="1008"/>
      </w:pPr>
      <w:pStyle w:val="813"/>
      <w:rPr>
        <w:rFonts w:hint="default"/>
      </w:rPr>
      <w:start w:val="1"/>
      <w:suff w:val="tab"/>
    </w:lvl>
    <w:lvl w:ilvl="5">
      <w:isLgl w:val="false"/>
      <w:lvlJc w:val="left"/>
      <w:lvlText w:val="%1.%2.%3.%4.%5.%6"/>
      <w:numFmt w:val="decimal"/>
      <w:pPr>
        <w:pBdr/>
        <w:spacing/>
        <w:ind w:hanging="1152" w:left="1152"/>
      </w:pPr>
      <w:pStyle w:val="814"/>
      <w:rPr>
        <w:rFonts w:hint="default"/>
      </w:rPr>
      <w:start w:val="1"/>
      <w:suff w:val="tab"/>
    </w:lvl>
    <w:lvl w:ilvl="6">
      <w:isLgl w:val="false"/>
      <w:lvlJc w:val="left"/>
      <w:lvlText w:val="%1.%2.%3.%4.%5.%6.%7"/>
      <w:numFmt w:val="decimal"/>
      <w:pPr>
        <w:pBdr/>
        <w:spacing/>
        <w:ind w:hanging="1296" w:left="1296"/>
      </w:pPr>
      <w:pStyle w:val="815"/>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pStyle w:val="817"/>
      <w:rPr>
        <w:rFonts w:hint="default"/>
      </w:rPr>
      <w:start w:val="1"/>
      <w:suff w:val="tab"/>
    </w:lvl>
  </w:abstractNum>
  <w:abstractNum w:abstractNumId="10">
    <w:nsid w:val="54603D79"/>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1">
    <w:nsid w:val="64E73C0C"/>
    <w:lvl w:ilvl="0">
      <w:isLgl w:val="false"/>
      <w:lvlJc w:val="left"/>
      <w:lvlText w:val="%1."/>
      <w:numFmt w:val="upperLetter"/>
      <w:pPr>
        <w:pBdr/>
        <w:spacing/>
        <w:ind w:hanging="360" w:left="360"/>
      </w:pPr>
      <w:rPr/>
      <w:start w:val="1"/>
      <w:suff w:val="tab"/>
    </w:lvl>
    <w:lvl w:ilvl="1">
      <w:isLgl w:val="false"/>
      <w:lvlJc w:val="left"/>
      <w:lvlText w:val="%2."/>
      <w:numFmt w:val="upp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2">
    <w:nsid w:val="659E3935"/>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66B16983"/>
    <w:lvl w:ilvl="0">
      <w:isLgl w:val="false"/>
      <w:lvlJc w:val="left"/>
      <w:lvlText w:val="Bài tập %1."/>
      <w:numFmt w:val="decimal"/>
      <w:pPr>
        <w:pBdr/>
        <w:spacing/>
        <w:ind w:hanging="360" w:left="360"/>
      </w:pPr>
      <w:pStyle w:val="823"/>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4">
    <w:nsid w:val="75C60B9F"/>
    <w:lvl w:ilvl="0">
      <w:isLgl w:val="false"/>
      <w:lvlJc w:val="left"/>
      <w:lvlText w:val="-"/>
      <w:numFmt w:val="bullet"/>
      <w:pPr>
        <w:pBdr/>
        <w:spacing/>
        <w:ind w:hanging="360" w:left="1080"/>
      </w:pPr>
      <w:rPr>
        <w:rFonts w:hint="default" w:ascii="Calibri" w:hAnsi="Calibri" w:cs="Calibri"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5">
    <w:nsid w:val="7A107903"/>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0"/>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6">
    <w:nsid w:val="07862B6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135D44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686CB5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92B04E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0F5466F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AD4F96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8FFB21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55A18E0"/>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4">
    <w:nsid w:val="393BD43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56F9FFD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180CD06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9"/>
  </w:num>
  <w:num w:numId="2">
    <w:abstractNumId w:val="7"/>
  </w:num>
  <w:num w:numId="3">
    <w:abstractNumId w:val="13"/>
  </w:num>
  <w:num w:numId="4">
    <w:abstractNumId w:val="12"/>
  </w:num>
  <w:num w:numId="5">
    <w:abstractNumId w:val="4"/>
  </w:num>
  <w:num w:numId="6">
    <w:abstractNumId w:val="14"/>
  </w:num>
  <w:num w:numId="7">
    <w:abstractNumId w:val="8"/>
  </w:num>
  <w:num w:numId="8">
    <w:abstractNumId w:val="11"/>
  </w:num>
  <w:num w:numId="9">
    <w:abstractNumId w:val="6"/>
  </w:num>
  <w:num w:numId="10">
    <w:abstractNumId w:val="10"/>
  </w:num>
  <w:num w:numId="11">
    <w:abstractNumId w:val="2"/>
  </w:num>
  <w:num w:numId="12">
    <w:abstractNumId w:val="5"/>
  </w:num>
  <w:num w:numId="13">
    <w:abstractNumId w:val="1"/>
  </w:num>
  <w:num w:numId="14">
    <w:abstractNumId w:val="3"/>
  </w:num>
  <w:num w:numId="15">
    <w:abstractNumId w:val="0"/>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vi-V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3">
    <w:name w:val="Quote"/>
    <w:basedOn w:val="808"/>
    <w:next w:val="808"/>
    <w:link w:val="164"/>
    <w:uiPriority w:val="29"/>
    <w:qFormat/>
    <w:pPr>
      <w:pBdr/>
      <w:spacing w:before="160"/>
      <w:ind/>
      <w:jc w:val="center"/>
    </w:pPr>
    <w:rPr>
      <w:i/>
      <w:iCs/>
      <w:color w:val="404040" w:themeColor="text1" w:themeTint="BF"/>
    </w:rPr>
  </w:style>
  <w:style w:type="character" w:styleId="164">
    <w:name w:val="Quote Char"/>
    <w:basedOn w:val="818"/>
    <w:link w:val="163"/>
    <w:uiPriority w:val="29"/>
    <w:pPr>
      <w:pBdr/>
      <w:spacing/>
      <w:ind/>
    </w:pPr>
    <w:rPr>
      <w:i/>
      <w:iCs/>
      <w:color w:val="404040" w:themeColor="text1" w:themeTint="BF"/>
    </w:rPr>
  </w:style>
  <w:style w:type="character" w:styleId="166">
    <w:name w:val="Intense Emphasis"/>
    <w:basedOn w:val="818"/>
    <w:uiPriority w:val="21"/>
    <w:qFormat/>
    <w:pPr>
      <w:pBdr/>
      <w:spacing/>
      <w:ind/>
    </w:pPr>
    <w:rPr>
      <w:i/>
      <w:iCs/>
      <w:color w:val="0f4761" w:themeColor="accent1" w:themeShade="BF"/>
    </w:rPr>
  </w:style>
  <w:style w:type="paragraph" w:styleId="167">
    <w:name w:val="Intense Quote"/>
    <w:basedOn w:val="808"/>
    <w:next w:val="80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18"/>
    <w:link w:val="167"/>
    <w:uiPriority w:val="30"/>
    <w:pPr>
      <w:pBdr/>
      <w:spacing/>
      <w:ind/>
    </w:pPr>
    <w:rPr>
      <w:i/>
      <w:iCs/>
      <w:color w:val="0f4761" w:themeColor="accent1" w:themeShade="BF"/>
    </w:rPr>
  </w:style>
  <w:style w:type="character" w:styleId="169">
    <w:name w:val="Intense Reference"/>
    <w:basedOn w:val="818"/>
    <w:uiPriority w:val="32"/>
    <w:qFormat/>
    <w:pPr>
      <w:pBdr/>
      <w:spacing/>
      <w:ind/>
    </w:pPr>
    <w:rPr>
      <w:b/>
      <w:bCs/>
      <w:smallCaps/>
      <w:color w:val="0f4761" w:themeColor="accent1" w:themeShade="BF"/>
      <w:spacing w:val="5"/>
    </w:rPr>
  </w:style>
  <w:style w:type="paragraph" w:styleId="170">
    <w:name w:val="No Spacing"/>
    <w:basedOn w:val="808"/>
    <w:uiPriority w:val="1"/>
    <w:qFormat/>
    <w:pPr>
      <w:pBdr/>
      <w:spacing w:after="0" w:line="240" w:lineRule="auto"/>
      <w:ind/>
    </w:pPr>
  </w:style>
  <w:style w:type="character" w:styleId="171">
    <w:name w:val="Subtle Emphasis"/>
    <w:basedOn w:val="818"/>
    <w:uiPriority w:val="19"/>
    <w:qFormat/>
    <w:pPr>
      <w:pBdr/>
      <w:spacing/>
      <w:ind/>
    </w:pPr>
    <w:rPr>
      <w:i/>
      <w:iCs/>
      <w:color w:val="404040" w:themeColor="text1" w:themeTint="BF"/>
    </w:rPr>
  </w:style>
  <w:style w:type="character" w:styleId="173">
    <w:name w:val="Strong"/>
    <w:basedOn w:val="818"/>
    <w:uiPriority w:val="22"/>
    <w:qFormat/>
    <w:pPr>
      <w:pBdr/>
      <w:spacing/>
      <w:ind/>
    </w:pPr>
    <w:rPr>
      <w:b/>
      <w:bCs/>
    </w:rPr>
  </w:style>
  <w:style w:type="character" w:styleId="174">
    <w:name w:val="Subtle Reference"/>
    <w:basedOn w:val="818"/>
    <w:uiPriority w:val="31"/>
    <w:qFormat/>
    <w:pPr>
      <w:pBdr/>
      <w:spacing/>
      <w:ind/>
    </w:pPr>
    <w:rPr>
      <w:smallCaps/>
      <w:color w:val="5a5a5a" w:themeColor="text1" w:themeTint="A5"/>
    </w:rPr>
  </w:style>
  <w:style w:type="character" w:styleId="175">
    <w:name w:val="Book Title"/>
    <w:basedOn w:val="818"/>
    <w:uiPriority w:val="33"/>
    <w:qFormat/>
    <w:pPr>
      <w:pBdr/>
      <w:spacing/>
      <w:ind/>
    </w:pPr>
    <w:rPr>
      <w:b/>
      <w:bCs/>
      <w:i/>
      <w:iCs/>
      <w:spacing w:val="5"/>
    </w:rPr>
  </w:style>
  <w:style w:type="paragraph" w:styleId="181">
    <w:name w:val="footnote text"/>
    <w:basedOn w:val="808"/>
    <w:link w:val="182"/>
    <w:uiPriority w:val="99"/>
    <w:semiHidden/>
    <w:unhideWhenUsed/>
    <w:pPr>
      <w:pBdr/>
      <w:spacing w:after="0" w:line="240" w:lineRule="auto"/>
      <w:ind/>
    </w:pPr>
    <w:rPr>
      <w:sz w:val="20"/>
      <w:szCs w:val="20"/>
    </w:rPr>
  </w:style>
  <w:style w:type="character" w:styleId="182">
    <w:name w:val="Footnote Text Char"/>
    <w:basedOn w:val="818"/>
    <w:link w:val="181"/>
    <w:uiPriority w:val="99"/>
    <w:semiHidden/>
    <w:pPr>
      <w:pBdr/>
      <w:spacing/>
      <w:ind/>
    </w:pPr>
    <w:rPr>
      <w:sz w:val="20"/>
      <w:szCs w:val="20"/>
    </w:rPr>
  </w:style>
  <w:style w:type="character" w:styleId="183">
    <w:name w:val="footnote reference"/>
    <w:basedOn w:val="818"/>
    <w:uiPriority w:val="99"/>
    <w:semiHidden/>
    <w:unhideWhenUsed/>
    <w:pPr>
      <w:pBdr/>
      <w:spacing/>
      <w:ind/>
    </w:pPr>
    <w:rPr>
      <w:vertAlign w:val="superscript"/>
    </w:rPr>
  </w:style>
  <w:style w:type="paragraph" w:styleId="184">
    <w:name w:val="endnote text"/>
    <w:basedOn w:val="808"/>
    <w:link w:val="185"/>
    <w:uiPriority w:val="99"/>
    <w:semiHidden/>
    <w:unhideWhenUsed/>
    <w:pPr>
      <w:pBdr/>
      <w:spacing w:after="0" w:line="240" w:lineRule="auto"/>
      <w:ind/>
    </w:pPr>
    <w:rPr>
      <w:sz w:val="20"/>
      <w:szCs w:val="20"/>
    </w:rPr>
  </w:style>
  <w:style w:type="character" w:styleId="185">
    <w:name w:val="Endnote Text Char"/>
    <w:basedOn w:val="818"/>
    <w:link w:val="184"/>
    <w:uiPriority w:val="99"/>
    <w:semiHidden/>
    <w:pPr>
      <w:pBdr/>
      <w:spacing/>
      <w:ind/>
    </w:pPr>
    <w:rPr>
      <w:sz w:val="20"/>
      <w:szCs w:val="20"/>
    </w:rPr>
  </w:style>
  <w:style w:type="character" w:styleId="186">
    <w:name w:val="endnote reference"/>
    <w:basedOn w:val="818"/>
    <w:uiPriority w:val="99"/>
    <w:semiHidden/>
    <w:unhideWhenUsed/>
    <w:pPr>
      <w:pBdr/>
      <w:spacing/>
      <w:ind/>
    </w:pPr>
    <w:rPr>
      <w:vertAlign w:val="superscript"/>
    </w:rPr>
  </w:style>
  <w:style w:type="character" w:styleId="188">
    <w:name w:val="FollowedHyperlink"/>
    <w:basedOn w:val="818"/>
    <w:uiPriority w:val="99"/>
    <w:semiHidden/>
    <w:unhideWhenUsed/>
    <w:pPr>
      <w:pBdr/>
      <w:spacing/>
      <w:ind/>
    </w:pPr>
    <w:rPr>
      <w:color w:val="954f72" w:themeColor="followedHyperlink"/>
      <w:u w:val="single"/>
    </w:rPr>
  </w:style>
  <w:style w:type="paragraph" w:styleId="189">
    <w:name w:val="toc 1"/>
    <w:basedOn w:val="808"/>
    <w:next w:val="808"/>
    <w:uiPriority w:val="39"/>
    <w:unhideWhenUsed/>
    <w:pPr>
      <w:pBdr/>
      <w:spacing w:after="100"/>
      <w:ind/>
    </w:pPr>
  </w:style>
  <w:style w:type="paragraph" w:styleId="190">
    <w:name w:val="toc 2"/>
    <w:basedOn w:val="808"/>
    <w:next w:val="808"/>
    <w:uiPriority w:val="39"/>
    <w:unhideWhenUsed/>
    <w:pPr>
      <w:pBdr/>
      <w:spacing w:after="100"/>
      <w:ind w:left="220"/>
    </w:pPr>
  </w:style>
  <w:style w:type="paragraph" w:styleId="191">
    <w:name w:val="toc 3"/>
    <w:basedOn w:val="808"/>
    <w:next w:val="808"/>
    <w:uiPriority w:val="39"/>
    <w:unhideWhenUsed/>
    <w:pPr>
      <w:pBdr/>
      <w:spacing w:after="100"/>
      <w:ind w:left="440"/>
    </w:pPr>
  </w:style>
  <w:style w:type="paragraph" w:styleId="192">
    <w:name w:val="toc 4"/>
    <w:basedOn w:val="808"/>
    <w:next w:val="808"/>
    <w:uiPriority w:val="39"/>
    <w:unhideWhenUsed/>
    <w:pPr>
      <w:pBdr/>
      <w:spacing w:after="100"/>
      <w:ind w:left="660"/>
    </w:pPr>
  </w:style>
  <w:style w:type="paragraph" w:styleId="193">
    <w:name w:val="toc 5"/>
    <w:basedOn w:val="808"/>
    <w:next w:val="808"/>
    <w:uiPriority w:val="39"/>
    <w:unhideWhenUsed/>
    <w:pPr>
      <w:pBdr/>
      <w:spacing w:after="100"/>
      <w:ind w:left="880"/>
    </w:pPr>
  </w:style>
  <w:style w:type="paragraph" w:styleId="194">
    <w:name w:val="toc 6"/>
    <w:basedOn w:val="808"/>
    <w:next w:val="808"/>
    <w:uiPriority w:val="39"/>
    <w:unhideWhenUsed/>
    <w:pPr>
      <w:pBdr/>
      <w:spacing w:after="100"/>
      <w:ind w:left="1100"/>
    </w:pPr>
  </w:style>
  <w:style w:type="paragraph" w:styleId="195">
    <w:name w:val="toc 7"/>
    <w:basedOn w:val="808"/>
    <w:next w:val="808"/>
    <w:uiPriority w:val="39"/>
    <w:unhideWhenUsed/>
    <w:pPr>
      <w:pBdr/>
      <w:spacing w:after="100"/>
      <w:ind w:left="1320"/>
    </w:pPr>
  </w:style>
  <w:style w:type="paragraph" w:styleId="196">
    <w:name w:val="toc 8"/>
    <w:basedOn w:val="808"/>
    <w:next w:val="808"/>
    <w:uiPriority w:val="39"/>
    <w:unhideWhenUsed/>
    <w:pPr>
      <w:pBdr/>
      <w:spacing w:after="100"/>
      <w:ind w:left="1540"/>
    </w:pPr>
  </w:style>
  <w:style w:type="paragraph" w:styleId="197">
    <w:name w:val="toc 9"/>
    <w:basedOn w:val="808"/>
    <w:next w:val="808"/>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808"/>
    <w:next w:val="808"/>
    <w:uiPriority w:val="99"/>
    <w:unhideWhenUsed/>
    <w:pPr>
      <w:pBdr/>
      <w:spacing w:after="0" w:afterAutospacing="0"/>
      <w:ind/>
    </w:pPr>
  </w:style>
  <w:style w:type="paragraph" w:styleId="808" w:default="1">
    <w:name w:val="Normal"/>
    <w:qFormat/>
    <w:pPr>
      <w:pBdr/>
      <w:spacing w:after="120" w:line="300" w:lineRule="auto"/>
      <w:ind/>
      <w:contextualSpacing w:val="true"/>
      <w:jc w:val="both"/>
    </w:pPr>
    <w:rPr>
      <w:sz w:val="24"/>
    </w:rPr>
  </w:style>
  <w:style w:type="paragraph" w:styleId="809">
    <w:name w:val="Heading 1"/>
    <w:basedOn w:val="808"/>
    <w:next w:val="808"/>
    <w:link w:val="825"/>
    <w:uiPriority w:val="9"/>
    <w:qFormat/>
    <w:pPr>
      <w:keepNext w:val="true"/>
      <w:keepLines w:val="true"/>
      <w:numPr>
        <w:numId w:val="1"/>
      </w:numPr>
      <w:pBdr/>
      <w:spacing w:after="0" w:before="240"/>
      <w:ind/>
      <w:outlineLvl w:val="0"/>
    </w:pPr>
    <w:rPr>
      <w:rFonts w:asciiTheme="majorHAnsi" w:hAnsiTheme="majorHAnsi" w:eastAsiaTheme="majorEastAsia" w:cstheme="majorBidi"/>
      <w:color w:val="ed7d31" w:themeColor="accent2"/>
      <w:sz w:val="32"/>
      <w:szCs w:val="32"/>
    </w:rPr>
  </w:style>
  <w:style w:type="paragraph" w:styleId="810">
    <w:name w:val="Heading 2"/>
    <w:basedOn w:val="808"/>
    <w:next w:val="808"/>
    <w:link w:val="826"/>
    <w:uiPriority w:val="9"/>
    <w:unhideWhenUsed/>
    <w:qFormat/>
    <w:pPr>
      <w:keepNext w:val="true"/>
      <w:keepLines w:val="true"/>
      <w:numPr>
        <w:ilvl w:val="1"/>
        <w:numId w:val="1"/>
      </w:numPr>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811">
    <w:name w:val="Heading 3"/>
    <w:basedOn w:val="808"/>
    <w:next w:val="808"/>
    <w:link w:val="827"/>
    <w:uiPriority w:val="9"/>
    <w:unhideWhenUsed/>
    <w:qFormat/>
    <w:pPr>
      <w:keepNext w:val="true"/>
      <w:keepLines w:val="true"/>
      <w:numPr>
        <w:ilvl w:val="2"/>
        <w:numId w:val="1"/>
      </w:numPr>
      <w:pBdr/>
      <w:spacing w:after="0" w:before="40"/>
      <w:ind/>
      <w:outlineLvl w:val="2"/>
    </w:pPr>
    <w:rPr>
      <w:rFonts w:asciiTheme="majorHAnsi" w:hAnsiTheme="majorHAnsi" w:eastAsiaTheme="majorEastAsia" w:cstheme="majorBidi"/>
      <w:color w:val="1f4d78" w:themeColor="accent1" w:themeShade="7F"/>
      <w:szCs w:val="24"/>
    </w:rPr>
  </w:style>
  <w:style w:type="paragraph" w:styleId="812">
    <w:name w:val="Heading 4"/>
    <w:basedOn w:val="808"/>
    <w:next w:val="808"/>
    <w:link w:val="828"/>
    <w:uiPriority w:val="9"/>
    <w:semiHidden/>
    <w:unhideWhenUsed/>
    <w:qFormat/>
    <w:pPr>
      <w:keepNext w:val="true"/>
      <w:keepLines w:val="true"/>
      <w:numPr>
        <w:ilvl w:val="3"/>
        <w:numId w:val="1"/>
      </w:numPr>
      <w:pBdr/>
      <w:spacing w:after="0" w:before="40"/>
      <w:ind/>
      <w:outlineLvl w:val="3"/>
    </w:pPr>
    <w:rPr>
      <w:rFonts w:asciiTheme="majorHAnsi" w:hAnsiTheme="majorHAnsi" w:eastAsiaTheme="majorEastAsia" w:cstheme="majorBidi"/>
      <w:i/>
      <w:iCs/>
      <w:color w:val="2e74b5" w:themeColor="accent1" w:themeShade="BF"/>
      <w:sz w:val="22"/>
    </w:rPr>
  </w:style>
  <w:style w:type="paragraph" w:styleId="813">
    <w:name w:val="Heading 5"/>
    <w:basedOn w:val="808"/>
    <w:next w:val="808"/>
    <w:link w:val="829"/>
    <w:uiPriority w:val="9"/>
    <w:semiHidden/>
    <w:unhideWhenUsed/>
    <w:qFormat/>
    <w:pPr>
      <w:keepNext w:val="true"/>
      <w:keepLines w:val="true"/>
      <w:numPr>
        <w:ilvl w:val="4"/>
        <w:numId w:val="1"/>
      </w:numPr>
      <w:pBdr/>
      <w:spacing w:after="0" w:before="40"/>
      <w:ind/>
      <w:outlineLvl w:val="4"/>
    </w:pPr>
    <w:rPr>
      <w:rFonts w:asciiTheme="majorHAnsi" w:hAnsiTheme="majorHAnsi" w:eastAsiaTheme="majorEastAsia" w:cstheme="majorBidi"/>
      <w:color w:val="2e74b5" w:themeColor="accent1" w:themeShade="BF"/>
      <w:sz w:val="22"/>
    </w:rPr>
  </w:style>
  <w:style w:type="paragraph" w:styleId="814">
    <w:name w:val="Heading 6"/>
    <w:basedOn w:val="808"/>
    <w:next w:val="808"/>
    <w:link w:val="830"/>
    <w:uiPriority w:val="9"/>
    <w:semiHidden/>
    <w:unhideWhenUsed/>
    <w:qFormat/>
    <w:pPr>
      <w:keepNext w:val="true"/>
      <w:keepLines w:val="true"/>
      <w:numPr>
        <w:ilvl w:val="5"/>
        <w:numId w:val="1"/>
      </w:numPr>
      <w:pBdr/>
      <w:spacing w:after="0" w:before="40"/>
      <w:ind/>
      <w:outlineLvl w:val="5"/>
    </w:pPr>
    <w:rPr>
      <w:rFonts w:asciiTheme="majorHAnsi" w:hAnsiTheme="majorHAnsi" w:eastAsiaTheme="majorEastAsia" w:cstheme="majorBidi"/>
      <w:color w:val="1f4d78" w:themeColor="accent1" w:themeShade="7F"/>
      <w:sz w:val="22"/>
    </w:rPr>
  </w:style>
  <w:style w:type="paragraph" w:styleId="815">
    <w:name w:val="Heading 7"/>
    <w:basedOn w:val="808"/>
    <w:next w:val="808"/>
    <w:link w:val="83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4d78" w:themeColor="accent1" w:themeShade="7F"/>
      <w:sz w:val="22"/>
    </w:rPr>
  </w:style>
  <w:style w:type="paragraph" w:styleId="816">
    <w:name w:val="Heading 8"/>
    <w:basedOn w:val="808"/>
    <w:next w:val="808"/>
    <w:link w:val="832"/>
    <w:uiPriority w:val="9"/>
    <w:semiHidden/>
    <w:unhideWhenUsed/>
    <w:qFormat/>
    <w:pPr>
      <w:keepNext w:val="true"/>
      <w:keepLines w:val="true"/>
      <w:numPr>
        <w:ilvl w:val="7"/>
        <w:numId w:val="2"/>
      </w:numPr>
      <w:pBdr/>
      <w:spacing w:after="0" w:before="40"/>
      <w:ind w:hanging="1440" w:left="1440"/>
      <w:outlineLvl w:val="7"/>
    </w:pPr>
    <w:rPr>
      <w:rFonts w:asciiTheme="majorHAnsi" w:hAnsiTheme="majorHAnsi" w:eastAsiaTheme="majorEastAsia" w:cstheme="majorBidi"/>
      <w:color w:val="272727" w:themeColor="text1" w:themeTint="D8"/>
      <w:sz w:val="21"/>
      <w:szCs w:val="21"/>
    </w:rPr>
  </w:style>
  <w:style w:type="paragraph" w:styleId="817">
    <w:name w:val="Heading 9"/>
    <w:basedOn w:val="808"/>
    <w:next w:val="808"/>
    <w:link w:val="83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818" w:default="1">
    <w:name w:val="Default Paragraph Font"/>
    <w:uiPriority w:val="1"/>
    <w:unhideWhenUsed/>
    <w:pPr>
      <w:pBdr/>
      <w:spacing/>
      <w:ind/>
    </w:pPr>
  </w:style>
  <w:style w:type="table" w:styleId="8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0" w:default="1">
    <w:name w:val="No List"/>
    <w:uiPriority w:val="99"/>
    <w:semiHidden/>
    <w:unhideWhenUsed/>
    <w:pPr>
      <w:pBdr/>
      <w:spacing/>
      <w:ind/>
    </w:pPr>
  </w:style>
  <w:style w:type="paragraph" w:styleId="821" w:customStyle="1">
    <w:name w:val="Style1"/>
    <w:basedOn w:val="808"/>
    <w:link w:val="822"/>
    <w:pPr>
      <w:pBdr>
        <w:top w:val="single" w:color="4472c4" w:themeColor="accent5" w:sz="4" w:space="1"/>
        <w:bottom w:val="single" w:color="4472c4" w:themeColor="accent5" w:sz="4" w:space="1"/>
      </w:pBdr>
      <w:spacing/>
      <w:ind w:right="851" w:left="851"/>
    </w:pPr>
    <w:rPr>
      <w:i/>
      <w:color w:val="ff0000"/>
    </w:rPr>
  </w:style>
  <w:style w:type="character" w:styleId="822" w:customStyle="1">
    <w:name w:val="Style1 Char"/>
    <w:basedOn w:val="818"/>
    <w:link w:val="821"/>
    <w:pPr>
      <w:pBdr/>
      <w:spacing/>
      <w:ind/>
    </w:pPr>
    <w:rPr>
      <w:i/>
      <w:color w:val="ff0000"/>
    </w:rPr>
  </w:style>
  <w:style w:type="paragraph" w:styleId="823" w:customStyle="1">
    <w:name w:val="Bài tập"/>
    <w:basedOn w:val="808"/>
    <w:next w:val="808"/>
    <w:link w:val="824"/>
    <w:qFormat/>
    <w:pPr>
      <w:numPr>
        <w:numId w:val="3"/>
      </w:numPr>
      <w:pBdr/>
      <w:spacing w:after="0" w:before="240"/>
      <w:ind/>
    </w:pPr>
  </w:style>
  <w:style w:type="character" w:styleId="824" w:customStyle="1">
    <w:name w:val="Bài tập Char"/>
    <w:basedOn w:val="818"/>
    <w:link w:val="823"/>
    <w:pPr>
      <w:pBdr/>
      <w:spacing/>
      <w:ind/>
    </w:pPr>
    <w:rPr>
      <w:sz w:val="24"/>
    </w:rPr>
  </w:style>
  <w:style w:type="character" w:styleId="825" w:customStyle="1">
    <w:name w:val="Heading 1 Char"/>
    <w:basedOn w:val="818"/>
    <w:link w:val="809"/>
    <w:uiPriority w:val="9"/>
    <w:pPr>
      <w:pBdr/>
      <w:spacing/>
      <w:ind/>
    </w:pPr>
    <w:rPr>
      <w:rFonts w:asciiTheme="majorHAnsi" w:hAnsiTheme="majorHAnsi" w:eastAsiaTheme="majorEastAsia" w:cstheme="majorBidi"/>
      <w:color w:val="ed7d31" w:themeColor="accent2"/>
      <w:sz w:val="32"/>
      <w:szCs w:val="32"/>
    </w:rPr>
  </w:style>
  <w:style w:type="character" w:styleId="826" w:customStyle="1">
    <w:name w:val="Heading 2 Char"/>
    <w:basedOn w:val="818"/>
    <w:link w:val="810"/>
    <w:uiPriority w:val="9"/>
    <w:pPr>
      <w:pBdr/>
      <w:spacing/>
      <w:ind/>
    </w:pPr>
    <w:rPr>
      <w:rFonts w:asciiTheme="majorHAnsi" w:hAnsiTheme="majorHAnsi" w:eastAsiaTheme="majorEastAsia" w:cstheme="majorBidi"/>
      <w:color w:val="2e74b5" w:themeColor="accent1" w:themeShade="BF"/>
      <w:sz w:val="26"/>
      <w:szCs w:val="26"/>
    </w:rPr>
  </w:style>
  <w:style w:type="character" w:styleId="827" w:customStyle="1">
    <w:name w:val="Heading 3 Char"/>
    <w:basedOn w:val="818"/>
    <w:link w:val="811"/>
    <w:uiPriority w:val="9"/>
    <w:pPr>
      <w:pBdr/>
      <w:spacing/>
      <w:ind/>
    </w:pPr>
    <w:rPr>
      <w:rFonts w:asciiTheme="majorHAnsi" w:hAnsiTheme="majorHAnsi" w:eastAsiaTheme="majorEastAsia" w:cstheme="majorBidi"/>
      <w:color w:val="1f4d78" w:themeColor="accent1" w:themeShade="7F"/>
      <w:sz w:val="24"/>
      <w:szCs w:val="24"/>
    </w:rPr>
  </w:style>
  <w:style w:type="character" w:styleId="828" w:customStyle="1">
    <w:name w:val="Heading 4 Char"/>
    <w:basedOn w:val="818"/>
    <w:link w:val="812"/>
    <w:uiPriority w:val="9"/>
    <w:semiHidden/>
    <w:pPr>
      <w:pBdr/>
      <w:spacing/>
      <w:ind/>
    </w:pPr>
    <w:rPr>
      <w:rFonts w:asciiTheme="majorHAnsi" w:hAnsiTheme="majorHAnsi" w:eastAsiaTheme="majorEastAsia" w:cstheme="majorBidi"/>
      <w:i/>
      <w:iCs/>
      <w:color w:val="2e74b5" w:themeColor="accent1" w:themeShade="BF"/>
    </w:rPr>
  </w:style>
  <w:style w:type="character" w:styleId="829" w:customStyle="1">
    <w:name w:val="Heading 5 Char"/>
    <w:basedOn w:val="818"/>
    <w:link w:val="813"/>
    <w:uiPriority w:val="9"/>
    <w:semiHidden/>
    <w:pPr>
      <w:pBdr/>
      <w:spacing/>
      <w:ind/>
    </w:pPr>
    <w:rPr>
      <w:rFonts w:asciiTheme="majorHAnsi" w:hAnsiTheme="majorHAnsi" w:eastAsiaTheme="majorEastAsia" w:cstheme="majorBidi"/>
      <w:color w:val="2e74b5" w:themeColor="accent1" w:themeShade="BF"/>
    </w:rPr>
  </w:style>
  <w:style w:type="character" w:styleId="830" w:customStyle="1">
    <w:name w:val="Heading 6 Char"/>
    <w:basedOn w:val="818"/>
    <w:link w:val="814"/>
    <w:uiPriority w:val="9"/>
    <w:semiHidden/>
    <w:pPr>
      <w:pBdr/>
      <w:spacing/>
      <w:ind/>
    </w:pPr>
    <w:rPr>
      <w:rFonts w:asciiTheme="majorHAnsi" w:hAnsiTheme="majorHAnsi" w:eastAsiaTheme="majorEastAsia" w:cstheme="majorBidi"/>
      <w:color w:val="1f4d78" w:themeColor="accent1" w:themeShade="7F"/>
    </w:rPr>
  </w:style>
  <w:style w:type="character" w:styleId="831" w:customStyle="1">
    <w:name w:val="Heading 7 Char"/>
    <w:basedOn w:val="818"/>
    <w:link w:val="815"/>
    <w:uiPriority w:val="9"/>
    <w:semiHidden/>
    <w:pPr>
      <w:pBdr/>
      <w:spacing/>
      <w:ind/>
    </w:pPr>
    <w:rPr>
      <w:rFonts w:asciiTheme="majorHAnsi" w:hAnsiTheme="majorHAnsi" w:eastAsiaTheme="majorEastAsia" w:cstheme="majorBidi"/>
      <w:i/>
      <w:iCs/>
      <w:color w:val="1f4d78" w:themeColor="accent1" w:themeShade="7F"/>
    </w:rPr>
  </w:style>
  <w:style w:type="character" w:styleId="832" w:customStyle="1">
    <w:name w:val="Heading 8 Char"/>
    <w:basedOn w:val="818"/>
    <w:link w:val="816"/>
    <w:uiPriority w:val="9"/>
    <w:semiHidden/>
    <w:pPr>
      <w:pBdr/>
      <w:spacing/>
      <w:ind/>
    </w:pPr>
    <w:rPr>
      <w:rFonts w:asciiTheme="majorHAnsi" w:hAnsiTheme="majorHAnsi" w:eastAsiaTheme="majorEastAsia" w:cstheme="majorBidi"/>
      <w:color w:val="272727" w:themeColor="text1" w:themeTint="D8"/>
      <w:sz w:val="21"/>
      <w:szCs w:val="21"/>
    </w:rPr>
  </w:style>
  <w:style w:type="character" w:styleId="833" w:customStyle="1">
    <w:name w:val="Heading 9 Char"/>
    <w:basedOn w:val="818"/>
    <w:link w:val="817"/>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834">
    <w:name w:val="Title"/>
    <w:basedOn w:val="808"/>
    <w:next w:val="808"/>
    <w:link w:val="835"/>
    <w:uiPriority w:val="10"/>
    <w:qFormat/>
    <w:pPr>
      <w:pBdr/>
      <w:spacing w:line="240" w:lineRule="auto"/>
      <w:ind/>
      <w:jc w:val="center"/>
    </w:pPr>
    <w:rPr>
      <w:rFonts w:ascii="Cambria" w:hAnsi="Cambria" w:eastAsiaTheme="majorEastAsia" w:cstheme="majorBidi"/>
      <w:color w:val="0070c0"/>
      <w:spacing w:val="-10"/>
      <w:sz w:val="48"/>
      <w:szCs w:val="56"/>
    </w:rPr>
  </w:style>
  <w:style w:type="character" w:styleId="835" w:customStyle="1">
    <w:name w:val="Title Char"/>
    <w:basedOn w:val="818"/>
    <w:link w:val="834"/>
    <w:uiPriority w:val="10"/>
    <w:pPr>
      <w:pBdr/>
      <w:spacing/>
      <w:ind/>
    </w:pPr>
    <w:rPr>
      <w:rFonts w:ascii="Cambria" w:hAnsi="Cambria" w:eastAsiaTheme="majorEastAsia" w:cstheme="majorBidi"/>
      <w:color w:val="0070c0"/>
      <w:spacing w:val="-10"/>
      <w:sz w:val="48"/>
      <w:szCs w:val="56"/>
    </w:rPr>
  </w:style>
  <w:style w:type="paragraph" w:styleId="836">
    <w:name w:val="Subtitle"/>
    <w:basedOn w:val="808"/>
    <w:next w:val="808"/>
    <w:link w:val="837"/>
    <w:uiPriority w:val="11"/>
    <w:qFormat/>
    <w:pPr>
      <w:numPr>
        <w:ilvl w:val="1"/>
      </w:numPr>
      <w:pBdr/>
      <w:spacing w:line="240" w:lineRule="auto"/>
      <w:ind/>
      <w:jc w:val="center"/>
    </w:pPr>
    <w:rPr>
      <w:rFonts w:eastAsiaTheme="minorEastAsia"/>
      <w:color w:val="5a5a5a" w:themeColor="text1" w:themeTint="A5"/>
      <w:spacing w:val="15"/>
      <w:sz w:val="40"/>
    </w:rPr>
  </w:style>
  <w:style w:type="character" w:styleId="837" w:customStyle="1">
    <w:name w:val="Subtitle Char"/>
    <w:basedOn w:val="818"/>
    <w:link w:val="836"/>
    <w:uiPriority w:val="11"/>
    <w:pPr>
      <w:pBdr/>
      <w:spacing/>
      <w:ind/>
    </w:pPr>
    <w:rPr>
      <w:rFonts w:eastAsiaTheme="minorEastAsia"/>
      <w:color w:val="5a5a5a" w:themeColor="text1" w:themeTint="A5"/>
      <w:spacing w:val="15"/>
      <w:sz w:val="40"/>
    </w:rPr>
  </w:style>
  <w:style w:type="character" w:styleId="838">
    <w:name w:val="Emphasis"/>
    <w:basedOn w:val="818"/>
    <w:uiPriority w:val="20"/>
    <w:qFormat/>
    <w:pPr>
      <w:pBdr/>
      <w:spacing/>
      <w:ind/>
    </w:pPr>
    <w:rPr>
      <w:i/>
      <w:iCs/>
      <w:color w:val="ff0000"/>
    </w:rPr>
  </w:style>
  <w:style w:type="paragraph" w:styleId="839">
    <w:name w:val="List Paragraph"/>
    <w:basedOn w:val="808"/>
    <w:uiPriority w:val="34"/>
    <w:qFormat/>
    <w:pPr>
      <w:pBdr/>
      <w:spacing/>
      <w:ind w:left="720"/>
    </w:pPr>
  </w:style>
  <w:style w:type="character" w:styleId="840">
    <w:name w:val="annotation reference"/>
    <w:basedOn w:val="818"/>
    <w:uiPriority w:val="99"/>
    <w:semiHidden/>
    <w:unhideWhenUsed/>
    <w:pPr>
      <w:pBdr/>
      <w:spacing/>
      <w:ind/>
    </w:pPr>
    <w:rPr>
      <w:sz w:val="16"/>
      <w:szCs w:val="16"/>
    </w:rPr>
  </w:style>
  <w:style w:type="paragraph" w:styleId="841">
    <w:name w:val="annotation text"/>
    <w:basedOn w:val="808"/>
    <w:link w:val="842"/>
    <w:uiPriority w:val="99"/>
    <w:semiHidden/>
    <w:unhideWhenUsed/>
    <w:pPr>
      <w:pBdr/>
      <w:spacing w:line="240" w:lineRule="auto"/>
      <w:ind/>
    </w:pPr>
    <w:rPr>
      <w:sz w:val="20"/>
      <w:szCs w:val="20"/>
    </w:rPr>
  </w:style>
  <w:style w:type="character" w:styleId="842" w:customStyle="1">
    <w:name w:val="Comment Text Char"/>
    <w:basedOn w:val="818"/>
    <w:link w:val="841"/>
    <w:uiPriority w:val="99"/>
    <w:semiHidden/>
    <w:pPr>
      <w:pBdr/>
      <w:spacing/>
      <w:ind/>
    </w:pPr>
    <w:rPr>
      <w:sz w:val="20"/>
      <w:szCs w:val="20"/>
    </w:rPr>
  </w:style>
  <w:style w:type="paragraph" w:styleId="843">
    <w:name w:val="annotation subject"/>
    <w:basedOn w:val="841"/>
    <w:next w:val="841"/>
    <w:link w:val="844"/>
    <w:uiPriority w:val="99"/>
    <w:semiHidden/>
    <w:unhideWhenUsed/>
    <w:pPr>
      <w:pBdr/>
      <w:spacing/>
      <w:ind/>
    </w:pPr>
    <w:rPr>
      <w:b/>
      <w:bCs/>
    </w:rPr>
  </w:style>
  <w:style w:type="character" w:styleId="844" w:customStyle="1">
    <w:name w:val="Comment Subject Char"/>
    <w:basedOn w:val="842"/>
    <w:link w:val="843"/>
    <w:uiPriority w:val="99"/>
    <w:semiHidden/>
    <w:pPr>
      <w:pBdr/>
      <w:spacing/>
      <w:ind/>
    </w:pPr>
    <w:rPr>
      <w:b/>
      <w:bCs/>
      <w:sz w:val="20"/>
      <w:szCs w:val="20"/>
    </w:rPr>
  </w:style>
  <w:style w:type="paragraph" w:styleId="845">
    <w:name w:val="Balloon Text"/>
    <w:basedOn w:val="808"/>
    <w:link w:val="846"/>
    <w:uiPriority w:val="99"/>
    <w:semiHidden/>
    <w:unhideWhenUsed/>
    <w:pPr>
      <w:pBdr/>
      <w:spacing w:after="0" w:line="240" w:lineRule="auto"/>
      <w:ind/>
    </w:pPr>
    <w:rPr>
      <w:rFonts w:ascii="Segoe UI" w:hAnsi="Segoe UI" w:cs="Segoe UI"/>
      <w:sz w:val="18"/>
      <w:szCs w:val="18"/>
    </w:rPr>
  </w:style>
  <w:style w:type="character" w:styleId="846" w:customStyle="1">
    <w:name w:val="Balloon Text Char"/>
    <w:basedOn w:val="818"/>
    <w:link w:val="845"/>
    <w:uiPriority w:val="99"/>
    <w:semiHidden/>
    <w:pPr>
      <w:pBdr/>
      <w:spacing/>
      <w:ind/>
    </w:pPr>
    <w:rPr>
      <w:rFonts w:ascii="Segoe UI" w:hAnsi="Segoe UI" w:cs="Segoe UI"/>
      <w:sz w:val="18"/>
      <w:szCs w:val="18"/>
    </w:rPr>
  </w:style>
  <w:style w:type="paragraph" w:styleId="847">
    <w:name w:val="Header"/>
    <w:basedOn w:val="808"/>
    <w:link w:val="848"/>
    <w:uiPriority w:val="99"/>
    <w:unhideWhenUsed/>
    <w:pPr>
      <w:pBdr/>
      <w:tabs>
        <w:tab w:val="center" w:leader="none" w:pos="4513"/>
        <w:tab w:val="right" w:leader="none" w:pos="9026"/>
      </w:tabs>
      <w:spacing w:after="0" w:line="240" w:lineRule="auto"/>
      <w:ind/>
    </w:pPr>
  </w:style>
  <w:style w:type="character" w:styleId="848" w:customStyle="1">
    <w:name w:val="Header Char"/>
    <w:basedOn w:val="818"/>
    <w:link w:val="847"/>
    <w:uiPriority w:val="99"/>
    <w:pPr>
      <w:pBdr/>
      <w:spacing/>
      <w:ind/>
    </w:pPr>
    <w:rPr>
      <w:sz w:val="24"/>
    </w:rPr>
  </w:style>
  <w:style w:type="paragraph" w:styleId="849">
    <w:name w:val="Footer"/>
    <w:basedOn w:val="808"/>
    <w:link w:val="850"/>
    <w:uiPriority w:val="99"/>
    <w:unhideWhenUsed/>
    <w:pPr>
      <w:pBdr/>
      <w:tabs>
        <w:tab w:val="center" w:leader="none" w:pos="4513"/>
        <w:tab w:val="right" w:leader="none" w:pos="9026"/>
      </w:tabs>
      <w:spacing w:after="0" w:line="240" w:lineRule="auto"/>
      <w:ind/>
    </w:pPr>
  </w:style>
  <w:style w:type="character" w:styleId="850" w:customStyle="1">
    <w:name w:val="Footer Char"/>
    <w:basedOn w:val="818"/>
    <w:link w:val="849"/>
    <w:uiPriority w:val="99"/>
    <w:pPr>
      <w:pBdr/>
      <w:spacing/>
      <w:ind/>
    </w:pPr>
    <w:rPr>
      <w:sz w:val="24"/>
    </w:rPr>
  </w:style>
  <w:style w:type="paragraph" w:styleId="851">
    <w:name w:val="Caption"/>
    <w:basedOn w:val="808"/>
    <w:next w:val="808"/>
    <w:uiPriority w:val="35"/>
    <w:unhideWhenUsed/>
    <w:qFormat/>
    <w:pPr>
      <w:pBdr/>
      <w:spacing w:after="200" w:line="240" w:lineRule="auto"/>
      <w:ind/>
      <w:jc w:val="center"/>
    </w:pPr>
    <w:rPr>
      <w:i/>
      <w:iCs/>
      <w:color w:val="44546a" w:themeColor="text2"/>
      <w:sz w:val="18"/>
      <w:szCs w:val="18"/>
    </w:rPr>
  </w:style>
  <w:style w:type="character" w:styleId="852">
    <w:name w:val="Placeholder Text"/>
    <w:basedOn w:val="818"/>
    <w:uiPriority w:val="99"/>
    <w:semiHidden/>
    <w:pPr>
      <w:pBdr/>
      <w:spacing/>
      <w:ind/>
    </w:pPr>
    <w:rPr>
      <w:color w:val="808080"/>
    </w:rPr>
  </w:style>
  <w:style w:type="table" w:styleId="853">
    <w:name w:val="Table Grid"/>
    <w:basedOn w:val="81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4">
    <w:name w:val="Hyperlink"/>
    <w:basedOn w:val="818"/>
    <w:uiPriority w:val="99"/>
    <w:unhideWhenUsed/>
    <w:pPr>
      <w:pBdr/>
      <w:spacing/>
      <w:ind/>
    </w:pPr>
    <w:rPr>
      <w:color w:val="0563c1" w:themeColor="hyperlink"/>
      <w:u w:val="single"/>
    </w:rPr>
  </w:style>
  <w:style w:type="paragraph" w:styleId="855">
    <w:name w:val="Normal (Web)"/>
    <w:basedOn w:val="808"/>
    <w:uiPriority w:val="99"/>
    <w:semiHidden/>
    <w:unhideWhenUsed/>
    <w:pPr>
      <w:pBdr/>
      <w:spacing w:after="100" w:afterAutospacing="1" w:before="100" w:beforeAutospacing="1" w:line="240" w:lineRule="auto"/>
      <w:ind/>
      <w:contextualSpacing w:val="false"/>
      <w:jc w:val="left"/>
    </w:pPr>
    <w:rPr>
      <w:rFonts w:ascii="Times New Roman" w:hAnsi="Times New Roman" w:eastAsia="Times New Roman" w:cs="Times New Roman"/>
      <w:szCs w:val="24"/>
      <w:lang w:val="en-US"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Dinh Khoi</dc:creator>
  <cp:keywords/>
  <dc:description/>
  <cp:revision>72</cp:revision>
  <dcterms:created xsi:type="dcterms:W3CDTF">2024-03-12T08:34:00Z</dcterms:created>
  <dcterms:modified xsi:type="dcterms:W3CDTF">2026-06-07T15:07:13Z</dcterms:modified>
</cp:coreProperties>
</file>