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30E8D" w14:textId="60CA033A" w:rsidR="0054406F" w:rsidRDefault="00094645">
      <w:r>
        <w:t>Slide 1:</w:t>
      </w:r>
    </w:p>
    <w:p w14:paraId="5464A595" w14:textId="77777777" w:rsidR="00094645" w:rsidRDefault="00094645" w:rsidP="00094645">
      <w:r>
        <w:t xml:space="preserve">Good </w:t>
      </w:r>
      <w:proofErr w:type="gramStart"/>
      <w:r>
        <w:t>afternoon, and</w:t>
      </w:r>
      <w:proofErr w:type="gramEnd"/>
      <w:r>
        <w:t xml:space="preserve"> thank you for your time.</w:t>
      </w:r>
    </w:p>
    <w:p w14:paraId="5CEDD136" w14:textId="77777777" w:rsidR="00094645" w:rsidRDefault="00094645" w:rsidP="00094645">
      <w:r>
        <w:t>Today, we would like to discuss how you can manage your key funding, FX and tariff risks in the second half of 2026.</w:t>
      </w:r>
    </w:p>
    <w:p w14:paraId="07E4B067" w14:textId="77777777" w:rsidR="00094645" w:rsidRDefault="00094645" w:rsidP="00094645">
      <w:r>
        <w:t>Our objective is not to position your balance sheet around one macro forecast. It is to protect your cash flow while preserving flexibility.</w:t>
      </w:r>
    </w:p>
    <w:p w14:paraId="2FAFE192" w14:textId="7945349F" w:rsidR="00094645" w:rsidRDefault="00094645" w:rsidP="00094645">
      <w:r>
        <w:t>We will first explain our macro assumptions, before presenting three recommendations covering USD funding, CNY receipts and INR receipts.</w:t>
      </w:r>
    </w:p>
    <w:p w14:paraId="6F170573" w14:textId="77777777" w:rsidR="00094645" w:rsidRDefault="00094645" w:rsidP="00094645"/>
    <w:p w14:paraId="624406EB" w14:textId="44D03AEB" w:rsidR="00094645" w:rsidRDefault="00094645" w:rsidP="00094645">
      <w:r>
        <w:rPr>
          <w:rFonts w:hint="eastAsia"/>
        </w:rPr>
        <w:t>Slid</w:t>
      </w:r>
      <w:r>
        <w:t>e 2:</w:t>
      </w:r>
    </w:p>
    <w:p w14:paraId="55C74D1D" w14:textId="61138C8F" w:rsidR="00094645" w:rsidRDefault="00094645" w:rsidP="00094645">
      <w:r>
        <w:t>Let me begin with how we see your current exposures.</w:t>
      </w:r>
    </w:p>
    <w:p w14:paraId="71D470A9" w14:textId="4604236A" w:rsidR="00094645" w:rsidRDefault="00094645" w:rsidP="00094645">
      <w:r>
        <w:t>You are headquartered in Europe and report in euros, but approximately 35% of your revenue comes from China and India, with another 30% coming from the US.</w:t>
      </w:r>
    </w:p>
    <w:p w14:paraId="6B659E37" w14:textId="27CF6EB4" w:rsidR="00094645" w:rsidRDefault="00094645" w:rsidP="00094645">
      <w:r>
        <w:t>At the same time, roughly six billion euros equivalent of your procurement is USD-denominated. This is partly offset by around five billion euros of US revenue, but it still leaves a residual USD requirement.</w:t>
      </w:r>
    </w:p>
    <w:p w14:paraId="4EBCE6E1" w14:textId="5BD6B705" w:rsidR="00094645" w:rsidRDefault="00094645" w:rsidP="00094645">
      <w:r>
        <w:t>You also have around one billion euros equivalent of refinancing needs over the next five years.</w:t>
      </w:r>
    </w:p>
    <w:p w14:paraId="25B4280D" w14:textId="3FF2225A" w:rsidR="00094645" w:rsidRDefault="00094645" w:rsidP="00094645">
      <w:r>
        <w:t>This creates three connected risks for your business: access to USD funding, translation of Asian revenues into euros, and working-capital pressure if tariffs disrupt costs, volumes or supply chains.</w:t>
      </w:r>
    </w:p>
    <w:p w14:paraId="213797C5" w14:textId="77777777" w:rsidR="00094645" w:rsidRDefault="00094645" w:rsidP="00094645"/>
    <w:p w14:paraId="07D8E634" w14:textId="7EFC3CF6" w:rsidR="00094645" w:rsidRDefault="00094645" w:rsidP="00094645">
      <w:r>
        <w:t>Slide 3:</w:t>
      </w:r>
    </w:p>
    <w:p w14:paraId="7C5AEDCA" w14:textId="25725D44" w:rsidR="00094645" w:rsidRDefault="00094645" w:rsidP="00094645">
      <w:r>
        <w:t xml:space="preserve">Starting with the US, our base case is a stable Fed, but a modestly </w:t>
      </w:r>
      <w:proofErr w:type="spellStart"/>
      <w:r>
        <w:t>steep</w:t>
      </w:r>
      <w:r>
        <w:t>en</w:t>
      </w:r>
      <w:r>
        <w:t>er</w:t>
      </w:r>
      <w:proofErr w:type="spellEnd"/>
      <w:r>
        <w:t xml:space="preserve"> yield curve in the second half.</w:t>
      </w:r>
    </w:p>
    <w:p w14:paraId="02D7D0A5" w14:textId="03BAD1C3" w:rsidR="00094645" w:rsidRDefault="0057586A" w:rsidP="00094645">
      <w:r>
        <w:t>For the inflation, the current inflation pressure is mainly supply-driven, rather than the result of overheating domestic demand. Higher interest rates cannot remove tariffs or increase oil supply. Further tightening would instead weaken demand, employment, and business investment. Also considering moderating wage growth, fading seasonality, ongoing fed framework reform, we do not think the threshold for another hike has been reached.</w:t>
      </w:r>
    </w:p>
    <w:p w14:paraId="69506204" w14:textId="693936EC" w:rsidR="00094645" w:rsidRDefault="00094645" w:rsidP="00094645">
      <w:pPr>
        <w:rPr>
          <w:rFonts w:hint="eastAsia"/>
        </w:rPr>
      </w:pPr>
      <w:r>
        <w:lastRenderedPageBreak/>
        <w:t>We would not build the strategy around an aggressive front-end rally. Some of this year’s repricing could reverse if the Fed remains patient, while long-end yields may stay sticky because term premium remains elevated.</w:t>
      </w:r>
      <w:r w:rsidR="0057586A">
        <w:t xml:space="preserve"> </w:t>
      </w:r>
      <w:r>
        <w:t>Our base case is therefore a modest re-steepening, driven mainly by the front end.</w:t>
      </w:r>
    </w:p>
    <w:p w14:paraId="13AA14AF" w14:textId="36E41C34" w:rsidR="00094645" w:rsidRDefault="0057586A" w:rsidP="00094645">
      <w:r>
        <w:t xml:space="preserve">For your business, </w:t>
      </w:r>
      <w:proofErr w:type="gramStart"/>
      <w:r>
        <w:t xml:space="preserve">this </w:t>
      </w:r>
      <w:r>
        <w:t>favors</w:t>
      </w:r>
      <w:proofErr w:type="gramEnd"/>
      <w:r>
        <w:t xml:space="preserve"> maintaining floating-rate flexibility instead of locking in an expensive USD fixed rate today.</w:t>
      </w:r>
    </w:p>
    <w:p w14:paraId="65B7AA1C" w14:textId="77777777" w:rsidR="0057586A" w:rsidRDefault="0057586A" w:rsidP="00094645"/>
    <w:p w14:paraId="3831BA83" w14:textId="007D65D1" w:rsidR="0057586A" w:rsidRDefault="0057586A" w:rsidP="00094645">
      <w:r>
        <w:t xml:space="preserve">Slide 4: </w:t>
      </w:r>
    </w:p>
    <w:p w14:paraId="02A0833A" w14:textId="45D7AF07" w:rsidR="0057586A" w:rsidRDefault="0057586A" w:rsidP="00094645">
      <w:r>
        <w:t>Current USD funding conditions remain supportive. SOFR is orderly, repo markets are functioning normally, cross-currency basis is also contained under normal market conditions.</w:t>
      </w:r>
    </w:p>
    <w:p w14:paraId="57504932" w14:textId="20759EEF" w:rsidR="0057586A" w:rsidRDefault="0057586A" w:rsidP="0057586A">
      <w:r>
        <w:t xml:space="preserve">However, the lower chart </w:t>
      </w:r>
      <w:proofErr w:type="gramStart"/>
      <w:r>
        <w:t>illustrate</w:t>
      </w:r>
      <w:proofErr w:type="gramEnd"/>
      <w:r>
        <w:t xml:space="preserve"> the tail risk. During the Russia-Ukraine, SVB collapse, recent Iran shock, </w:t>
      </w:r>
      <w:r>
        <w:t>basis widened as offshore demand for dollars increased.</w:t>
      </w:r>
      <w:r>
        <w:t xml:space="preserve"> </w:t>
      </w:r>
      <w:r>
        <w:t>This risk is episodic rather than persistent, but it can become expensive very quickly.</w:t>
      </w:r>
    </w:p>
    <w:p w14:paraId="25303B3F" w14:textId="3E14F5E1" w:rsidR="0057586A" w:rsidRDefault="0057586A" w:rsidP="0057586A">
      <w:r>
        <w:t>We therefore think the current orderly environment provides a sensible window for you to establish USD funding capacity, before offshore conversion costs potentially deteriorate in another risk-off episode.</w:t>
      </w:r>
    </w:p>
    <w:p w14:paraId="67295149" w14:textId="77777777" w:rsidR="0057586A" w:rsidRDefault="0057586A" w:rsidP="0057586A"/>
    <w:p w14:paraId="6ACA6CA7" w14:textId="74750856" w:rsidR="0057586A" w:rsidRDefault="0057586A" w:rsidP="0057586A">
      <w:r>
        <w:t xml:space="preserve">Slide 5: </w:t>
      </w:r>
    </w:p>
    <w:p w14:paraId="7F382A09" w14:textId="1A1C3154" w:rsidR="0057586A" w:rsidRDefault="0057586A" w:rsidP="0057586A">
      <w:pPr>
        <w:rPr>
          <w:rFonts w:hint="eastAsia"/>
        </w:rPr>
      </w:pPr>
      <w:r>
        <w:t>For your Asian revenues, China and India require different hedge ratios because growth and currency performance are diverging.</w:t>
      </w:r>
    </w:p>
    <w:p w14:paraId="402D8823" w14:textId="469D35A3" w:rsidR="0057586A" w:rsidRDefault="0057586A" w:rsidP="0057586A">
      <w:pPr>
        <w:rPr>
          <w:rFonts w:hint="eastAsia"/>
        </w:rPr>
      </w:pPr>
      <w:r>
        <w:t>China’s domestic recovery remains weak, but CNY is supported by policy signals, stronger daily fixings and exporter conversion demand.</w:t>
      </w:r>
    </w:p>
    <w:p w14:paraId="17980E57" w14:textId="181F8B0E" w:rsidR="0057586A" w:rsidRDefault="0057586A" w:rsidP="0057586A">
      <w:pPr>
        <w:rPr>
          <w:rFonts w:hint="eastAsia"/>
        </w:rPr>
      </w:pPr>
      <w:r>
        <w:t>India has stronger growth, but INR may still underperform EUR as RBI support becomes less active and portfolio flows weaken.</w:t>
      </w:r>
    </w:p>
    <w:p w14:paraId="037A1A0C" w14:textId="3F6AE630" w:rsidR="0057586A" w:rsidRDefault="0057586A" w:rsidP="0057586A">
      <w:r>
        <w:t>We therefore recommend a lower hedge ratio for CNY receipts, where further appreciation remains possible, and a higher ratio for INR receipts, where depreciation risk is greater.</w:t>
      </w:r>
    </w:p>
    <w:p w14:paraId="117B417F" w14:textId="77777777" w:rsidR="0057586A" w:rsidRDefault="0057586A" w:rsidP="0057586A"/>
    <w:p w14:paraId="597B9185" w14:textId="0D264D97" w:rsidR="0057586A" w:rsidRDefault="0057586A" w:rsidP="0057586A">
      <w:r>
        <w:t>Slide 6:</w:t>
      </w:r>
    </w:p>
    <w:p w14:paraId="5908A5AD" w14:textId="5CEC8A4C" w:rsidR="0057586A" w:rsidRDefault="0057586A" w:rsidP="0057586A">
      <w:pPr>
        <w:rPr>
          <w:rFonts w:hint="eastAsia"/>
        </w:rPr>
      </w:pPr>
      <w:r>
        <w:t>Against this backdrop, we see three main risks.</w:t>
      </w:r>
    </w:p>
    <w:p w14:paraId="202FD61C" w14:textId="79826152" w:rsidR="0057586A" w:rsidRDefault="0057586A" w:rsidP="0057586A">
      <w:pPr>
        <w:rPr>
          <w:rFonts w:hint="eastAsia"/>
        </w:rPr>
      </w:pPr>
      <w:r>
        <w:lastRenderedPageBreak/>
        <w:t>First, supply-driven inflation could remain elevated even as growth slows, limiting the Fed’s ability to ease without necessarily justifying further hikes.</w:t>
      </w:r>
    </w:p>
    <w:p w14:paraId="3488D552" w14:textId="19DC6D38" w:rsidR="0057586A" w:rsidRDefault="0057586A" w:rsidP="0057586A">
      <w:pPr>
        <w:rPr>
          <w:rFonts w:hint="eastAsia"/>
        </w:rPr>
      </w:pPr>
      <w:r>
        <w:t>Second, geopolitical shocks could tighten financial conditions and create another dash for dollars.</w:t>
      </w:r>
    </w:p>
    <w:p w14:paraId="5C34BCA9" w14:textId="3856BC82" w:rsidR="0057586A" w:rsidRDefault="0057586A" w:rsidP="0057586A">
      <w:pPr>
        <w:rPr>
          <w:rFonts w:hint="eastAsia"/>
        </w:rPr>
      </w:pPr>
      <w:r>
        <w:t>Third, EUR, CNY and INR respond differently to policy and capital flows.</w:t>
      </w:r>
    </w:p>
    <w:p w14:paraId="0D841AEB" w14:textId="6E36934F" w:rsidR="0057586A" w:rsidRDefault="0057586A" w:rsidP="0057586A">
      <w:r>
        <w:t>These different transmission channels are why we recommend different funding and hedge strategies across your exposures.</w:t>
      </w:r>
    </w:p>
    <w:p w14:paraId="4C06F2B3" w14:textId="77777777" w:rsidR="0057586A" w:rsidRDefault="0057586A" w:rsidP="0057586A">
      <w:pPr>
        <w:rPr>
          <w:rFonts w:hint="eastAsia"/>
        </w:rPr>
      </w:pPr>
    </w:p>
    <w:p w14:paraId="2335D741" w14:textId="0296FFFF" w:rsidR="0057586A" w:rsidRDefault="0057586A" w:rsidP="0057586A">
      <w:r>
        <w:t>Slide 7:</w:t>
      </w:r>
    </w:p>
    <w:p w14:paraId="58588CDB" w14:textId="0402FFEA" w:rsidR="0057586A" w:rsidRDefault="0057586A" w:rsidP="0057586A">
      <w:r>
        <w:t>Tariffs are now more of a tail risk, but the tail still matters for your business.</w:t>
      </w:r>
    </w:p>
    <w:p w14:paraId="72B7E892" w14:textId="07485CA4" w:rsidR="0057586A" w:rsidRDefault="0057586A" w:rsidP="0057586A">
      <w:pPr>
        <w:pStyle w:val="ListParagraph"/>
        <w:numPr>
          <w:ilvl w:val="0"/>
          <w:numId w:val="1"/>
        </w:numPr>
      </w:pPr>
      <w:r>
        <w:t>The Supreme Court ruling removed the legal basis for the broad IEEPA tariffs. However, Section 301 and sector-specific measures remain, and the regime still affects most major trading relationships.</w:t>
      </w:r>
    </w:p>
    <w:p w14:paraId="111AAC36" w14:textId="4F8403B3" w:rsidR="0057586A" w:rsidRDefault="0057586A" w:rsidP="0057586A">
      <w:pPr>
        <w:pStyle w:val="ListParagraph"/>
        <w:numPr>
          <w:ilvl w:val="0"/>
          <w:numId w:val="1"/>
        </w:numPr>
      </w:pPr>
      <w:r>
        <w:t>Re-routing production may reduce your China-specific exposure, but it cannot remove the broader tariff burden.</w:t>
      </w:r>
    </w:p>
    <w:p w14:paraId="00782F2E" w14:textId="01AAFECD" w:rsidR="0057586A" w:rsidRDefault="0057586A" w:rsidP="0057586A">
      <w:pPr>
        <w:pStyle w:val="ListParagraph"/>
        <w:numPr>
          <w:ilvl w:val="0"/>
          <w:numId w:val="1"/>
        </w:numPr>
      </w:pPr>
      <w:r>
        <w:t>The transmission into your cash flow is relatively direct.</w:t>
      </w:r>
      <w:r>
        <w:t xml:space="preserve"> </w:t>
      </w:r>
      <w:r>
        <w:t>Higher tariffs raise landed costs. You can absorb the cost, pass it through to customers, or re-route the supply chain.</w:t>
      </w:r>
      <w:r>
        <w:t xml:space="preserve"> </w:t>
      </w:r>
      <w:r>
        <w:t>Absorbing reduces margins; passing through can weaken volumes; and re-routing increases transition and logistics costs.</w:t>
      </w:r>
    </w:p>
    <w:p w14:paraId="511A2C51" w14:textId="0366F97F" w:rsidR="0057586A" w:rsidRDefault="0057586A" w:rsidP="0057586A">
      <w:r>
        <w:t xml:space="preserve">All three channels can raise inventory needs, working-capital pressure and cash-flow volatility. This reinforces the case for securing funding and FX protection before the risk </w:t>
      </w:r>
      <w:r>
        <w:t>materializes</w:t>
      </w:r>
      <w:r>
        <w:t>.</w:t>
      </w:r>
    </w:p>
    <w:p w14:paraId="23F38A85" w14:textId="77777777" w:rsidR="0057586A" w:rsidRDefault="0057586A" w:rsidP="0057586A"/>
    <w:p w14:paraId="4DD973D4" w14:textId="31C99AE8" w:rsidR="0057586A" w:rsidRDefault="0057586A" w:rsidP="0057586A">
      <w:r>
        <w:t>Slide 8:</w:t>
      </w:r>
    </w:p>
    <w:p w14:paraId="2DD63880" w14:textId="02709C48" w:rsidR="0057586A" w:rsidRDefault="0057586A" w:rsidP="0057586A">
      <w:r>
        <w:t>Our first recommendation is to use your established euro funding franchise and then swap the proceeds into dollars.</w:t>
      </w:r>
    </w:p>
    <w:p w14:paraId="5E2D186D" w14:textId="615077D5" w:rsidR="0057586A" w:rsidRDefault="0057586A" w:rsidP="0057586A">
      <w:r>
        <w:t>The proposed structure is a floating-to-floating EUR-USD cross-currency swap.</w:t>
      </w:r>
      <w:r>
        <w:t xml:space="preserve"> </w:t>
      </w:r>
      <w:r>
        <w:t>You would raise floating-rate euro funding and, through the swap, receive euro floating to offset the interest payments on your euro debt, while paying USD floating.</w:t>
      </w:r>
    </w:p>
    <w:p w14:paraId="4830DE95" w14:textId="1A0E45E4" w:rsidR="0057586A" w:rsidRDefault="0057586A" w:rsidP="0057586A">
      <w:r>
        <w:t>We would match the euro leg of the swap to the benchmark on your underlying debt—for example, Euribor for a Euribor-linked loan.</w:t>
      </w:r>
    </w:p>
    <w:p w14:paraId="15D7CC54" w14:textId="77777777" w:rsidR="0057586A" w:rsidRDefault="0057586A" w:rsidP="0057586A">
      <w:r>
        <w:lastRenderedPageBreak/>
        <w:t>There are three reasons to consider executing now.</w:t>
      </w:r>
    </w:p>
    <w:p w14:paraId="57199AAF" w14:textId="77777777" w:rsidR="0057586A" w:rsidRDefault="0057586A" w:rsidP="0057586A">
      <w:pPr>
        <w:pStyle w:val="ListParagraph"/>
        <w:numPr>
          <w:ilvl w:val="0"/>
          <w:numId w:val="2"/>
        </w:numPr>
      </w:pPr>
      <w:r>
        <w:t>Y</w:t>
      </w:r>
      <w:r>
        <w:t>ou are already an established EUR borrower, making euro funding a reliable starting point.</w:t>
      </w:r>
    </w:p>
    <w:p w14:paraId="30CC0C48" w14:textId="77777777" w:rsidR="0057586A" w:rsidRDefault="0057586A" w:rsidP="0057586A">
      <w:pPr>
        <w:pStyle w:val="ListParagraph"/>
        <w:numPr>
          <w:ilvl w:val="0"/>
          <w:numId w:val="2"/>
        </w:numPr>
      </w:pPr>
      <w:r>
        <w:t xml:space="preserve">Orderly </w:t>
      </w:r>
      <w:r>
        <w:t>markets allow you to secure the conversion terms before basis potentially widens.</w:t>
      </w:r>
    </w:p>
    <w:p w14:paraId="0ACF3299" w14:textId="63D3588D" w:rsidR="0057586A" w:rsidRDefault="0057586A" w:rsidP="0057586A">
      <w:pPr>
        <w:pStyle w:val="ListParagraph"/>
        <w:numPr>
          <w:ilvl w:val="0"/>
          <w:numId w:val="2"/>
        </w:numPr>
      </w:pPr>
      <w:r>
        <w:t>P</w:t>
      </w:r>
      <w:r>
        <w:t>aying USD floating preserves the benefit if front-end US rates eventually decline, rather than locking in today’s fixed rate.</w:t>
      </w:r>
    </w:p>
    <w:p w14:paraId="5E5B2320" w14:textId="3E34095A" w:rsidR="0057586A" w:rsidRDefault="0057586A" w:rsidP="0057586A"/>
    <w:p w14:paraId="51AF4E34" w14:textId="062C63D4" w:rsidR="0057586A" w:rsidRDefault="0057586A" w:rsidP="0057586A">
      <w:r>
        <w:t>Slide 9:</w:t>
      </w:r>
    </w:p>
    <w:p w14:paraId="7A120B5C" w14:textId="6F563E46" w:rsidR="0057586A" w:rsidRDefault="0057586A" w:rsidP="0057586A">
      <w:pPr>
        <w:rPr>
          <w:rFonts w:hint="eastAsia"/>
        </w:rPr>
      </w:pPr>
      <w:r>
        <w:t>Our second recommendation is to partially hedge your CNY receipts using a one-year EUR-CNY NDF at around 7.70, with an initial hedge ratio of approximately 50%.</w:t>
      </w:r>
    </w:p>
    <w:p w14:paraId="4B8124FF" w14:textId="459F44AB" w:rsidR="0057586A" w:rsidRDefault="0057586A" w:rsidP="0057586A">
      <w:pPr>
        <w:rPr>
          <w:rFonts w:hint="eastAsia"/>
        </w:rPr>
      </w:pPr>
      <w:r>
        <w:t>Because you receive CNY but report in euros, a rise in EURCNY reduces the euro value of those receipts. Buying EUR and selling CNY through the NDF protects you against that outcome.</w:t>
      </w:r>
    </w:p>
    <w:p w14:paraId="0E9A7BC3" w14:textId="478471ED" w:rsidR="0057586A" w:rsidRDefault="0057586A" w:rsidP="0057586A">
      <w:pPr>
        <w:rPr>
          <w:rFonts w:hint="eastAsia"/>
        </w:rPr>
      </w:pPr>
      <w:r>
        <w:t>However, we do not recommend a full hedge because we still see two sources of support for CNY.</w:t>
      </w:r>
    </w:p>
    <w:p w14:paraId="7A8C6E92" w14:textId="2834359F" w:rsidR="0057586A" w:rsidRDefault="0057586A" w:rsidP="0057586A">
      <w:pPr>
        <w:ind w:left="720"/>
        <w:rPr>
          <w:rFonts w:hint="eastAsia"/>
        </w:rPr>
      </w:pPr>
      <w:r>
        <w:t xml:space="preserve">First, recent daily fixings have remained supportive, </w:t>
      </w:r>
      <w:r>
        <w:t>signaling</w:t>
      </w:r>
      <w:r>
        <w:t xml:space="preserve"> that policymakers are comfortable with a controlled appreciation rather than a sharp depreciation.</w:t>
      </w:r>
    </w:p>
    <w:p w14:paraId="19D72BC3" w14:textId="6792A401" w:rsidR="0057586A" w:rsidRDefault="0057586A" w:rsidP="0057586A">
      <w:pPr>
        <w:ind w:left="720"/>
        <w:rPr>
          <w:rFonts w:hint="eastAsia"/>
        </w:rPr>
      </w:pPr>
      <w:r>
        <w:t>Second, China’s strong export performance and trade surplus create a large pool of foreign-currency receipts. As exporters convert part of these dollar proceeds back into renminbi, the resulting conversion demand provides underlying support for CNY.</w:t>
      </w:r>
    </w:p>
    <w:p w14:paraId="6C72EF71" w14:textId="515504A0" w:rsidR="0057586A" w:rsidRDefault="0057586A" w:rsidP="0057586A">
      <w:pPr>
        <w:rPr>
          <w:rFonts w:hint="eastAsia"/>
        </w:rPr>
      </w:pPr>
      <w:r>
        <w:t>At the same time, the current forward already prices a meaningful degree of CNY appreciation. We therefore do not want to leave the exposure completely unhedged, but neither do we want to remove all the potential upside.</w:t>
      </w:r>
    </w:p>
    <w:p w14:paraId="10C87246" w14:textId="1058A08A" w:rsidR="0057586A" w:rsidRDefault="0057586A" w:rsidP="0057586A">
      <w:r>
        <w:t>A 50% hedge ratio provides that balance. If CNY weakens, the NDF offsets part of the decline in your translated revenue. If CNY strengthens further, the unhedged portion of your receipts continues to benefit.</w:t>
      </w:r>
    </w:p>
    <w:p w14:paraId="0C0D6C1E" w14:textId="77777777" w:rsidR="0057586A" w:rsidRDefault="0057586A" w:rsidP="0057586A"/>
    <w:p w14:paraId="729E9870" w14:textId="7FDFC0F8" w:rsidR="0057586A" w:rsidRDefault="0057586A" w:rsidP="0057586A">
      <w:r>
        <w:rPr>
          <w:rFonts w:hint="eastAsia"/>
        </w:rPr>
        <w:t>Slide</w:t>
      </w:r>
      <w:r>
        <w:t xml:space="preserve"> 10:</w:t>
      </w:r>
    </w:p>
    <w:p w14:paraId="12777C5F" w14:textId="2589948E" w:rsidR="0057586A" w:rsidRDefault="0057586A" w:rsidP="0057586A">
      <w:pPr>
        <w:rPr>
          <w:rFonts w:hint="eastAsia"/>
        </w:rPr>
      </w:pPr>
      <w:r>
        <w:t>Our third recommendation is more defensive: buy EUR and sell INR through a one-year NDF at around 114.81, with a hedge ratio of approximately 70%.</w:t>
      </w:r>
    </w:p>
    <w:p w14:paraId="75C6E301" w14:textId="2A14D205" w:rsidR="0057586A" w:rsidRDefault="0057586A" w:rsidP="0057586A">
      <w:pPr>
        <w:rPr>
          <w:rFonts w:hint="eastAsia"/>
        </w:rPr>
      </w:pPr>
      <w:r>
        <w:lastRenderedPageBreak/>
        <w:t>Importantly, this is not a negative view on Indian growth. We expect India’s domestic economy to remain relatively resilient. Our view is specifically that INR could underperform EUR.</w:t>
      </w:r>
    </w:p>
    <w:p w14:paraId="0D442153" w14:textId="7BC9D9C3" w:rsidR="0057586A" w:rsidRDefault="0057586A" w:rsidP="0057586A">
      <w:pPr>
        <w:ind w:left="720"/>
        <w:rPr>
          <w:rFonts w:hint="eastAsia"/>
        </w:rPr>
      </w:pPr>
      <w:r>
        <w:t>First, in a weaker-dollar environment, the RBI may have less incentive to actively support INR. Broad dollar weakness is likely to benefit EUR, but INR may not strengthen by the same amount. This would push EUR-INR higher.</w:t>
      </w:r>
    </w:p>
    <w:p w14:paraId="04A12EAC" w14:textId="09B406C7" w:rsidR="0057586A" w:rsidRDefault="0057586A" w:rsidP="0057586A">
      <w:pPr>
        <w:ind w:left="720"/>
        <w:rPr>
          <w:rFonts w:hint="eastAsia"/>
        </w:rPr>
      </w:pPr>
      <w:r>
        <w:t>Second, the RBI may also be increasingly cautious about using its balance sheet to defend the currency. It already carries a large net short dollar forward position, while recent foreign-currency deposit inflows may be used to rebuild reserve buffers rather than support INR in the spot market.</w:t>
      </w:r>
    </w:p>
    <w:p w14:paraId="22261C39" w14:textId="19E4C4D5" w:rsidR="0057586A" w:rsidRDefault="0057586A" w:rsidP="0057586A">
      <w:pPr>
        <w:ind w:left="720"/>
        <w:rPr>
          <w:rFonts w:hint="eastAsia"/>
        </w:rPr>
      </w:pPr>
      <w:r>
        <w:t>Third, portfolio flows have recently deteriorated. Another global risk-off episode could lead to further equity and bond outflows, adding pressure on INR.</w:t>
      </w:r>
    </w:p>
    <w:p w14:paraId="707A7487" w14:textId="785FCC08" w:rsidR="0057586A" w:rsidRDefault="0057586A" w:rsidP="0057586A">
      <w:pPr>
        <w:rPr>
          <w:rFonts w:hint="eastAsia"/>
        </w:rPr>
      </w:pPr>
      <w:r>
        <w:t>Together, these factors suggest that INR depreciation against EUR could exceed what is currently priced into the forward.</w:t>
      </w:r>
    </w:p>
    <w:p w14:paraId="25D6C68A" w14:textId="0E235901" w:rsidR="0057586A" w:rsidRDefault="0057586A" w:rsidP="0057586A">
      <w:pPr>
        <w:rPr>
          <w:rFonts w:hint="eastAsia"/>
        </w:rPr>
      </w:pPr>
      <w:r>
        <w:t>A 70% hedge therefore protects most of your translated revenue if INR weakens, while the remaining 30% preserves some upside if INR strengthens.</w:t>
      </w:r>
    </w:p>
    <w:p w14:paraId="447448F2" w14:textId="3B8B5E38" w:rsidR="0057586A" w:rsidRDefault="0057586A" w:rsidP="0057586A">
      <w:r>
        <w:t>Combined with EUR funding swapped into USD floating and a 50% CNY hedge, this protects your cash flow while preserving flexibility.</w:t>
      </w:r>
    </w:p>
    <w:sectPr w:rsidR="00575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93E7B"/>
    <w:multiLevelType w:val="hybridMultilevel"/>
    <w:tmpl w:val="67B88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154A94"/>
    <w:multiLevelType w:val="hybridMultilevel"/>
    <w:tmpl w:val="01EAD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1655666">
    <w:abstractNumId w:val="1"/>
  </w:num>
  <w:num w:numId="2" w16cid:durableId="1777208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45"/>
    <w:rsid w:val="00094645"/>
    <w:rsid w:val="0054406F"/>
    <w:rsid w:val="0057586A"/>
    <w:rsid w:val="00857AB6"/>
    <w:rsid w:val="008B20E4"/>
    <w:rsid w:val="00D96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8E53FE"/>
  <w15:chartTrackingRefBased/>
  <w15:docId w15:val="{6F87B352-6875-2D46-A997-C15182CE7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645"/>
    <w:rPr>
      <w:rFonts w:eastAsiaTheme="majorEastAsia" w:cstheme="majorBidi"/>
      <w:color w:val="272727" w:themeColor="text1" w:themeTint="D8"/>
    </w:rPr>
  </w:style>
  <w:style w:type="paragraph" w:styleId="Title">
    <w:name w:val="Title"/>
    <w:basedOn w:val="Normal"/>
    <w:next w:val="Normal"/>
    <w:link w:val="TitleChar"/>
    <w:uiPriority w:val="10"/>
    <w:qFormat/>
    <w:rsid w:val="00094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645"/>
    <w:pPr>
      <w:spacing w:before="160"/>
      <w:jc w:val="center"/>
    </w:pPr>
    <w:rPr>
      <w:i/>
      <w:iCs/>
      <w:color w:val="404040" w:themeColor="text1" w:themeTint="BF"/>
    </w:rPr>
  </w:style>
  <w:style w:type="character" w:customStyle="1" w:styleId="QuoteChar">
    <w:name w:val="Quote Char"/>
    <w:basedOn w:val="DefaultParagraphFont"/>
    <w:link w:val="Quote"/>
    <w:uiPriority w:val="29"/>
    <w:rsid w:val="00094645"/>
    <w:rPr>
      <w:i/>
      <w:iCs/>
      <w:color w:val="404040" w:themeColor="text1" w:themeTint="BF"/>
    </w:rPr>
  </w:style>
  <w:style w:type="paragraph" w:styleId="ListParagraph">
    <w:name w:val="List Paragraph"/>
    <w:basedOn w:val="Normal"/>
    <w:uiPriority w:val="34"/>
    <w:qFormat/>
    <w:rsid w:val="00094645"/>
    <w:pPr>
      <w:ind w:left="720"/>
      <w:contextualSpacing/>
    </w:pPr>
  </w:style>
  <w:style w:type="character" w:styleId="IntenseEmphasis">
    <w:name w:val="Intense Emphasis"/>
    <w:basedOn w:val="DefaultParagraphFont"/>
    <w:uiPriority w:val="21"/>
    <w:qFormat/>
    <w:rsid w:val="00094645"/>
    <w:rPr>
      <w:i/>
      <w:iCs/>
      <w:color w:val="0F4761" w:themeColor="accent1" w:themeShade="BF"/>
    </w:rPr>
  </w:style>
  <w:style w:type="paragraph" w:styleId="IntenseQuote">
    <w:name w:val="Intense Quote"/>
    <w:basedOn w:val="Normal"/>
    <w:next w:val="Normal"/>
    <w:link w:val="IntenseQuoteChar"/>
    <w:uiPriority w:val="30"/>
    <w:qFormat/>
    <w:rsid w:val="00094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645"/>
    <w:rPr>
      <w:i/>
      <w:iCs/>
      <w:color w:val="0F4761" w:themeColor="accent1" w:themeShade="BF"/>
    </w:rPr>
  </w:style>
  <w:style w:type="character" w:styleId="IntenseReference">
    <w:name w:val="Intense Reference"/>
    <w:basedOn w:val="DefaultParagraphFont"/>
    <w:uiPriority w:val="32"/>
    <w:qFormat/>
    <w:rsid w:val="00094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Li</dc:creator>
  <cp:keywords/>
  <dc:description/>
  <cp:lastModifiedBy>Jian Li</cp:lastModifiedBy>
  <cp:revision>2</cp:revision>
  <dcterms:created xsi:type="dcterms:W3CDTF">2026-08-11T12:18:00Z</dcterms:created>
  <dcterms:modified xsi:type="dcterms:W3CDTF">2026-08-11T14:28:00Z</dcterms:modified>
</cp:coreProperties>
</file>