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960"/>
      </w:pPr>
      <w:r>
        <w:rPr>
          <w:rFonts w:ascii="Calibri" w:hAnsi="Calibri" w:eastAsia="Calibri"/>
          <w:b w:val="0"/>
          <w:i w:val="0"/>
        </w:rPr>
      </w:r>
    </w:p>
    <w:p>
      <w:pPr>
        <w:spacing w:after="360"/>
        <w:jc w:val="center"/>
      </w:pPr>
      <w:r>
        <w:rPr>
          <w:rFonts w:ascii="Calibri" w:hAnsi="Calibri" w:eastAsia="Calibri"/>
          <w:b/>
          <w:i w:val="0"/>
          <w:color w:val="3D8DFF"/>
          <w:sz w:val="20"/>
        </w:rPr>
        <w:t>TACTICAL FX RESEARCH</w:t>
      </w:r>
    </w:p>
    <w:p>
      <w:pPr>
        <w:pStyle w:val="Title"/>
        <w:jc w:val="center"/>
      </w:pPr>
      <w:r>
        <w:rPr>
          <w:rFonts w:ascii="Calibri" w:hAnsi="Calibri" w:eastAsia="Calibri"/>
          <w:b/>
          <w:color w:val="203748"/>
          <w:sz w:val="60"/>
        </w:rPr>
        <w:t>Short USD/THB</w:t>
      </w:r>
    </w:p>
    <w:p>
      <w:pPr>
        <w:pStyle w:val="Subtitle"/>
        <w:jc w:val="center"/>
      </w:pPr>
      <w:r>
        <w:rPr>
          <w:rFonts w:ascii="Calibri" w:hAnsi="Calibri" w:eastAsia="Calibri"/>
          <w:color w:val="2E74B5"/>
          <w:sz w:val="30"/>
        </w:rPr>
        <w:t>Buy the Q3 external-balance inflection</w:t>
      </w:r>
    </w:p>
    <w:p>
      <w:pPr>
        <w:spacing w:after="160"/>
        <w:jc w:val="center"/>
      </w:pPr>
      <w:r>
        <w:rPr>
          <w:rFonts w:ascii="Calibri" w:hAnsi="Calibri" w:eastAsia="Calibri"/>
          <w:b/>
          <w:i w:val="0"/>
          <w:color w:val="203748"/>
          <w:sz w:val="23"/>
        </w:rPr>
        <w:t>A tactical long-THB trade into end-September</w:t>
      </w:r>
    </w:p>
    <w:p>
      <w:pPr>
        <w:spacing w:after="1400"/>
        <w:jc w:val="center"/>
      </w:pPr>
      <w:r>
        <w:rPr>
          <w:rFonts w:ascii="Calibri" w:hAnsi="Calibri" w:eastAsia="Calibri"/>
          <w:b w:val="0"/>
          <w:i/>
          <w:color w:val="66707C"/>
          <w:sz w:val="19"/>
        </w:rPr>
        <w:t>Independent deep-dive anchored on Nomura's 31 Jul 2026 view and verified against BoT, U.S. Treasury, Fed/BLS, Krungsri/MUFG and current market data.</w:t>
      </w:r>
    </w:p>
    <w:p>
      <w:pPr>
        <w:spacing w:after="80"/>
        <w:jc w:val="center"/>
      </w:pPr>
      <w:r>
        <w:rPr>
          <w:rFonts w:ascii="Calibri" w:hAnsi="Calibri" w:eastAsia="Calibri"/>
          <w:b/>
          <w:i w:val="0"/>
          <w:color w:val="203748"/>
          <w:sz w:val="24"/>
        </w:rPr>
        <w:t>06 August 2026</w:t>
      </w:r>
    </w:p>
    <w:p>
      <w:pPr>
        <w:spacing w:after="480"/>
        <w:jc w:val="center"/>
      </w:pPr>
      <w:r>
        <w:rPr>
          <w:rFonts w:ascii="Calibri" w:hAnsi="Calibri" w:eastAsia="Calibri"/>
          <w:b w:val="0"/>
          <w:i w:val="0"/>
          <w:color w:val="66707C"/>
          <w:sz w:val="18"/>
        </w:rPr>
        <w:t>Market data cut: ~11:00 ET / latest available official releases</w:t>
      </w:r>
    </w:p>
    <w:p>
      <w:pPr>
        <w:jc w:val="center"/>
      </w:pPr>
      <w:r>
        <w:rPr>
          <w:rFonts w:ascii="Calibri" w:hAnsi="Calibri" w:eastAsia="Calibri"/>
          <w:b w:val="0"/>
          <w:i/>
          <w:color w:val="66707C"/>
          <w:sz w:val="17"/>
        </w:rPr>
        <w:t>For research and discussion only. Not personalized investment advice; execution eligibility, liquidity and local FX rules must be checked with the relevant dealer/compliance function.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Executive summary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  <w:top w:val="single" w:sz="4" w:space="0" w:color="EAF5FB"/>
          <w:left w:val="single" w:sz="4" w:space="0" w:color="EAF5FB"/>
          <w:bottom w:val="single" w:sz="4" w:space="0" w:color="EAF5FB"/>
          <w:right w:val="single" w:sz="4" w:space="0" w:color="EAF5FB"/>
          <w:insideH w:val="single" w:sz="4" w:space="0" w:color="EAF5FB"/>
          <w:insideV w:val="single" w:sz="4" w:space="0" w:color="EAF5F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 xml:space="preserve">BOTTOM LINE  </w:t>
            </w:r>
            <w:r>
              <w:rPr>
                <w:rFonts w:ascii="Calibri" w:hAnsi="Calibri" w:eastAsia="Calibri"/>
                <w:color w:val="111111"/>
                <w:sz w:val="21"/>
              </w:rPr>
              <w:t>The trade is attractive on a rebound, not as a chase. Prefer selling USD/THB at 33.15–33.30, target 32.00 by end-September, stop/invalidation 33.90. The thesis is a flow inflection—current account, tourism and equity inflows—plus two-sided USD risk; it is not a Thai growth-boom call.</w:t>
            </w:r>
          </w:p>
        </w:tc>
      </w:tr>
    </w:tbl>
    <w:p>
      <w:pPr>
        <w:spacing w:after="20"/>
      </w:pPr>
    </w:p>
    <w:p>
      <w:pPr>
        <w:spacing w:after="80"/>
      </w:pPr>
      <w:r>
        <w:rPr>
          <w:rFonts w:ascii="Calibri" w:hAnsi="Calibri" w:eastAsia="Calibri"/>
          <w:b/>
          <w:i w:val="0"/>
          <w:color w:val="203748"/>
          <w:sz w:val="23"/>
        </w:rPr>
        <w:t>Trade sheet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</w:tblBorders>
      </w:tblPr>
      <w:tblGrid>
        <w:gridCol w:w="1500"/>
        <w:gridCol w:w="2780"/>
        <w:gridCol w:w="508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Item</w:t>
            </w:r>
          </w:p>
        </w:tc>
        <w:tc>
          <w:tcPr>
            <w:tcW w:type="dxa" w:w="2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Recommendation</w:t>
            </w:r>
          </w:p>
        </w:tc>
        <w:tc>
          <w:tcPr>
            <w:tcW w:type="dxa" w:w="5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Desk rationale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Direction</w:t>
            </w:r>
          </w:p>
        </w:tc>
        <w:tc>
          <w:tcPr>
            <w:tcW w:type="dxa" w:w="27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Short USD/THB / long THB</w:t>
            </w:r>
          </w:p>
        </w:tc>
        <w:tc>
          <w:tcPr>
            <w:tcW w:type="dxa" w:w="5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Tactical; conviction 3/5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Entry</w:t>
            </w:r>
          </w:p>
        </w:tc>
        <w:tc>
          <w:tcPr>
            <w:tcW w:type="dxa" w:w="27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33.15–33.30 preferred</w:t>
            </w:r>
          </w:p>
        </w:tc>
        <w:tc>
          <w:tcPr>
            <w:tcW w:type="dxa" w:w="5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Current ~33.06 has already moved; avoid chasing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Target / horizon</w:t>
            </w:r>
          </w:p>
        </w:tc>
        <w:tc>
          <w:tcPr>
            <w:tcW w:type="dxa" w:w="27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32.00 / end-Sep 2026</w:t>
            </w:r>
          </w:p>
        </w:tc>
        <w:tc>
          <w:tcPr>
            <w:tcW w:type="dxa" w:w="5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Nomura target; within broader published forecast envelope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Stop</w:t>
            </w:r>
          </w:p>
        </w:tc>
        <w:tc>
          <w:tcPr>
            <w:tcW w:type="dxa" w:w="27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33.90</w:t>
            </w:r>
          </w:p>
        </w:tc>
        <w:tc>
          <w:tcPr>
            <w:tcW w:type="dxa" w:w="5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Nomura invalidation anchor; reassess earlier if oil/Fed regime breaks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Carry</w:t>
            </w:r>
          </w:p>
        </w:tc>
        <w:tc>
          <w:tcPr>
            <w:tcW w:type="dxa" w:w="27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~43bp headwind to 30 Sep*</w:t>
            </w:r>
          </w:p>
        </w:tc>
        <w:tc>
          <w:tcPr>
            <w:tcW w:type="dxa" w:w="5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6m SOFR–THOR gap ~285bp; actual forward/basis differs</w:t>
            </w:r>
          </w:p>
        </w:tc>
      </w:tr>
    </w:tbl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r>
        <w:rPr>
          <w:rFonts w:ascii="Calibri" w:hAnsi="Calibri" w:eastAsia="Calibri"/>
          <w:color w:val="66707C"/>
          <w:sz w:val="16"/>
        </w:rPr>
        <w:t>Nomura, 31 Jul 2026 (user-provided)</w:t>
      </w:r>
      <w:r>
        <w:rPr>
          <w:rFonts w:ascii="Calibri" w:hAnsi="Calibri" w:eastAsia="Calibri"/>
          <w:color w:val="66707C"/>
          <w:sz w:val="16"/>
        </w:rPr>
        <w:t xml:space="preserve">; </w:t>
      </w:r>
      <w:hyperlink r:id="rId11">
        <w:r>
          <w:rPr>
            <w:color w:val="66707C"/>
            <w:u w:val="single"/>
          </w:rPr>
          <w:t>Krungsri/MUFG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12">
        <w:r>
          <w:rPr>
            <w:color w:val="66707C"/>
            <w:u w:val="single"/>
          </w:rPr>
          <w:t>Trading Economics spot</w:t>
        </w:r>
      </w:hyperlink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  <w:b/>
        </w:rPr>
        <w:t>Why it works:</w:t>
      </w:r>
      <w:r>
        <w:rPr>
          <w:rFonts w:ascii="Calibri" w:hAnsi="Calibri" w:eastAsia="Calibri"/>
        </w:rPr>
        <w:t xml:space="preserve"> Q2 current account was -$17.7bn, but June improved to -$3.47bn and Nomura sees Q3 +$1.1bn; BoT independently says the external balance should improve as energy effects fade.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  <w:b/>
        </w:rPr>
        <w:t>Why now:</w:t>
      </w:r>
      <w:r>
        <w:rPr>
          <w:rFonts w:ascii="Calibri" w:hAnsi="Calibri" w:eastAsia="Calibri"/>
        </w:rPr>
        <w:t xml:space="preserve"> tourism has troughed seasonally, July equity buying was +THB48.8bn, DXY is near a six-week low, and Brent has fallen from &gt;$100 in late July toward ~$80.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  <w:b/>
        </w:rPr>
        <w:t>What can break it:</w:t>
      </w:r>
      <w:r>
        <w:rPr>
          <w:rFonts w:ascii="Calibri" w:hAnsi="Calibri" w:eastAsia="Calibri"/>
        </w:rPr>
        <w:t xml:space="preserve"> a renewed oil shock, hot U.S. CPI/NFP that re-prices Fed hikes higher, persistent Thai current-account deficits, portfolio outflows, or a BoT preference for a weaker baht.</w:t>
      </w:r>
    </w:p>
    <w:p>
      <w:r>
        <w:rPr>
          <w:rFonts w:ascii="Calibri" w:hAnsi="Calibri" w:eastAsia="Calibri"/>
          <w:b w:val="0"/>
          <w:i/>
          <w:color w:val="66707C"/>
          <w:sz w:val="16"/>
        </w:rPr>
        <w:t>*Simple accrual estimate using the July 6m rate gap and 55 calendar days. This is a carry approximation, not an executable forward quote.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1. Thesis architecture: what survives independent verification</w:t>
      </w:r>
    </w:p>
    <w:p>
      <w:r>
        <w:rPr>
          <w:rFonts w:ascii="Calibri" w:hAnsi="Calibri" w:eastAsia="Calibri"/>
          <w:b w:val="0"/>
          <w:i w:val="0"/>
        </w:rPr>
        <w:t>Nomura's five-pillar case is directionally coherent, but the evidence is uneven. The current-account and tourism channels are the highest-quality pillars; portfolio flows are supportive but more tactical; reserve/intervention evidence is suggestive rather than definitive; and the broad-USD leg has become a repricing story rather than a clean dovish-Fed story.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</w:tblBorders>
      </w:tblPr>
      <w:tblGrid>
        <w:gridCol w:w="2200"/>
        <w:gridCol w:w="4000"/>
        <w:gridCol w:w="3160"/>
      </w:tblGrid>
      <w:tr>
        <w:trPr>
          <w:tblHeader w:val="true"/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Pillar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Evidence now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Assessment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Q2→Q3 current account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Q2A -$17.7bn; June -$3.47bn; Nomura Q3F +$1.1bn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CORE — strongest flow catalyst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Tourism seasonality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June 1.84m; week ended 25 Jul 584k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CORE — run-rate improving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Portfolio flows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July equities +THB48.8bn; bonds -THB11.0bn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SUPPORT — equity-led, not broad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Broad USD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DXY ~99.75; Fed held 3.50–3.75%, 9–3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SUPPORT — two-sided; NFP/CPI critical</w:t>
            </w:r>
          </w:p>
        </w:tc>
      </w:tr>
      <w:tr>
        <w:trPr>
          <w:cantSplit/>
        </w:trPr>
        <w:tc>
          <w:tcPr>
            <w:tcW w:type="dxa" w:w="2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BoT / reserves</w:t>
            </w:r>
          </w:p>
        </w:tc>
        <w:tc>
          <w:tcPr>
            <w:tcW w:type="dxa" w:w="40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FX reserves -$3.7bn raw 17→24 Jul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TACTICAL — intervention not proven</w:t>
            </w:r>
          </w:p>
        </w:tc>
      </w:tr>
    </w:tbl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r>
        <w:rPr>
          <w:rFonts w:ascii="Calibri" w:hAnsi="Calibri" w:eastAsia="Calibri"/>
          <w:color w:val="66707C"/>
          <w:sz w:val="16"/>
        </w:rPr>
        <w:t>Nomura, 31 Jul 2026</w:t>
      </w:r>
      <w:r>
        <w:rPr>
          <w:rFonts w:ascii="Calibri" w:hAnsi="Calibri" w:eastAsia="Calibri"/>
          <w:color w:val="66707C"/>
          <w:sz w:val="16"/>
        </w:rPr>
        <w:t xml:space="preserve">; </w:t>
      </w:r>
      <w:hyperlink r:id="rId13">
        <w:r>
          <w:rPr>
            <w:color w:val="66707C"/>
            <w:u w:val="single"/>
          </w:rPr>
          <w:t>BoT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11">
        <w:r>
          <w:rPr>
            <w:color w:val="66707C"/>
            <w:u w:val="single"/>
          </w:rPr>
          <w:t>Krungsri/MUFG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14">
        <w:r>
          <w:rPr>
            <w:color w:val="66707C"/>
            <w:u w:val="single"/>
          </w:rPr>
          <w:t>Federal Reserve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  <w:top w:val="single" w:sz="4" w:space="0" w:color="EAF5FB"/>
          <w:left w:val="single" w:sz="4" w:space="0" w:color="EAF5FB"/>
          <w:bottom w:val="single" w:sz="4" w:space="0" w:color="EAF5FB"/>
          <w:right w:val="single" w:sz="4" w:space="0" w:color="EAF5FB"/>
          <w:insideH w:val="single" w:sz="4" w:space="0" w:color="EAF5FB"/>
          <w:insideV w:val="single" w:sz="4" w:space="0" w:color="EAF5F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 xml:space="preserve">INDEPENDENT ADJUSTMENT TO NOMURA  </w:t>
            </w:r>
            <w:r>
              <w:rPr>
                <w:rFonts w:ascii="Calibri" w:hAnsi="Calibri" w:eastAsia="Calibri"/>
                <w:color w:val="111111"/>
                <w:sz w:val="21"/>
              </w:rPr>
              <w:t>Do not label the July FOMC simply 'dovish'. The Fed held, but three members dissented for a hike and the market still prices material September tightening risk. The bullish-THB angle is that the USD bar is high and data misses can unwind pricing faster than modest beats can extend it.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2. External balance: the trade is a Q2→Q3 flow inflection</w:t>
      </w:r>
    </w:p>
    <w:p>
      <w:r>
        <w:rPr>
          <w:rFonts w:ascii="Calibri" w:hAnsi="Calibri" w:eastAsia="Calibri"/>
          <w:b w:val="0"/>
          <w:i w:val="0"/>
        </w:rPr>
        <w:t>The Q2 deficit was unusually large and mechanically ugly: April–June current account balances were -$7.79bn, -$6.43bn and -$3.47bn. But the monthly direction is improving, and the composition supports a tactical reversal. BoT says the Middle East shock lifted energy imports and inventory accumulation; May also carried seasonal profit repatriation and tourism low-season effects.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9680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current_accoun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968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b/>
          <w:color w:val="203748"/>
          <w:sz w:val="18"/>
        </w:rPr>
        <w:t>Figure 1. Current-account damage peaked in Q2; Nomura expects a swing back to surplus in Q3.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13">
        <w:r>
          <w:rPr>
            <w:color w:val="66707C"/>
            <w:u w:val="single"/>
          </w:rPr>
          <w:t>BoT monthly BOP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r>
        <w:rPr>
          <w:rFonts w:ascii="Calibri" w:hAnsi="Calibri" w:eastAsia="Calibri"/>
          <w:color w:val="66707C"/>
          <w:sz w:val="16"/>
        </w:rPr>
        <w:t>Nomura Q3 forecast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Q2 actual: -$17.70bn, matching Nomura's cited -$17.7bn base. June improved by ~$3.0bn versus May.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BoT's Q2 MPR says the current account should improve as oil falls and tourism normalizes, but its longer-term language is more cautious than Nomura's near-term Q3 forecast.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The full-year story is not a return to old-style surpluses: Thailand's Fiscal Policy Office forecast for 2026 is about -$0.5bn, so the trade depends on timing, not structural exuberance.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3. Tourism: a June trough, not yet a full recovery</w:t>
      </w:r>
    </w:p>
    <w:p>
      <w:r>
        <w:rPr>
          <w:rFonts w:ascii="Calibri" w:hAnsi="Calibri" w:eastAsia="Calibri"/>
          <w:b w:val="0"/>
          <w:i w:val="0"/>
        </w:rPr>
        <w:t>Tourism is the cleanest high-frequency confirmation of the seasonal thesis. Official monthly arrivals fell from 3.28m in January to 1.84m in June. Nomura cites 584k arrivals in the week ended 25 July; annualizing that week to a monthly run-rate gives ~2.54m, roughly 38% above June's realized monthly pace.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824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touris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82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b/>
          <w:color w:val="203748"/>
          <w:sz w:val="18"/>
        </w:rPr>
        <w:t>Figure 2. Late-July weekly arrivals point to a better run-rate than June.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17">
        <w:r>
          <w:rPr>
            <w:color w:val="66707C"/>
            <w:u w:val="single"/>
          </w:rPr>
          <w:t>BoT tourism indicators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r>
        <w:rPr>
          <w:rFonts w:ascii="Calibri" w:hAnsi="Calibri" w:eastAsia="Calibri"/>
          <w:color w:val="66707C"/>
          <w:sz w:val="16"/>
        </w:rPr>
        <w:t>Nomura / Ministry of Tourism weekly data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BoT independently expects Q3 arrivals to improve QoQ, even while contracting slightly YoY because travel costs remain high.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Quality can matter more than headcount: BoT projects 2026 spending per trip at THB45.8k versus THB41.7k in 2025, lifting tourism receipts to ~THB1.5trn despite flat 33m arrivals.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Risk: new visa rules, Middle East travel disruption and short-haul weakness can delay the improvement; a few strong weeks should not be mistaken for a structural tourism boom.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18">
        <w:r>
          <w:rPr>
            <w:color w:val="66707C"/>
            <w:u w:val="single"/>
          </w:rPr>
          <w:t>BoT Monetary Policy Report Q2 2026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4. Portfolio flows: the equity channel flipped decisively</w:t>
      </w:r>
    </w:p>
    <w:p>
      <w:r>
        <w:rPr>
          <w:rFonts w:ascii="Calibri" w:hAnsi="Calibri" w:eastAsia="Calibri"/>
          <w:b w:val="0"/>
          <w:i w:val="0"/>
        </w:rPr>
        <w:t>The July move is not a broad fixed-income carry story. It is primarily an equity-flow reversal. Krungsri/MUFG reports +THB48.8bn net foreign buying of SET shares in July against -THB11.0bn net selling of Thai government bonds. Through seven months, equities and bonds were both positive, but the July impulse came from equities.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6090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portfolio_flow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09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b/>
          <w:color w:val="203748"/>
          <w:sz w:val="18"/>
        </w:rPr>
        <w:t>Figure 3. Equity inflows reversed a weak 2025; July drove the latest impulse.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11">
        <w:r>
          <w:rPr>
            <w:color w:val="66707C"/>
            <w:u w:val="single"/>
          </w:rPr>
          <w:t>Krungsri/MUFG THB Thermometer</w:t>
        </w:r>
      </w:hyperlink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This corroborates Nomura's end-July estimate (+$1.3bn equities, -$0.5bn bonds) while using the subsequently published full-month Krungsri figures.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The composition is useful for THB spot, but fragile: an equity risk-off move or renewed energy shock could reverse it quickly.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Medium-term FDI is constructive but slow-moving. Krungsri cites $43bn of H1 investment applications (+37% YoY); applications are not immediate FX inflows, so they are a background support, not a trade trigger.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5. BoT and reserves: a tactical floor, not a structural tailwind</w:t>
      </w:r>
    </w:p>
    <w:p>
      <w:r>
        <w:rPr>
          <w:rFonts w:ascii="Calibri" w:hAnsi="Calibri" w:eastAsia="Calibri"/>
          <w:b w:val="0"/>
          <w:i w:val="0"/>
        </w:rPr>
        <w:t>Nomura estimates BoT sold about $3.3bn of FX reserves (spot + forwards) in the week ended 24 July while USD/THB was almost flat. Official weekly data show foreign-currency reserves fell by $3.69bn from 17 to 24 July. That coincidence is consistent with smoothing, but raw reserve changes include valuation and other balance-sheet effects and therefore cannot prove intervention by themselves.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641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reserve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64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b/>
          <w:color w:val="203748"/>
          <w:sz w:val="18"/>
        </w:rPr>
        <w:t>Figure 4. Reserve draw accelerated as USD/THB weakened the baht into 24 July.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21">
        <w:r>
          <w:rPr>
            <w:color w:val="66707C"/>
            <w:u w:val="single"/>
          </w:rPr>
          <w:t>BoT weekly reserves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r>
        <w:rPr>
          <w:rFonts w:ascii="Calibri" w:hAnsi="Calibri" w:eastAsia="Calibri"/>
          <w:color w:val="66707C"/>
          <w:sz w:val="16"/>
        </w:rPr>
        <w:t>Nomura intervention estimate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  <w:top w:val="single" w:sz="4" w:space="0" w:color="EAF5FB"/>
          <w:left w:val="single" w:sz="4" w:space="0" w:color="EAF5FB"/>
          <w:bottom w:val="single" w:sz="4" w:space="0" w:color="EAF5FB"/>
          <w:right w:val="single" w:sz="4" w:space="0" w:color="EAF5FB"/>
          <w:insideH w:val="single" w:sz="4" w:space="0" w:color="EAF5FB"/>
          <w:insideV w:val="single" w:sz="4" w:space="0" w:color="EAF5F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 xml:space="preserve">IMPORTANT COUNTER-EVIDENCE  </w:t>
            </w:r>
            <w:r>
              <w:rPr>
                <w:rFonts w:ascii="Calibri" w:hAnsi="Calibri" w:eastAsia="Calibri"/>
                <w:color w:val="111111"/>
                <w:sz w:val="21"/>
              </w:rPr>
              <w:t>U.S. Treasury reports that BoT bought about $10bn of FX in 2025 to smooth baht appreciation. That history means BoT is not structurally 'long THB'. Recent support, if present, should be treated as volatility management, not a one-way policy put.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b w:val="0"/>
          <w:i w:val="0"/>
        </w:rPr>
        <w:t>The same Treasury report notes BoT restrictions on onshore THB NDFs with nonresidents. Execution route therefore depends on eligibility and underlying exposure; this research uses spot levels for risk/reward and does not assume a particular onshore NDF channel.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22">
        <w:r>
          <w:rPr>
            <w:color w:val="66707C"/>
            <w:u w:val="single"/>
          </w:rPr>
          <w:t>U.S. Treasury July 2026 FX Report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6. USD/Fed: the asymmetry is in repricing, not in a dovish Fed</w:t>
      </w:r>
    </w:p>
    <w:p>
      <w:r>
        <w:rPr>
          <w:rFonts w:ascii="Calibri" w:hAnsi="Calibri" w:eastAsia="Calibri"/>
          <w:b w:val="0"/>
          <w:i w:val="0"/>
        </w:rPr>
        <w:t>The Fed held the funds target at 3.50–3.75% on 29 July by a 9–3 vote; the three dissents preferred a 25bp hike. That is not dovish in the conventional sense. But the market's hurdle for extending USD strength is high: on 6 August DXY was about 99.75, off a six-week low, while September hike odds were around the mid-50s and below the prior week's levels.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26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usd_beta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26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b/>
          <w:color w:val="203748"/>
          <w:sz w:val="18"/>
        </w:rPr>
        <w:t>Figure 5. USD/THB amplified the post-FOMC dollar move, consistent with the pair's high broad-USD beta.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24">
        <w:r>
          <w:rPr>
            <w:color w:val="66707C"/>
            <w:u w:val="single"/>
          </w:rPr>
          <w:t>BoT FX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25">
        <w:r>
          <w:rPr>
            <w:color w:val="66707C"/>
            <w:u w:val="single"/>
          </w:rPr>
          <w:t>DXY history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12">
        <w:r>
          <w:rPr>
            <w:color w:val="66707C"/>
            <w:u w:val="single"/>
          </w:rPr>
          <w:t>6 Aug spot</w:t>
        </w:r>
      </w:hyperlink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Near-term asymmetry: July NFP is due 7 Aug; Reuters consensus is ~80k with unemployment 4.2%. A large miss can cut hike pricing quickly; a modest beat may be less powerful if tightening is already priced.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July CPI is due 12 Aug. Nomura's 31 Jul report expected core CPI near +0.22% MoM; an upside inflation surprise is the cleanest macro invalidation for the broad-USD leg.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Jackson Hole (27–29 Aug) and the 15–16 Sep FOMC keep rate-volatility high all the way to the target horizon.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14">
        <w:r>
          <w:rPr>
            <w:color w:val="66707C"/>
            <w:u w:val="single"/>
          </w:rPr>
          <w:t>Federal Reserve statement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26">
        <w:r>
          <w:rPr>
            <w:color w:val="66707C"/>
            <w:u w:val="single"/>
          </w:rPr>
          <w:t>CME FedWatch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27">
        <w:r>
          <w:rPr>
            <w:color w:val="66707C"/>
            <w:u w:val="single"/>
          </w:rPr>
          <w:t>Reuters FX, 6 Aug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7. Oil and gold: terms-of-trade help, but gold is a secondary channel</w:t>
      </w:r>
    </w:p>
    <w:p>
      <w:r>
        <w:rPr>
          <w:rFonts w:ascii="Calibri" w:hAnsi="Calibri" w:eastAsia="Calibri"/>
          <w:b w:val="0"/>
          <w:i w:val="0"/>
        </w:rPr>
        <w:t>Thailand's 2026 external shock was energy-heavy. BoT explicitly attributes part of the current-account deficit to higher energy import values and expects improvement as crude prices decline. Reuters had Brent near $80.20 on 6 August, well below the &gt;$100 levels that triggered market stress in late July. This is a direct positive for Thailand's import bill and a cleaner THB catalyst than local growth.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</w:tblBorders>
      </w:tblPr>
      <w:tblGrid>
        <w:gridCol w:w="1600"/>
        <w:gridCol w:w="3900"/>
        <w:gridCol w:w="3860"/>
      </w:tblGrid>
      <w:tr>
        <w:trPr>
          <w:tblHeader w:val="true"/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Channel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Current evidence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8"/>
              </w:rPr>
              <w:t>Implication for THB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Oil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Brent ~$80 vs &gt;$100 late Jul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Positive: lowers import bill / inflation risk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Gold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Spot gold ~$4,262, near 7-week high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Mild positive: BoT has linked THB to gold flows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Gold controls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BoT tightened baht digital-gold measures in Jan 2026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Dampens the historical gold→THB transmission</w:t>
            </w:r>
          </w:p>
        </w:tc>
      </w:tr>
      <w:tr>
        <w:trPr>
          <w:cantSplit/>
        </w:trPr>
        <w:tc>
          <w:tcPr>
            <w:tcW w:type="dxa" w:w="16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Geopolitics</w:t>
            </w:r>
          </w:p>
        </w:tc>
        <w:tc>
          <w:tcPr>
            <w:tcW w:type="dxa" w:w="39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Iran/Oman/Strait headlines remain fluid</w:t>
            </w:r>
          </w:p>
        </w:tc>
        <w:tc>
          <w:tcPr>
            <w:tcW w:type="dxa" w:w="38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8"/>
              </w:rPr>
              <w:t>Binary tail: reversal in oil can hit THB fast</w:t>
            </w:r>
          </w:p>
        </w:tc>
      </w:tr>
    </w:tbl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18">
        <w:r>
          <w:rPr>
            <w:color w:val="66707C"/>
            <w:u w:val="single"/>
          </w:rPr>
          <w:t>BoT MPR Q2 2026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28">
        <w:r>
          <w:rPr>
            <w:color w:val="66707C"/>
            <w:u w:val="single"/>
          </w:rPr>
          <w:t>Reuters gold/oil, 6 Aug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22">
        <w:r>
          <w:rPr>
            <w:color w:val="66707C"/>
            <w:u w:val="single"/>
          </w:rPr>
          <w:t>U.S. Treasury FX Report</w:t>
        </w:r>
      </w:hyperlink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  <w:top w:val="single" w:sz="4" w:space="0" w:color="EAF5FB"/>
          <w:left w:val="single" w:sz="4" w:space="0" w:color="EAF5FB"/>
          <w:bottom w:val="single" w:sz="4" w:space="0" w:color="EAF5FB"/>
          <w:right w:val="single" w:sz="4" w:space="0" w:color="EAF5FB"/>
          <w:insideH w:val="single" w:sz="4" w:space="0" w:color="EAF5FB"/>
          <w:insideV w:val="single" w:sz="4" w:space="0" w:color="EAF5FB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5FB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 xml:space="preserve">READ-THROUGH  </w:t>
            </w:r>
            <w:r>
              <w:rPr>
                <w:rFonts w:ascii="Calibri" w:hAnsi="Calibri" w:eastAsia="Calibri"/>
                <w:color w:val="111111"/>
                <w:sz w:val="21"/>
              </w:rPr>
              <w:t>The best version of the trade is 'oil normalizes + tourism recovers + USD data misses'. The worst version is the mirror image: oil re-spikes, U.S. inflation stays hot, and Thailand's external deficit persists.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8. Carry and implementation: the cost is real</w:t>
      </w:r>
    </w:p>
    <w:p>
      <w:r>
        <w:rPr>
          <w:rFonts w:ascii="Calibri" w:hAnsi="Calibri" w:eastAsia="Calibri"/>
          <w:b w:val="0"/>
          <w:i w:val="0"/>
        </w:rPr>
        <w:t>The short USD/THB view fights a large yield differential. Krungsri's end-July data put 6m SOFR at 3.878% and 6m THOR at 1.032%, a -2.846 percentage-point gap from the THB holder's perspective. The differential widened by ~69bp since January.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2006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carry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20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b/>
          <w:color w:val="203748"/>
          <w:sz w:val="18"/>
        </w:rPr>
        <w:t>Figure 6. Negative carry widened through July even as the tactical THB case improved.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11">
        <w:r>
          <w:rPr>
            <w:color w:val="66707C"/>
            <w:u w:val="single"/>
          </w:rPr>
          <w:t>Krungsri/MUFG</w:t>
        </w:r>
      </w:hyperlink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From 6 Aug to 30 Sep (~55 days), simple accrual at a 2.846pp gap is roughly 43bp of carry drag. Actual deliverable forward points and basis can differ.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At preferred 33.225 midpoint entry, spot return to 32.00 is ~3.69%; simple carry-adjusted target return is ~3.26% if held to end-Sep. At current ~33.06, spot upside falls to ~3.2%.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Expression: use a deliverable forward where eligible, or the desk's compliant offshore instrument. Do not assume onshore THB NDF availability for nonresidents; confirm local rules, settlement, fixing and liquidity.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9. Valuation and target: 32.0 is aggressive, not heroic</w:t>
      </w:r>
    </w:p>
    <w:p>
      <w:r>
        <w:rPr>
          <w:rFonts w:ascii="Calibri" w:hAnsi="Calibri" w:eastAsia="Calibri"/>
          <w:b w:val="0"/>
          <w:i w:val="0"/>
        </w:rPr>
        <w:t>The target looks less extreme when separated from spot momentum. U.S. Treasury's July 2026 FX report says the baht's 2025 REER remained around its 10-year average and cites the IMF's 2025 assessment that the baht was about 2.8% undervalued on a real effective basis. That does not imply a mechanical 2.8% spot move, but it argues against the view that further appreciation is obviously valuation-constrained.</w:t>
      </w:r>
    </w:p>
    <w:p>
      <w:pPr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806440" cy="224102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forecast_ladd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241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hAnsi="Calibri" w:eastAsia="Calibri"/>
          <w:b/>
          <w:color w:val="203748"/>
          <w:sz w:val="18"/>
        </w:rPr>
        <w:t>Figure 7. Nomura's 32 target sits below near-term ranges but close to Q4/Q1 published levels.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r>
        <w:rPr>
          <w:rFonts w:ascii="Calibri" w:hAnsi="Calibri" w:eastAsia="Calibri"/>
          <w:color w:val="66707C"/>
          <w:sz w:val="16"/>
        </w:rPr>
        <w:t>Nomura forecasts / target</w:t>
      </w:r>
      <w:r>
        <w:rPr>
          <w:rFonts w:ascii="Calibri" w:hAnsi="Calibri" w:eastAsia="Calibri"/>
          <w:color w:val="66707C"/>
          <w:sz w:val="16"/>
        </w:rPr>
        <w:t xml:space="preserve">; </w:t>
      </w:r>
      <w:hyperlink r:id="rId11">
        <w:r>
          <w:rPr>
            <w:color w:val="66707C"/>
            <w:u w:val="single"/>
          </w:rPr>
          <w:t>Krungsri/MUFG ranges</w:t>
        </w:r>
      </w:hyperlink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Nomura: Q3 32.9, Q4 32.3; explicit trade target 32.0 by end-Sep.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Krungsri: Q3 32.75–34.25; Q4 32.25–33.75; Q1 2027 32.00–33.50. A 32 print is therefore an aggressive early arrival at levels other forecasters see as plausible by Q1.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Because spot already strengthened from 33.4 at end-July to ~33.06, expected payoff is more sensitive to entry quality than it was when Nomura initiated the trade.</w:t>
      </w:r>
    </w:p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22">
        <w:r>
          <w:rPr>
            <w:color w:val="66707C"/>
            <w:u w:val="single"/>
          </w:rPr>
          <w:t>U.S. Treasury July 2026 FX Report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10. Scenario map and catalyst calendar</w:t>
      </w:r>
    </w:p>
    <w:p>
      <w:r>
        <w:rPr>
          <w:rFonts w:ascii="Calibri" w:hAnsi="Calibri" w:eastAsia="Calibri"/>
          <w:b w:val="0"/>
          <w:i w:val="0"/>
        </w:rPr>
        <w:t>Scenarios are condition-based, not probability forecasts. The trade should be re-underwritten when the state variables move, not only when a price stop is hit.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</w:tblBorders>
      </w:tblPr>
      <w:tblGrid>
        <w:gridCol w:w="1500"/>
        <w:gridCol w:w="1650"/>
        <w:gridCol w:w="4300"/>
        <w:gridCol w:w="19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State</w:t>
            </w:r>
          </w:p>
        </w:tc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USD/THB zone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What gets us there</w:t>
            </w:r>
          </w:p>
        </w:tc>
        <w:tc>
          <w:tcPr>
            <w:tcW w:type="dxa" w:w="1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Action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Bull THB</w:t>
            </w:r>
          </w:p>
        </w:tc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31.6–32.0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Oil &lt;~$75; soft U.S. labor/CPI; Thai CA flips positive; equity inflows persist</w:t>
            </w:r>
          </w:p>
        </w:tc>
        <w:tc>
          <w:tcPr>
            <w:tcW w:type="dxa" w:w="191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Take profit into 32.0 / trail residual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Base</w:t>
            </w:r>
          </w:p>
        </w:tc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32.0–32.5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Q3 external balance improves; Fed pricing cools; tourism normalizes</w:t>
            </w:r>
          </w:p>
        </w:tc>
        <w:tc>
          <w:tcPr>
            <w:tcW w:type="dxa" w:w="191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Hold tactical short USD; respect horizon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Bear / invalidation</w:t>
            </w:r>
          </w:p>
        </w:tc>
        <w:tc>
          <w:tcPr>
            <w:tcW w:type="dxa" w:w="165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33.9–34.3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Oil &gt;~$95; hot CPI/NFP; Sep Fed hike reprices higher; CA/outflows deteriorate</w:t>
            </w:r>
          </w:p>
        </w:tc>
        <w:tc>
          <w:tcPr>
            <w:tcW w:type="dxa" w:w="191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Exit at 33.90; rebuild only after catalyst reset</w:t>
            </w:r>
          </w:p>
        </w:tc>
      </w:tr>
    </w:tbl>
    <w:p>
      <w:pPr>
        <w:spacing w:after="80"/>
      </w:pPr>
      <w:r>
        <w:rPr>
          <w:rFonts w:ascii="Calibri" w:hAnsi="Calibri" w:eastAsia="Calibri"/>
          <w:b/>
          <w:i w:val="0"/>
          <w:color w:val="203748"/>
          <w:sz w:val="23"/>
        </w:rPr>
        <w:t>Catalyst calendar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</w:tblBorders>
      </w:tblPr>
      <w:tblGrid>
        <w:gridCol w:w="1500"/>
        <w:gridCol w:w="2820"/>
        <w:gridCol w:w="504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Date</w:t>
            </w:r>
          </w:p>
        </w:tc>
        <w:tc>
          <w:tcPr>
            <w:tcW w:type="dxa" w:w="28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Catalyst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Trade lens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7 Aug</w:t>
            </w:r>
          </w:p>
        </w:tc>
        <w:tc>
          <w:tcPr>
            <w:tcW w:type="dxa" w:w="28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U.S. July NFP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Big miss = strongest near-term USD downside catalyst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12 Aug</w:t>
            </w:r>
          </w:p>
        </w:tc>
        <w:tc>
          <w:tcPr>
            <w:tcW w:type="dxa" w:w="28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U.S. July CPI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Upside core inflation is the cleanest USD/THB bear risk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26 Aug</w:t>
            </w:r>
          </w:p>
        </w:tc>
        <w:tc>
          <w:tcPr>
            <w:tcW w:type="dxa" w:w="28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BoT MPC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Rate hold expected; focus on FX / energy language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27–29 Aug</w:t>
            </w:r>
          </w:p>
        </w:tc>
        <w:tc>
          <w:tcPr>
            <w:tcW w:type="dxa" w:w="28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Jackson Hole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Warsh reaction function / credibility / forward guidance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4 Sep</w:t>
            </w:r>
          </w:p>
        </w:tc>
        <w:tc>
          <w:tcPr>
            <w:tcW w:type="dxa" w:w="28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U.S. Aug NFP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Second labor print before FOMC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11 Sep</w:t>
            </w:r>
          </w:p>
        </w:tc>
        <w:tc>
          <w:tcPr>
            <w:tcW w:type="dxa" w:w="28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U.S. Aug CPI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Final major inflation print before FOMC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15–16 Sep</w:t>
            </w:r>
          </w:p>
        </w:tc>
        <w:tc>
          <w:tcPr>
            <w:tcW w:type="dxa" w:w="28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FOMC + SEP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Core binary event for the target horizon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Weekly / month-end</w:t>
            </w:r>
          </w:p>
        </w:tc>
        <w:tc>
          <w:tcPr>
            <w:tcW w:type="dxa" w:w="28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Thai tourism + BoP</w:t>
            </w:r>
          </w:p>
        </w:tc>
        <w:tc>
          <w:tcPr>
            <w:tcW w:type="dxa" w:w="50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Confirm Q3 current-account/tourism thesis</w:t>
            </w:r>
          </w:p>
        </w:tc>
      </w:tr>
    </w:tbl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31">
        <w:r>
          <w:rPr>
            <w:color w:val="66707C"/>
            <w:u w:val="single"/>
          </w:rPr>
          <w:t>BLS jobs calendar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32">
        <w:r>
          <w:rPr>
            <w:color w:val="66707C"/>
            <w:u w:val="single"/>
          </w:rPr>
          <w:t>BLS CPI calendar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33">
        <w:r>
          <w:rPr>
            <w:color w:val="66707C"/>
            <w:u w:val="single"/>
          </w:rPr>
          <w:t>BoT MPC calendar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34">
        <w:r>
          <w:rPr>
            <w:color w:val="66707C"/>
            <w:u w:val="single"/>
          </w:rPr>
          <w:t>Kansas City Fed</w:t>
        </w:r>
      </w:hyperlink>
      <w:r>
        <w:rPr>
          <w:rFonts w:ascii="Calibri" w:hAnsi="Calibri" w:eastAsia="Calibri"/>
          <w:color w:val="66707C"/>
          <w:sz w:val="16"/>
        </w:rPr>
        <w:t xml:space="preserve">; </w:t>
      </w:r>
      <w:hyperlink r:id="rId35">
        <w:r>
          <w:rPr>
            <w:color w:val="66707C"/>
            <w:u w:val="single"/>
          </w:rPr>
          <w:t>Fed calendar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11. Risk register and invalidation discipline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</w:tblBorders>
      </w:tblPr>
      <w:tblGrid>
        <w:gridCol w:w="1500"/>
        <w:gridCol w:w="3150"/>
        <w:gridCol w:w="2700"/>
        <w:gridCol w:w="201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Risk</w:t>
            </w:r>
          </w:p>
        </w:tc>
        <w:tc>
          <w:tcPr>
            <w:tcW w:type="dxa" w:w="3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Why it matters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Observable trigger</w:t>
            </w:r>
          </w:p>
        </w:tc>
        <w:tc>
          <w:tcPr>
            <w:tcW w:type="dxa" w:w="20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Response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Oil re-spike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Thailand is a net energy importer; Q2 CA shock was energy-led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Brent &gt;~$95 and rising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Cut risk before 33.90 if CA/oil correlation reappears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Fed hawkish repricing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Negative carry widens and DXY can re-accelerate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Sep hike odds &gt;~75% after CPI/NFP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Reduce; reassess broad-USD leg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Tourism stalls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Weakens services receipts and Q3 seasonality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Weekly arrivals slip back toward June pace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Lower conviction; wait for BoP confirmation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Portfolio reversal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July equity inflow is fragile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SET foreign selling resumes for multiple weeks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Tighten stop / size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BoT leans against THB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2025 intervention resisted appreciation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Official rhetoric/intervention slows gains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Do not fight policy around 32 handle</w:t>
            </w:r>
          </w:p>
        </w:tc>
      </w:tr>
      <w:tr>
        <w:trPr>
          <w:cantSplit/>
        </w:trPr>
        <w:tc>
          <w:tcPr>
            <w:tcW w:type="dxa" w:w="15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Entry chase</w:t>
            </w:r>
          </w:p>
        </w:tc>
        <w:tc>
          <w:tcPr>
            <w:tcW w:type="dxa" w:w="315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Spot already moved ~1% from end-Jul</w:t>
            </w:r>
          </w:p>
        </w:tc>
        <w:tc>
          <w:tcPr>
            <w:tcW w:type="dxa" w:w="27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USD/THB &lt;33.05 before entry</w:t>
            </w:r>
          </w:p>
        </w:tc>
        <w:tc>
          <w:tcPr>
            <w:tcW w:type="dxa" w:w="201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Wait for rebound; no forced entry</w:t>
            </w:r>
          </w:p>
        </w:tc>
      </w:tr>
    </w:tbl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  <w:top w:val="single" w:sz="4" w:space="0" w:color="F8EEEE"/>
          <w:left w:val="single" w:sz="4" w:space="0" w:color="F8EEEE"/>
          <w:bottom w:val="single" w:sz="4" w:space="0" w:color="F8EEEE"/>
          <w:right w:val="single" w:sz="4" w:space="0" w:color="F8EEEE"/>
          <w:insideH w:val="single" w:sz="4" w:space="0" w:color="F8EEEE"/>
          <w:insideV w:val="single" w:sz="4" w:space="0" w:color="F8EEEE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8EEEE"/>
          </w:tcPr>
          <w:p>
            <w:pPr>
              <w:spacing w:after="40"/>
            </w:pPr>
            <w:r>
              <w:rPr>
                <w:rFonts w:ascii="Calibri" w:hAnsi="Calibri" w:eastAsia="Calibri"/>
                <w:b/>
                <w:color w:val="2E74B5"/>
                <w:sz w:val="19"/>
              </w:rPr>
              <w:t xml:space="preserve">HARD INVALIDATION  </w:t>
            </w:r>
            <w:r>
              <w:rPr>
                <w:rFonts w:ascii="Calibri" w:hAnsi="Calibri" w:eastAsia="Calibri"/>
                <w:color w:val="111111"/>
                <w:sz w:val="21"/>
              </w:rPr>
              <w:t>33.90 remains the clean price stop. The macro thesis should be cut earlier if two of the three core state variables break simultaneously: (1) oil re-spikes, (2) U.S. hike pricing accelerates, (3) Thai current-account/tourism data fail to improve.</w:t>
            </w:r>
          </w:p>
        </w:tc>
      </w:tr>
    </w:tbl>
    <w:p>
      <w:pPr>
        <w:spacing w:after="20"/>
      </w:pPr>
    </w:p>
    <w:p>
      <w:r>
        <w:rPr>
          <w:rFonts w:ascii="Calibri" w:hAnsi="Calibri" w:eastAsia="Calibri"/>
          <w:b w:val="0"/>
          <w:i w:val="0"/>
        </w:rPr>
        <w:t>The biggest analytical mistake would be to convert a tactical seasonality trade into a structural 'Thailand is strong' view. Growth remains modest, carry remains negative, and BoT has historically resisted rapid baht appreciation.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Appendix A. Data used in the charts</w:t>
      </w:r>
    </w:p>
    <w:p>
      <w:pPr>
        <w:pStyle w:val="Heading2"/>
        <w:keepNext/>
      </w:pPr>
      <w:r>
        <w:rPr>
          <w:rFonts w:ascii="Calibri" w:hAnsi="Calibri" w:eastAsia="Calibri"/>
          <w:b/>
        </w:rPr>
        <w:t>A1. Monthly current account (USD mn)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</w:tblBorders>
      </w:tblPr>
      <w:tblGrid>
        <w:gridCol w:w="1200"/>
        <w:gridCol w:w="1560"/>
        <w:gridCol w:w="1560"/>
        <w:gridCol w:w="1560"/>
        <w:gridCol w:w="1740"/>
        <w:gridCol w:w="174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Month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Exports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Imports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Trade bal.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Services/income</w:t>
            </w:r>
          </w:p>
        </w:tc>
        <w:tc>
          <w:tcPr>
            <w:tcW w:type="dxa" w:w="17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6"/>
              </w:rPr>
              <w:t>Current acct.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Jan-26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31,049.86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31,791.02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-741.17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1,289.96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548.79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Feb-26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29,328.20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28,743.93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584.27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1,081.39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1,665.65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Mar-26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34,717.73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34,863.91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-146.18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-651.35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-797.53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Apr-26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30,888.91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37,658.19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-6,769.28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-1,020.66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-7,789.95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May-26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33,751.41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36,383.71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-2,632.30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-3,799.26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-6,431.56</w:t>
            </w:r>
          </w:p>
        </w:tc>
      </w:tr>
      <w:tr>
        <w:trPr>
          <w:cantSplit/>
        </w:trPr>
        <w:tc>
          <w:tcPr>
            <w:tcW w:type="dxa" w:w="12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Jun-26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34,438.94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37,112.74</w:t>
            </w:r>
          </w:p>
        </w:tc>
        <w:tc>
          <w:tcPr>
            <w:tcW w:type="dxa" w:w="156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-2,673.80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-800.05</w:t>
            </w:r>
          </w:p>
        </w:tc>
        <w:tc>
          <w:tcPr>
            <w:tcW w:type="dxa" w:w="174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6"/>
              </w:rPr>
              <w:t>-3,473.85</w:t>
            </w:r>
          </w:p>
        </w:tc>
      </w:tr>
    </w:tbl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13">
        <w:r>
          <w:rPr>
            <w:color w:val="66707C"/>
            <w:u w:val="single"/>
          </w:rPr>
          <w:t>BoT EC_XT_047_S3</w:t>
        </w:r>
      </w:hyperlink>
    </w:p>
    <w:p>
      <w:pPr>
        <w:pStyle w:val="Heading2"/>
        <w:keepNext/>
      </w:pPr>
      <w:r>
        <w:rPr>
          <w:rFonts w:ascii="Calibri" w:hAnsi="Calibri" w:eastAsia="Calibri"/>
          <w:b/>
        </w:rPr>
        <w:t>A2. Weekly reserves / USDTHB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</w:tblBorders>
      </w:tblPr>
      <w:tblGrid>
        <w:gridCol w:w="1400"/>
        <w:gridCol w:w="2020"/>
        <w:gridCol w:w="2080"/>
        <w:gridCol w:w="1770"/>
        <w:gridCol w:w="2090"/>
      </w:tblGrid>
      <w:tr>
        <w:trPr>
          <w:tblHeader w:val="true"/>
          <w:cantSplit/>
        </w:trPr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Week</w:t>
            </w:r>
          </w:p>
        </w:tc>
        <w:tc>
          <w:tcPr>
            <w:tcW w:type="dxa" w:w="20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FX reserves $bn</w:t>
            </w:r>
          </w:p>
        </w:tc>
        <w:tc>
          <w:tcPr>
            <w:tcW w:type="dxa" w:w="2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Gross reserves $bn</w:t>
            </w:r>
          </w:p>
        </w:tc>
        <w:tc>
          <w:tcPr>
            <w:tcW w:type="dxa" w:w="17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Net fwd $bn</w:t>
            </w:r>
          </w:p>
        </w:tc>
        <w:tc>
          <w:tcPr>
            <w:tcW w:type="dxa" w:w="209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USD/THB EOP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19 Jun</w:t>
            </w:r>
          </w:p>
        </w:tc>
        <w:tc>
          <w:tcPr>
            <w:tcW w:type="dxa" w:w="20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244.411</w:t>
            </w:r>
          </w:p>
        </w:tc>
        <w:tc>
          <w:tcPr>
            <w:tcW w:type="dxa" w:w="2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282.644</w:t>
            </w:r>
          </w:p>
        </w:tc>
        <w:tc>
          <w:tcPr>
            <w:tcW w:type="dxa" w:w="177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22.800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32.861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26 Jun</w:t>
            </w:r>
          </w:p>
        </w:tc>
        <w:tc>
          <w:tcPr>
            <w:tcW w:type="dxa" w:w="20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241.644</w:t>
            </w:r>
          </w:p>
        </w:tc>
        <w:tc>
          <w:tcPr>
            <w:tcW w:type="dxa" w:w="2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279.304</w:t>
            </w:r>
          </w:p>
        </w:tc>
        <w:tc>
          <w:tcPr>
            <w:tcW w:type="dxa" w:w="177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22.670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33.417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 Jul</w:t>
            </w:r>
          </w:p>
        </w:tc>
        <w:tc>
          <w:tcPr>
            <w:tcW w:type="dxa" w:w="20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242.757</w:t>
            </w:r>
          </w:p>
        </w:tc>
        <w:tc>
          <w:tcPr>
            <w:tcW w:type="dxa" w:w="2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281.088</w:t>
            </w:r>
          </w:p>
        </w:tc>
        <w:tc>
          <w:tcPr>
            <w:tcW w:type="dxa" w:w="177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23.500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33.165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10 Jul</w:t>
            </w:r>
          </w:p>
        </w:tc>
        <w:tc>
          <w:tcPr>
            <w:tcW w:type="dxa" w:w="20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241.438</w:t>
            </w:r>
          </w:p>
        </w:tc>
        <w:tc>
          <w:tcPr>
            <w:tcW w:type="dxa" w:w="2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279.354</w:t>
            </w:r>
          </w:p>
        </w:tc>
        <w:tc>
          <w:tcPr>
            <w:tcW w:type="dxa" w:w="177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24.100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33.318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17 Jul</w:t>
            </w:r>
          </w:p>
        </w:tc>
        <w:tc>
          <w:tcPr>
            <w:tcW w:type="dxa" w:w="20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238.896</w:t>
            </w:r>
          </w:p>
        </w:tc>
        <w:tc>
          <w:tcPr>
            <w:tcW w:type="dxa" w:w="2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276.033</w:t>
            </w:r>
          </w:p>
        </w:tc>
        <w:tc>
          <w:tcPr>
            <w:tcW w:type="dxa" w:w="177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24.580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33.607</w:t>
            </w:r>
          </w:p>
        </w:tc>
      </w:tr>
      <w:tr>
        <w:trPr>
          <w:cantSplit/>
        </w:trPr>
        <w:tc>
          <w:tcPr>
            <w:tcW w:type="dxa" w:w="140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24 Jul</w:t>
            </w:r>
          </w:p>
        </w:tc>
        <w:tc>
          <w:tcPr>
            <w:tcW w:type="dxa" w:w="202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235.202</w:t>
            </w:r>
          </w:p>
        </w:tc>
        <w:tc>
          <w:tcPr>
            <w:tcW w:type="dxa" w:w="208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272.585</w:t>
            </w:r>
          </w:p>
        </w:tc>
        <w:tc>
          <w:tcPr>
            <w:tcW w:type="dxa" w:w="177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24.630</w:t>
            </w:r>
          </w:p>
        </w:tc>
        <w:tc>
          <w:tcPr>
            <w:tcW w:type="dxa" w:w="2090"/>
          </w:tcPr>
          <w:p>
            <w:pPr>
              <w:spacing w:after="0"/>
            </w:pPr>
            <w:r>
              <w:rPr>
                <w:rFonts w:ascii="Calibri" w:hAnsi="Calibri" w:eastAsia="Calibri"/>
                <w:color w:val="111111"/>
                <w:sz w:val="17"/>
              </w:rPr>
              <w:t>33.791</w:t>
            </w:r>
          </w:p>
        </w:tc>
      </w:tr>
    </w:tbl>
    <w:p>
      <w:pPr>
        <w:pStyle w:val="Source"/>
      </w:pPr>
      <w:r>
        <w:rPr>
          <w:rFonts w:ascii="Calibri" w:hAnsi="Calibri" w:eastAsia="Calibri"/>
          <w:b/>
          <w:color w:val="66707C"/>
          <w:sz w:val="16"/>
        </w:rPr>
        <w:t xml:space="preserve">Source: </w:t>
      </w:r>
      <w:hyperlink r:id="rId21">
        <w:r>
          <w:rPr>
            <w:color w:val="66707C"/>
            <w:u w:val="single"/>
          </w:rPr>
          <w:t>BoT EC_XT_031</w:t>
        </w:r>
      </w:hyperlink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Calibri"/>
          <w:b/>
        </w:rPr>
        <w:t>Appendix B. Source register and methodology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5" w:space="0" w:color="D5DADF"/>
          <w:left w:val="single" w:sz="5" w:space="0" w:color="D5DADF"/>
          <w:bottom w:val="single" w:sz="5" w:space="0" w:color="D5DADF"/>
          <w:right w:val="single" w:sz="5" w:space="0" w:color="D5DADF"/>
          <w:insideH w:val="single" w:sz="5" w:space="0" w:color="D5DADF"/>
          <w:insideV w:val="single" w:sz="5" w:space="0" w:color="D5DADF"/>
        </w:tblBorders>
      </w:tblPr>
      <w:tblGrid>
        <w:gridCol w:w="2600"/>
        <w:gridCol w:w="5260"/>
        <w:gridCol w:w="1500"/>
      </w:tblGrid>
      <w:tr>
        <w:trPr>
          <w:tblHeader w:val="true"/>
          <w:cantSplit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Source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Used for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0"/>
            </w:pPr>
            <w:r>
              <w:rPr>
                <w:rFonts w:ascii="Calibri" w:hAnsi="Calibri" w:eastAsia="Calibri"/>
                <w:b/>
                <w:color w:val="203748"/>
                <w:sz w:val="17"/>
              </w:rPr>
              <w:t>Link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Nomura, Key focus and themes, 31 Jul 2026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Anchor trade thesis, target, stop, Q3 CA forecast, weekly tourism / intervention estimate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color w:val="66707C"/>
                <w:sz w:val="16"/>
              </w:rPr>
              <w:t>User-provided PDF</w:t>
            </w:r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Bank of Thailand — monthly BOP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Current account monthly actuals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13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Bank of Thailand — tourism indicators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Monthly foreign arrivals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17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Bank of Thailand — weekly reserves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Weekly reserve stock and USD/THB EOP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21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Bank of Thailand — MPR Q2 2026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External-balance decomposition, tourism and macro outlook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18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Krungsri/MUFG THB Thermometer, Aug 2026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Portfolio flows, rate differentials, FX ranges, FPO forecast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11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U.S. Treasury FX Report, Jul 2026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REER valuation, 2025 intervention, capital-control context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22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Federal Reserve, 29 Jul 2026 FOMC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3.50–3.75% target, 9–3 vote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14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BLS / Fed / Kansas City Fed calendars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NFP, CPI, FOMC and Jackson Hole dates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31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Reuters, 6 Aug 2026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Oil, broad USD and labor-consensus context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27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Reuters Asian FX poll, 6 Aug 2026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Positioning / cheaper-oil regional FX context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36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  <w:tr>
        <w:trPr>
          <w:cantSplit/>
        </w:trPr>
        <w:tc>
          <w:tcPr>
            <w:tcW w:type="dxa" w:w="260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Market spot / DXY</w:t>
            </w:r>
          </w:p>
        </w:tc>
        <w:tc>
          <w:tcPr>
            <w:tcW w:type="dxa" w:w="5260"/>
            <w:vAlign w:val="center"/>
          </w:tcPr>
          <w:p>
            <w:pPr>
              <w:spacing w:after="0"/>
            </w:pPr>
            <w:r>
              <w:rPr>
                <w:rFonts w:ascii="Calibri" w:hAnsi="Calibri" w:eastAsia="Calibri"/>
                <w:sz w:val="16"/>
              </w:rPr>
              <w:t>6 Aug USD/THB and DXY levels</w:t>
            </w:r>
          </w:p>
        </w:tc>
        <w:tc>
          <w:tcPr>
            <w:tcW w:type="dxa" w:w="1500"/>
            <w:vAlign w:val="center"/>
          </w:tcPr>
          <w:p>
            <w:pPr>
              <w:spacing w:after="0"/>
            </w:pPr>
            <w:hyperlink r:id="rId12">
              <w:r>
                <w:rPr>
                  <w:color w:val="2E74B5"/>
                  <w:u w:val="single"/>
                </w:rPr>
                <w:t>Open source</w:t>
              </w:r>
            </w:hyperlink>
          </w:p>
        </w:tc>
      </w:tr>
    </w:tbl>
    <w:p>
      <w:pPr>
        <w:pStyle w:val="Heading2"/>
        <w:keepNext/>
      </w:pPr>
      <w:r>
        <w:rPr>
          <w:rFonts w:ascii="Calibri" w:hAnsi="Calibri" w:eastAsia="Calibri"/>
          <w:b/>
        </w:rPr>
        <w:t>Methodology notes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Spot risk/reward is calculated in THB terms for a short USD/THB position: (entry − exit) / entry. Carry is a simple annualized rate-gap accrual and is shown separately from executable forward points.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Late-July tourism run-rate multiplies one weekly arrival observation by 4.345 weeks/month; it is intentionally labelled as an illustrative run-rate, not a forecast.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Reserve-stock changes are not equated one-for-one with intervention. Nomura's intervention estimate is kept distinct from the official raw reserve series.</w:t>
      </w:r>
    </w:p>
    <w:p>
      <w:pPr>
        <w:pStyle w:val="ResearchBullet"/>
        <w:numPr>
          <w:ilvl w:val="0"/>
          <w:numId w:val="90"/>
        </w:numPr>
      </w:pPr>
      <w:r>
        <w:rPr>
          <w:rFonts w:ascii="Calibri" w:hAnsi="Calibri" w:eastAsia="Calibri"/>
        </w:rPr>
        <w:t>Scenario ranges are analytical judgment bands, not statistical forecasts and carry no assigned probabilities.</w:t>
      </w:r>
    </w:p>
    <w:p>
      <w:pPr>
        <w:spacing w:after="40"/>
      </w:pPr>
      <w:r>
        <w:rPr>
          <w:rFonts w:ascii="Calibri" w:hAnsi="Calibri" w:eastAsia="Calibri"/>
          <w:b/>
          <w:i w:val="0"/>
          <w:color w:val="203748"/>
          <w:sz w:val="21"/>
        </w:rPr>
        <w:t>Disclaimer</w:t>
      </w:r>
    </w:p>
    <w:p>
      <w:r>
        <w:rPr>
          <w:rFonts w:ascii="Calibri" w:hAnsi="Calibri" w:eastAsia="Calibri"/>
          <w:b w:val="0"/>
          <w:i/>
          <w:color w:val="66707C"/>
          <w:sz w:val="17"/>
        </w:rPr>
        <w:t>This document is an independent research synthesis for discussion and educational use. It is not an offer, solicitation, individualized recommendation, or representation that any instrument is available or suitable in a particular jurisdiction. FX trading can involve leverage and loss beyond initial margin; verify executable pricing, liquidity, settlement and regulatory eligibility with the relevant dealer and compliance function.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color w:val="66707C"/>
        <w:sz w:val="16"/>
      </w:rPr>
      <w:t xml:space="preserve">Research note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6192"/>
      <w:gridCol w:w="3168"/>
    </w:tblGrid>
    <w:tr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r>
            <w:rPr>
              <w:rFonts w:ascii="Calibri" w:hAnsi="Calibri" w:eastAsia="Calibri"/>
              <w:b/>
              <w:color w:val="66707C"/>
              <w:sz w:val="17"/>
            </w:rPr>
            <w:t>USD/THB Tactical FX Research</w:t>
          </w:r>
        </w:p>
      </w:tc>
      <w:tc>
        <w:tcPr>
          <w:tcW w:type="dxa" w:w="4680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rPr>
              <w:rFonts w:ascii="Calibri" w:hAnsi="Calibri" w:eastAsia="Calibri"/>
              <w:color w:val="66707C"/>
              <w:sz w:val="17"/>
            </w:rPr>
            <w:t>06 Aug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abstractNum w:abstractNumId="91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Calibri"/>
      <w:color w:val="111111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b/>
      <w:color w:val="20374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560"/>
    </w:pPr>
    <w:rPr>
      <w:rFonts w:asciiTheme="majorHAnsi" w:eastAsiaTheme="majorEastAsia" w:hAnsiTheme="majorHAnsi" w:cstheme="majorBidi" w:ascii="Calibri" w:hAnsi="Calibri" w:eastAsia="Calibri"/>
      <w:i/>
      <w:iCs/>
      <w:color w:val="2E74B5"/>
      <w:spacing w:val="15"/>
      <w:sz w:val="3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line="240" w:lineRule="auto" w:before="80" w:after="40"/>
    </w:pPr>
    <w:rPr>
      <w:rFonts w:ascii="Calibri" w:hAnsi="Calibri" w:eastAsia="Calibri"/>
      <w:b/>
      <w:bCs/>
      <w:color w:val="20374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">
    <w:name w:val="Source"/>
    <w:pPr>
      <w:spacing w:before="80" w:after="80"/>
    </w:pPr>
    <w:rPr>
      <w:rFonts w:ascii="Calibri" w:hAnsi="Calibri" w:eastAsia="Calibri"/>
      <w:color w:val="66707C"/>
      <w:sz w:val="16"/>
    </w:rPr>
  </w:style>
  <w:style w:type="paragraph" w:customStyle="1" w:styleId="ResearchBullet">
    <w:name w:val="Research Bullet"/>
    <w:pPr>
      <w:spacing w:after="160" w:line="280" w:lineRule="auto"/>
      <w:ind w:left="720" w:hanging="360"/>
    </w:pPr>
    <w:rPr>
      <w:rFonts w:ascii="Calibri" w:hAnsi="Calibri" w:eastAsia="Calibri"/>
      <w:color w:val="111111"/>
      <w:sz w:val="22"/>
    </w:rPr>
  </w:style>
  <w:style w:type="paragraph" w:customStyle="1" w:styleId="ResearchNumber">
    <w:name w:val="Research Number"/>
    <w:pPr>
      <w:spacing w:after="160" w:line="280" w:lineRule="auto"/>
      <w:ind w:left="720" w:hanging="360"/>
    </w:pPr>
    <w:rPr>
      <w:rFonts w:ascii="Calibri" w:hAnsi="Calibri" w:eastAsia="Calibri"/>
      <w:color w:val="111111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www.krungsri.com/getmedia/6479baf9-62fb-4e6a-a2ab-e84657eb228c/thb-thermometer-august2026" TargetMode="External"/><Relationship Id="rId12" Type="http://schemas.openxmlformats.org/officeDocument/2006/relationships/hyperlink" Target="https://tradingeconomics.com/thailand/currency" TargetMode="External"/><Relationship Id="rId13" Type="http://schemas.openxmlformats.org/officeDocument/2006/relationships/hyperlink" Target="https://app.bot.or.th/BTWS_STAT/statistics/BOTWEBSTAT.aspx?language=ENG&amp;reportID=1028" TargetMode="External"/><Relationship Id="rId14" Type="http://schemas.openxmlformats.org/officeDocument/2006/relationships/hyperlink" Target="https://www.federalreserve.gov/newsevents/pressreleases/monetary20260729a.htm" TargetMode="Externa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hyperlink" Target="https://app.bot.or.th/BTWS_STAT/statistics/ReportPage.aspx?language=eng&amp;reportID=875" TargetMode="External"/><Relationship Id="rId18" Type="http://schemas.openxmlformats.org/officeDocument/2006/relationships/hyperlink" Target="https://www.bot.or.th/content/dam/bot/documents/en/our-roles/monetary-policy/mpc-publication/monetary-policy-report/MPR_2026_Q2.pdf" TargetMode="External"/><Relationship Id="rId19" Type="http://schemas.openxmlformats.org/officeDocument/2006/relationships/image" Target="media/image3.png"/><Relationship Id="rId20" Type="http://schemas.openxmlformats.org/officeDocument/2006/relationships/image" Target="media/image4.png"/><Relationship Id="rId21" Type="http://schemas.openxmlformats.org/officeDocument/2006/relationships/hyperlink" Target="https://app.bot.or.th/BTWS_STAT/statistics/BOTWEBSTAT.aspx?language=ENG&amp;reportID=94" TargetMode="External"/><Relationship Id="rId22" Type="http://schemas.openxmlformats.org/officeDocument/2006/relationships/hyperlink" Target="https://home.treasury.gov/system/files/206/July-2026-FX-Report.pdf" TargetMode="External"/><Relationship Id="rId23" Type="http://schemas.openxmlformats.org/officeDocument/2006/relationships/image" Target="media/image5.png"/><Relationship Id="rId24" Type="http://schemas.openxmlformats.org/officeDocument/2006/relationships/hyperlink" Target="https://www.bot.or.th/en/statistics/exchange-rate.html" TargetMode="External"/><Relationship Id="rId25" Type="http://schemas.openxmlformats.org/officeDocument/2006/relationships/hyperlink" Target="https://www.investing.com/indices/usdollar-historical-data" TargetMode="External"/><Relationship Id="rId26" Type="http://schemas.openxmlformats.org/officeDocument/2006/relationships/hyperlink" Target="https://www.cmegroup.com/markets/interest-rates/cme-fedwatch-tool.html" TargetMode="External"/><Relationship Id="rId27" Type="http://schemas.openxmlformats.org/officeDocument/2006/relationships/hyperlink" Target="https://www.reuters.com/world/asia-pacific/yen-dollar-drift-iran-deal-concerns-payroll-jitters-2026-08-06/" TargetMode="External"/><Relationship Id="rId28" Type="http://schemas.openxmlformats.org/officeDocument/2006/relationships/hyperlink" Target="https://www.reuters.com/world/india/gold-touches-seven-week-high-strait-hormuz-reopening-hopes-2026-08-06/" TargetMode="External"/><Relationship Id="rId29" Type="http://schemas.openxmlformats.org/officeDocument/2006/relationships/image" Target="media/image6.png"/><Relationship Id="rId30" Type="http://schemas.openxmlformats.org/officeDocument/2006/relationships/image" Target="media/image7.png"/><Relationship Id="rId31" Type="http://schemas.openxmlformats.org/officeDocument/2006/relationships/hyperlink" Target="https://www.bls.gov/schedule/news_release/empsit.htm" TargetMode="External"/><Relationship Id="rId32" Type="http://schemas.openxmlformats.org/officeDocument/2006/relationships/hyperlink" Target="https://www.bls.gov/schedule/news_release/cpi.htm" TargetMode="External"/><Relationship Id="rId33" Type="http://schemas.openxmlformats.org/officeDocument/2006/relationships/hyperlink" Target="https://www.bot.or.th/en/our-roles/monetary-policy/mpc-meeting.html" TargetMode="External"/><Relationship Id="rId34" Type="http://schemas.openxmlformats.org/officeDocument/2006/relationships/hyperlink" Target="https://www.kansascityfed.org/research/jackson-hole-economic-symposium/" TargetMode="External"/><Relationship Id="rId35" Type="http://schemas.openxmlformats.org/officeDocument/2006/relationships/hyperlink" Target="https://www.federalreserve.gov/monetarypolicy/fomccalendars.htm" TargetMode="External"/><Relationship Id="rId36" Type="http://schemas.openxmlformats.org/officeDocument/2006/relationships/hyperlink" Target="https://www.reuters.com/world/asia-pacific/investors-turn-bullish-won-cut-short-bets-asian-fx-cheaper-oil-2026-08-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Short USD/THB: Buy the Q3 External-Balance Inflection</dc:title>
  <dc:subject>Tactical FX research | 6 August 2026</dc:subject>
  <dc:creator>Independent research synthesis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