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64" w:lineRule="auto"/>
        <w:jc w:val="center"/>
      </w:pPr>
      <w:r>
        <w:rPr>
          <w:rFonts w:ascii="Calibri" w:hAnsi="Calibri"/>
          <w:b w:val="0"/>
          <w:i w:val="0"/>
          <w:color w:val="202A33"/>
          <w:sz w:val="22"/>
        </w:rPr>
        <w:t>DATABASE SYSTEMS PROJECT</w:t>
      </w:r>
    </w:p>
    <w:p>
      <w:pPr>
        <w:spacing w:after="200"/>
        <w:jc w:val="center"/>
      </w:pPr>
      <w:r>
        <w:rPr>
          <w:rFonts w:ascii="Calibri" w:hAnsi="Calibri"/>
          <w:b/>
          <w:i w:val="0"/>
          <w:color w:val="153A5B"/>
          <w:sz w:val="54"/>
        </w:rPr>
        <w:t>Event-Aware Subway Congestion</w:t>
        <w:br/>
        <w:t>Decision Support Platform</w:t>
      </w:r>
    </w:p>
    <w:p>
      <w:pPr>
        <w:spacing w:after="760"/>
        <w:jc w:val="center"/>
      </w:pPr>
      <w:r>
        <w:rPr>
          <w:rFonts w:ascii="Calibri" w:hAnsi="Calibri"/>
          <w:b w:val="0"/>
          <w:i w:val="0"/>
          <w:color w:val="2E74B5"/>
          <w:sz w:val="28"/>
        </w:rPr>
        <w:t>Part IV: End-to-End Solution Integration and Database Programming</w:t>
      </w:r>
    </w:p>
    <w:p>
      <w:pPr>
        <w:keepNext/>
        <w:jc w:val="center"/>
      </w:pPr>
      <w:r>
        <w:drawing>
          <wp:inline xmlns:a="http://schemas.openxmlformats.org/drawingml/2006/main" xmlns:pic="http://schemas.openxmlformats.org/drawingml/2006/picture">
            <wp:extent cx="5486400" cy="3246120"/>
            <wp:docPr id="1" name="Picture 1"/>
            <wp:cNvGraphicFramePr>
              <a:graphicFrameLocks noChangeAspect="1"/>
            </wp:cNvGraphicFramePr>
            <a:graphic>
              <a:graphicData uri="http://schemas.openxmlformats.org/drawingml/2006/picture">
                <pic:pic>
                  <pic:nvPicPr>
                    <pic:cNvPr id="0" name="part4_reference_architecture.png"/>
                    <pic:cNvPicPr/>
                  </pic:nvPicPr>
                  <pic:blipFill>
                    <a:blip r:embed="rId11"/>
                    <a:stretch>
                      <a:fillRect/>
                    </a:stretch>
                  </pic:blipFill>
                  <pic:spPr>
                    <a:xfrm>
                      <a:off x="0" y="0"/>
                      <a:ext cx="5486400" cy="3246120"/>
                    </a:xfrm>
                    <a:prstGeom prst="rect"/>
                  </pic:spPr>
                </pic:pic>
              </a:graphicData>
            </a:graphic>
          </wp:inline>
        </w:drawing>
      </w:r>
    </w:p>
    <w:p>
      <w:pPr>
        <w:spacing w:before="80" w:after="200"/>
        <w:jc w:val="center"/>
      </w:pPr>
      <w:r>
        <w:rPr>
          <w:rFonts w:ascii="Calibri" w:hAnsi="Calibri"/>
          <w:b/>
          <w:i w:val="0"/>
          <w:color w:val="66717E"/>
          <w:sz w:val="18"/>
        </w:rPr>
        <w:t>System reference architecture</w:t>
      </w:r>
    </w:p>
    <w:p>
      <w:pPr>
        <w:spacing w:after="160" w:line="264" w:lineRule="auto"/>
        <w:jc w:val="center"/>
      </w:pPr>
      <w:r>
        <w:rPr>
          <w:rFonts w:ascii="Calibri" w:hAnsi="Calibri"/>
          <w:b w:val="0"/>
          <w:i w:val="0"/>
          <w:color w:val="202A33"/>
          <w:sz w:val="22"/>
        </w:rPr>
        <w:t>Student: ______________________________</w:t>
      </w:r>
    </w:p>
    <w:p>
      <w:pPr>
        <w:spacing w:after="160" w:line="264" w:lineRule="auto"/>
        <w:jc w:val="center"/>
      </w:pPr>
      <w:r>
        <w:rPr>
          <w:rFonts w:ascii="Calibri" w:hAnsi="Calibri"/>
          <w:b w:val="0"/>
          <w:i w:val="0"/>
          <w:color w:val="202A33"/>
          <w:sz w:val="22"/>
        </w:rPr>
        <w:t>Course / Section: ______________________</w:t>
      </w:r>
    </w:p>
    <w:p>
      <w:pPr>
        <w:spacing w:after="120" w:line="264" w:lineRule="auto"/>
        <w:jc w:val="center"/>
      </w:pPr>
      <w:r>
        <w:rPr>
          <w:rFonts w:ascii="Calibri" w:hAnsi="Calibri"/>
          <w:b w:val="0"/>
          <w:i w:val="0"/>
          <w:color w:val="202A33"/>
          <w:sz w:val="22"/>
        </w:rPr>
        <w:t>Submission date: August 12, 2026</w:t>
      </w:r>
    </w:p>
    <w:p>
      <w:r>
        <w:br w:type="page"/>
      </w:r>
    </w:p>
    <w:p>
      <w:pPr>
        <w:pStyle w:val="Heading1"/>
      </w:pPr>
      <w:r>
        <w:t>Executive Summary</w:t>
      </w:r>
    </w:p>
    <w:p>
      <w:pPr>
        <w:spacing w:after="120" w:line="264" w:lineRule="auto"/>
      </w:pPr>
      <w:r>
        <w:rPr>
          <w:rFonts w:ascii="Calibri" w:hAnsi="Calibri"/>
          <w:b w:val="0"/>
          <w:i w:val="0"/>
          <w:color w:val="202A33"/>
          <w:sz w:val="22"/>
        </w:rPr>
        <w:t>This Part IV implementation integrates the physical PostgreSQL design and Random Forest model developed in Part III into a functioning end-to-end decision-support application. The completed workflow loads 11,667 station-hour observations into PostgreSQL, accepts a commuter's future station and travel time through Streamlit, derives historical transfer context, predicts congestion, generates an actionable recommendation, and records the commuter's decision as a database transaction.</w:t>
      </w:r>
    </w:p>
    <w:p>
      <w:pPr>
        <w:spacing w:after="120" w:line="264" w:lineRule="auto"/>
      </w:pPr>
      <w:r>
        <w:rPr>
          <w:rFonts w:ascii="Calibri" w:hAnsi="Calibri"/>
          <w:b w:val="0"/>
          <w:i w:val="0"/>
          <w:color w:val="202A33"/>
          <w:sz w:val="22"/>
        </w:rPr>
        <w:t>The system uses SQLAlchemy as the object-relational mapping layer and preserves the existing Part III schema. Model persistence is implemented with Joblib, while a database-driven retraining module creates a candidate Random Forest model using a chronological train/test split. The final prototype demonstrates the required closed loop: machine-learning insight is not only displayed but also converted into a recommendation and an auditable OLTP write to USER_DECISION.</w:t>
      </w:r>
    </w:p>
    <w:p>
      <w:pPr>
        <w:pStyle w:val="Heading2"/>
      </w:pPr>
      <w:r>
        <w:t>Key Outcomes</w:t>
      </w:r>
    </w:p>
    <w:p>
      <w:pPr>
        <w:pStyle w:val="ListBullet"/>
        <w:spacing w:after="100" w:line="264" w:lineRule="auto"/>
      </w:pPr>
      <w:r>
        <w:rPr>
          <w:rFonts w:ascii="Calibri" w:hAnsi="Calibri"/>
          <w:b w:val="0"/>
          <w:i w:val="0"/>
          <w:color w:val="202A33"/>
          <w:sz w:val="22"/>
        </w:rPr>
        <w:t>11,667 validated hourly ridership records across four NYU-area station complexes.</w:t>
      </w:r>
    </w:p>
    <w:p>
      <w:pPr>
        <w:pStyle w:val="ListBullet"/>
        <w:spacing w:after="100" w:line="264" w:lineRule="auto"/>
      </w:pPr>
      <w:r>
        <w:rPr>
          <w:rFonts w:ascii="Calibri" w:hAnsi="Calibri"/>
          <w:b w:val="0"/>
          <w:i w:val="0"/>
          <w:color w:val="202A33"/>
          <w:sz w:val="22"/>
        </w:rPr>
        <w:t>Future congestion prediction with confidence scoring and historical transfer estimation.</w:t>
      </w:r>
    </w:p>
    <w:p>
      <w:pPr>
        <w:pStyle w:val="ListBullet"/>
        <w:spacing w:after="100" w:line="264" w:lineRule="auto"/>
      </w:pPr>
      <w:r>
        <w:rPr>
          <w:rFonts w:ascii="Calibri" w:hAnsi="Calibri"/>
          <w:b w:val="0"/>
          <w:i w:val="0"/>
          <w:color w:val="202A33"/>
          <w:sz w:val="22"/>
        </w:rPr>
        <w:t>Rule-based recommendations for alternate stations or delayed departure times.</w:t>
      </w:r>
    </w:p>
    <w:p>
      <w:pPr>
        <w:pStyle w:val="ListBullet"/>
        <w:spacing w:after="100" w:line="264" w:lineRule="auto"/>
      </w:pPr>
      <w:r>
        <w:rPr>
          <w:rFonts w:ascii="Calibri" w:hAnsi="Calibri"/>
          <w:b w:val="0"/>
          <w:i w:val="0"/>
          <w:color w:val="202A33"/>
          <w:sz w:val="22"/>
        </w:rPr>
        <w:t>Transactional persistence across PREDICTION, RECOMMENDATION, and USER_DECISION.</w:t>
      </w:r>
    </w:p>
    <w:p>
      <w:pPr>
        <w:pStyle w:val="ListBullet"/>
        <w:spacing w:after="100" w:line="264" w:lineRule="auto"/>
      </w:pPr>
      <w:r>
        <w:rPr>
          <w:rFonts w:ascii="Calibri" w:hAnsi="Calibri"/>
          <w:b w:val="0"/>
          <w:i w:val="0"/>
          <w:color w:val="202A33"/>
          <w:sz w:val="22"/>
        </w:rPr>
        <w:t>Chronological retraining evaluation with 76.75% test accuracy.</w:t>
      </w:r>
    </w:p>
    <w:p>
      <w:pPr>
        <w:pStyle w:val="ListBullet"/>
        <w:spacing w:after="100" w:line="264" w:lineRule="auto"/>
      </w:pPr>
      <w:r>
        <w:rPr>
          <w:rFonts w:ascii="Calibri" w:hAnsi="Calibri"/>
          <w:b w:val="0"/>
          <w:i w:val="0"/>
          <w:color w:val="202A33"/>
          <w:sz w:val="22"/>
        </w:rPr>
        <w:t>Indexed PostgreSQL lookups and workflow reconstruction verified with EXPLAIN ANALYZE.</w:t>
      </w:r>
    </w:p>
    <w:p>
      <w:pPr>
        <w:pStyle w:val="Heading2"/>
      </w:pPr>
      <w:r>
        <w:t>Document Roadmap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728"/>
            <w:shd w:fill="F2F4F7"/>
            <w:vAlign w:val="center"/>
          </w:tcPr>
          <w:p>
            <w:pPr>
              <w:jc w:val="center"/>
            </w:pPr>
            <w:r>
              <w:rPr>
                <w:rFonts w:ascii="Calibri" w:hAnsi="Calibri"/>
                <w:b/>
                <w:i w:val="0"/>
                <w:color w:val="153A5B"/>
                <w:sz w:val="19"/>
              </w:rPr>
              <w:t>Section</w:t>
            </w:r>
          </w:p>
        </w:tc>
        <w:tc>
          <w:tcPr>
            <w:tcW w:type="dxa" w:w="7632"/>
            <w:shd w:fill="F2F4F7"/>
            <w:vAlign w:val="center"/>
          </w:tcPr>
          <w:p>
            <w:pPr>
              <w:jc w:val="center"/>
            </w:pPr>
            <w:r>
              <w:rPr>
                <w:rFonts w:ascii="Calibri" w:hAnsi="Calibri"/>
                <w:b/>
                <w:i w:val="0"/>
                <w:color w:val="153A5B"/>
                <w:sz w:val="19"/>
              </w:rPr>
              <w:t>Purpose</w:t>
            </w:r>
          </w:p>
        </w:tc>
      </w:tr>
      <w:tr>
        <w:tc>
          <w:tcPr>
            <w:tcW w:type="dxa" w:w="1728"/>
            <w:vAlign w:val="center"/>
          </w:tcPr>
          <w:p>
            <w:pPr>
              <w:spacing w:after="0"/>
              <w:jc w:val="center"/>
            </w:pPr>
            <w:r>
              <w:rPr>
                <w:rFonts w:ascii="Calibri" w:hAnsi="Calibri"/>
                <w:b w:val="0"/>
                <w:i w:val="0"/>
                <w:color w:val="202A33"/>
                <w:sz w:val="19"/>
              </w:rPr>
              <w:t>1-3</w:t>
            </w:r>
          </w:p>
        </w:tc>
        <w:tc>
          <w:tcPr>
            <w:tcW w:type="dxa" w:w="7632"/>
            <w:vAlign w:val="center"/>
          </w:tcPr>
          <w:p>
            <w:pPr>
              <w:spacing w:after="0"/>
              <w:jc w:val="left"/>
            </w:pPr>
            <w:r>
              <w:rPr>
                <w:rFonts w:ascii="Calibri" w:hAnsi="Calibri"/>
                <w:b w:val="0"/>
                <w:i w:val="0"/>
                <w:color w:val="202A33"/>
                <w:sz w:val="19"/>
              </w:rPr>
              <w:t>Business use case, workflow, and database integration</w:t>
            </w:r>
          </w:p>
        </w:tc>
      </w:tr>
      <w:tr>
        <w:tc>
          <w:tcPr>
            <w:tcW w:type="dxa" w:w="1728"/>
            <w:vAlign w:val="center"/>
          </w:tcPr>
          <w:p>
            <w:pPr>
              <w:spacing w:after="0"/>
              <w:jc w:val="center"/>
            </w:pPr>
            <w:r>
              <w:rPr>
                <w:rFonts w:ascii="Calibri" w:hAnsi="Calibri"/>
                <w:b w:val="0"/>
                <w:i w:val="0"/>
                <w:color w:val="202A33"/>
                <w:sz w:val="19"/>
              </w:rPr>
              <w:t>4-7</w:t>
            </w:r>
          </w:p>
        </w:tc>
        <w:tc>
          <w:tcPr>
            <w:tcW w:type="dxa" w:w="7632"/>
            <w:vAlign w:val="center"/>
          </w:tcPr>
          <w:p>
            <w:pPr>
              <w:spacing w:after="0"/>
              <w:jc w:val="left"/>
            </w:pPr>
            <w:r>
              <w:rPr>
                <w:rFonts w:ascii="Calibri" w:hAnsi="Calibri"/>
                <w:b w:val="0"/>
                <w:i w:val="0"/>
                <w:color w:val="202A33"/>
                <w:sz w:val="19"/>
              </w:rPr>
              <w:t>ORM, prediction, recommendation, and transaction implementation</w:t>
            </w:r>
          </w:p>
        </w:tc>
      </w:tr>
      <w:tr>
        <w:tc>
          <w:tcPr>
            <w:tcW w:type="dxa" w:w="1728"/>
            <w:vAlign w:val="center"/>
          </w:tcPr>
          <w:p>
            <w:pPr>
              <w:spacing w:after="0"/>
              <w:jc w:val="center"/>
            </w:pPr>
            <w:r>
              <w:rPr>
                <w:rFonts w:ascii="Calibri" w:hAnsi="Calibri"/>
                <w:b w:val="0"/>
                <w:i w:val="0"/>
                <w:color w:val="202A33"/>
                <w:sz w:val="19"/>
              </w:rPr>
              <w:t>8-10</w:t>
            </w:r>
          </w:p>
        </w:tc>
        <w:tc>
          <w:tcPr>
            <w:tcW w:type="dxa" w:w="7632"/>
            <w:vAlign w:val="center"/>
          </w:tcPr>
          <w:p>
            <w:pPr>
              <w:spacing w:after="0"/>
              <w:jc w:val="left"/>
            </w:pPr>
            <w:r>
              <w:rPr>
                <w:rFonts w:ascii="Calibri" w:hAnsi="Calibri"/>
                <w:b w:val="0"/>
                <w:i w:val="0"/>
                <w:color w:val="202A33"/>
                <w:sz w:val="19"/>
              </w:rPr>
              <w:t>Application interface, retraining, and query optimization</w:t>
            </w:r>
          </w:p>
        </w:tc>
      </w:tr>
      <w:tr>
        <w:tc>
          <w:tcPr>
            <w:tcW w:type="dxa" w:w="1728"/>
            <w:vAlign w:val="center"/>
          </w:tcPr>
          <w:p>
            <w:pPr>
              <w:spacing w:after="0"/>
              <w:jc w:val="center"/>
            </w:pPr>
            <w:r>
              <w:rPr>
                <w:rFonts w:ascii="Calibri" w:hAnsi="Calibri"/>
                <w:b w:val="0"/>
                <w:i w:val="0"/>
                <w:color w:val="202A33"/>
                <w:sz w:val="19"/>
              </w:rPr>
              <w:t>11-13</w:t>
            </w:r>
          </w:p>
        </w:tc>
        <w:tc>
          <w:tcPr>
            <w:tcW w:type="dxa" w:w="7632"/>
            <w:vAlign w:val="center"/>
          </w:tcPr>
          <w:p>
            <w:pPr>
              <w:spacing w:after="0"/>
              <w:jc w:val="left"/>
            </w:pPr>
            <w:r>
              <w:rPr>
                <w:rFonts w:ascii="Calibri" w:hAnsi="Calibri"/>
                <w:b w:val="0"/>
                <w:i w:val="0"/>
                <w:color w:val="202A33"/>
                <w:sz w:val="19"/>
              </w:rPr>
              <w:t>Reference architecture, testing, limitations, and conclusion</w:t>
            </w:r>
          </w:p>
        </w:tc>
      </w:tr>
    </w:tbl>
    <w:p>
      <w:pPr>
        <w:spacing w:after="20"/>
      </w:pPr>
    </w:p>
    <w:p>
      <w:r>
        <w:br w:type="page"/>
      </w:r>
    </w:p>
    <w:p>
      <w:pPr>
        <w:pStyle w:val="Heading1"/>
      </w:pPr>
      <w:r>
        <w:t>1. Business Use Case and Part III Continuity</w:t>
      </w:r>
    </w:p>
    <w:p>
      <w:pPr>
        <w:spacing w:after="120" w:line="264" w:lineRule="auto"/>
      </w:pPr>
      <w:r>
        <w:rPr>
          <w:rFonts w:ascii="Calibri" w:hAnsi="Calibri"/>
          <w:b w:val="0"/>
          <w:i w:val="0"/>
          <w:color w:val="202A33"/>
          <w:sz w:val="22"/>
        </w:rPr>
        <w:t>The business problem is commuter uncertainty around station congestion near the NYU campus. A warning alone is insufficient because it does not change the commuter's plan or produce a measurable system outcome. The implemented use case therefore transforms a congestion estimate into an actionable choice: use an alternate station, depart later, or retain the original plan.</w:t>
      </w:r>
    </w:p>
    <w:p>
      <w:pPr>
        <w:pStyle w:val="Heading2"/>
      </w:pPr>
      <w:r>
        <w:t>1.1 Implemented User Story</w:t>
      </w:r>
    </w:p>
    <w:p>
      <w:pPr>
        <w:spacing w:after="120" w:line="264" w:lineRule="auto"/>
      </w:pPr>
      <w:r>
        <w:rPr>
          <w:rFonts w:ascii="Calibri" w:hAnsi="Calibri"/>
          <w:b w:val="0"/>
          <w:i w:val="0"/>
          <w:color w:val="202A33"/>
          <w:sz w:val="22"/>
        </w:rPr>
        <w:t>A commuter selects an NYU-area station and a future travel time. The application estimates congestion from historical station-hour patterns, displays the predicted class and confidence, proposes an alternate station or departure time, and records whether the commuter accepts the recommendation.</w:t>
      </w:r>
    </w:p>
    <w:p>
      <w:pPr>
        <w:pStyle w:val="Heading2"/>
      </w:pPr>
      <w:r>
        <w:t>1.2 Reused Part III Assets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vAlign w:val="center"/>
          </w:tcPr>
          <w:p>
            <w:pPr>
              <w:jc w:val="center"/>
            </w:pPr>
            <w:r>
              <w:rPr>
                <w:rFonts w:ascii="Calibri" w:hAnsi="Calibri"/>
                <w:b/>
                <w:i w:val="0"/>
                <w:color w:val="153A5B"/>
                <w:sz w:val="19"/>
              </w:rPr>
              <w:t>Part III asset</w:t>
            </w:r>
          </w:p>
        </w:tc>
        <w:tc>
          <w:tcPr>
            <w:tcW w:type="dxa" w:w="6480"/>
            <w:shd w:fill="F2F4F7"/>
            <w:vAlign w:val="center"/>
          </w:tcPr>
          <w:p>
            <w:pPr>
              <w:jc w:val="center"/>
            </w:pPr>
            <w:r>
              <w:rPr>
                <w:rFonts w:ascii="Calibri" w:hAnsi="Calibri"/>
                <w:b/>
                <w:i w:val="0"/>
                <w:color w:val="153A5B"/>
                <w:sz w:val="19"/>
              </w:rPr>
              <w:t>Part IV use</w:t>
            </w:r>
          </w:p>
        </w:tc>
      </w:tr>
      <w:tr>
        <w:tc>
          <w:tcPr>
            <w:tcW w:type="dxa" w:w="2880"/>
            <w:vAlign w:val="center"/>
          </w:tcPr>
          <w:p>
            <w:pPr>
              <w:spacing w:after="0"/>
              <w:jc w:val="center"/>
            </w:pPr>
            <w:r>
              <w:rPr>
                <w:rFonts w:ascii="Calibri" w:hAnsi="Calibri"/>
                <w:b w:val="0"/>
                <w:i w:val="0"/>
                <w:color w:val="202A33"/>
                <w:sz w:val="19"/>
              </w:rPr>
              <w:t>PostgreSQL schema</w:t>
            </w:r>
          </w:p>
        </w:tc>
        <w:tc>
          <w:tcPr>
            <w:tcW w:type="dxa" w:w="6480"/>
            <w:vAlign w:val="center"/>
          </w:tcPr>
          <w:p>
            <w:pPr>
              <w:spacing w:after="0"/>
              <w:jc w:val="left"/>
            </w:pPr>
            <w:r>
              <w:rPr>
                <w:rFonts w:ascii="Calibri" w:hAnsi="Calibri"/>
                <w:b w:val="0"/>
                <w:i w:val="0"/>
                <w:color w:val="202A33"/>
                <w:sz w:val="19"/>
              </w:rPr>
              <w:t>Extended rather than replaced; existing relational entities remain authoritative.</w:t>
            </w:r>
          </w:p>
        </w:tc>
      </w:tr>
      <w:tr>
        <w:tc>
          <w:tcPr>
            <w:tcW w:type="dxa" w:w="2880"/>
            <w:vAlign w:val="center"/>
          </w:tcPr>
          <w:p>
            <w:pPr>
              <w:spacing w:after="0"/>
              <w:jc w:val="center"/>
            </w:pPr>
            <w:r>
              <w:rPr>
                <w:rFonts w:ascii="Calibri" w:hAnsi="Calibri"/>
                <w:b w:val="0"/>
                <w:i w:val="0"/>
                <w:color w:val="202A33"/>
                <w:sz w:val="19"/>
              </w:rPr>
              <w:t>Random Forest</w:t>
            </w:r>
          </w:p>
        </w:tc>
        <w:tc>
          <w:tcPr>
            <w:tcW w:type="dxa" w:w="6480"/>
            <w:vAlign w:val="center"/>
          </w:tcPr>
          <w:p>
            <w:pPr>
              <w:spacing w:after="0"/>
              <w:jc w:val="left"/>
            </w:pPr>
            <w:r>
              <w:rPr>
                <w:rFonts w:ascii="Calibri" w:hAnsi="Calibri"/>
                <w:b w:val="0"/>
                <w:i w:val="0"/>
                <w:color w:val="202A33"/>
                <w:sz w:val="19"/>
              </w:rPr>
              <w:t>Persisted as a model bundle and invoked by the prediction service.</w:t>
            </w:r>
          </w:p>
        </w:tc>
      </w:tr>
      <w:tr>
        <w:tc>
          <w:tcPr>
            <w:tcW w:type="dxa" w:w="2880"/>
            <w:vAlign w:val="center"/>
          </w:tcPr>
          <w:p>
            <w:pPr>
              <w:spacing w:after="0"/>
              <w:jc w:val="center"/>
            </w:pPr>
            <w:r>
              <w:rPr>
                <w:rFonts w:ascii="Calibri" w:hAnsi="Calibri"/>
                <w:b w:val="0"/>
                <w:i w:val="0"/>
                <w:color w:val="202A33"/>
                <w:sz w:val="19"/>
              </w:rPr>
              <w:t>PREDICTION / RECOMMENDATION / USER_DECISION</w:t>
            </w:r>
          </w:p>
        </w:tc>
        <w:tc>
          <w:tcPr>
            <w:tcW w:type="dxa" w:w="6480"/>
            <w:vAlign w:val="center"/>
          </w:tcPr>
          <w:p>
            <w:pPr>
              <w:spacing w:after="0"/>
              <w:jc w:val="left"/>
            </w:pPr>
            <w:r>
              <w:rPr>
                <w:rFonts w:ascii="Calibri" w:hAnsi="Calibri"/>
                <w:b w:val="0"/>
                <w:i w:val="0"/>
                <w:color w:val="202A33"/>
                <w:sz w:val="19"/>
              </w:rPr>
              <w:t>Implemented as the transactional chain requested by the business use case.</w:t>
            </w:r>
          </w:p>
        </w:tc>
      </w:tr>
      <w:tr>
        <w:tc>
          <w:tcPr>
            <w:tcW w:type="dxa" w:w="2880"/>
            <w:vAlign w:val="center"/>
          </w:tcPr>
          <w:p>
            <w:pPr>
              <w:spacing w:after="0"/>
              <w:jc w:val="center"/>
            </w:pPr>
            <w:r>
              <w:rPr>
                <w:rFonts w:ascii="Calibri" w:hAnsi="Calibri"/>
                <w:b w:val="0"/>
                <w:i w:val="0"/>
                <w:color w:val="202A33"/>
                <w:sz w:val="19"/>
              </w:rPr>
              <w:t>Indexes and physical design</w:t>
            </w:r>
          </w:p>
        </w:tc>
        <w:tc>
          <w:tcPr>
            <w:tcW w:type="dxa" w:w="6480"/>
            <w:vAlign w:val="center"/>
          </w:tcPr>
          <w:p>
            <w:pPr>
              <w:spacing w:after="0"/>
              <w:jc w:val="left"/>
            </w:pPr>
            <w:r>
              <w:rPr>
                <w:rFonts w:ascii="Calibri" w:hAnsi="Calibri"/>
                <w:b w:val="0"/>
                <w:i w:val="0"/>
                <w:color w:val="202A33"/>
                <w:sz w:val="19"/>
              </w:rPr>
              <w:t>Retained, audited, and extended only where the station-hour workflow required it.</w:t>
            </w:r>
          </w:p>
        </w:tc>
      </w:tr>
    </w:tbl>
    <w:p>
      <w:pPr>
        <w:spacing w:after="20"/>
      </w:pPr>
    </w:p>
    <w:p>
      <w:pPr>
        <w:pStyle w:val="Heading1"/>
      </w:pPr>
      <w:r>
        <w:t>2. End-to-End Application Workflow</w:t>
      </w:r>
    </w:p>
    <w:p>
      <w:pPr>
        <w:keepNext/>
        <w:jc w:val="center"/>
      </w:pPr>
      <w:r>
        <w:drawing>
          <wp:inline xmlns:a="http://schemas.openxmlformats.org/drawingml/2006/main" xmlns:pic="http://schemas.openxmlformats.org/drawingml/2006/picture">
            <wp:extent cx="5760720" cy="3408426"/>
            <wp:docPr id="2" name="Picture 2"/>
            <wp:cNvGraphicFramePr>
              <a:graphicFrameLocks noChangeAspect="1"/>
            </wp:cNvGraphicFramePr>
            <a:graphic>
              <a:graphicData uri="http://schemas.openxmlformats.org/drawingml/2006/picture">
                <pic:pic>
                  <pic:nvPicPr>
                    <pic:cNvPr id="0" name="part4_reference_architecture.png"/>
                    <pic:cNvPicPr/>
                  </pic:nvPicPr>
                  <pic:blipFill>
                    <a:blip r:embed="rId11"/>
                    <a:stretch>
                      <a:fillRect/>
                    </a:stretch>
                  </pic:blipFill>
                  <pic:spPr>
                    <a:xfrm>
                      <a:off x="0" y="0"/>
                      <a:ext cx="5760720" cy="3408426"/>
                    </a:xfrm>
                    <a:prstGeom prst="rect"/>
                  </pic:spPr>
                </pic:pic>
              </a:graphicData>
            </a:graphic>
          </wp:inline>
        </w:drawing>
      </w:r>
    </w:p>
    <w:p>
      <w:pPr>
        <w:spacing w:before="80" w:after="200"/>
        <w:jc w:val="center"/>
      </w:pPr>
      <w:r>
        <w:rPr>
          <w:rFonts w:ascii="Calibri" w:hAnsi="Calibri"/>
          <w:b/>
          <w:i w:val="0"/>
          <w:color w:val="66717E"/>
          <w:sz w:val="18"/>
        </w:rPr>
        <w:t>Figure 1. End-to-end data, model, application, and transaction workflow</w:t>
      </w:r>
    </w:p>
    <w:p>
      <w:pPr>
        <w:spacing w:after="120" w:line="264" w:lineRule="auto"/>
      </w:pPr>
      <w:r>
        <w:rPr>
          <w:rFonts w:ascii="Calibri" w:hAnsi="Calibri"/>
          <w:b w:val="0"/>
          <w:i w:val="0"/>
          <w:color w:val="202A33"/>
          <w:sz w:val="22"/>
        </w:rPr>
        <w:t>The top path represents the analytical pipeline from MTA data to PostgreSQL and the model lifecycle. The lower path represents the operational application. SQLAlchemy connects the services to PostgreSQL so that predictions, recommendations, and user decisions remain traceable through foreign keys.</w:t>
      </w:r>
    </w:p>
    <w:p>
      <w:r>
        <w:br w:type="page"/>
      </w:r>
    </w:p>
    <w:p>
      <w:pPr>
        <w:pStyle w:val="Heading1"/>
      </w:pPr>
      <w:r>
        <w:t>3. Database Integration</w:t>
      </w:r>
    </w:p>
    <w:p>
      <w:pPr>
        <w:spacing w:after="120" w:line="264" w:lineRule="auto"/>
      </w:pPr>
      <w:r>
        <w:rPr>
          <w:rFonts w:ascii="Calibri" w:hAnsi="Calibri"/>
          <w:b w:val="0"/>
          <w:i w:val="0"/>
          <w:color w:val="202A33"/>
          <w:sz w:val="22"/>
        </w:rPr>
        <w:t>The cleaned hourly dataset was loaded into the existing RIDERSHIP relation instead of replacing the Part III design. MTA complex identifiers were mapped to internal station surrogate keys, and the loader performed validation before a single transaction inserted the records. A unique station/timestamp index prevents duplicate station-hour records on repeated execution.</w:t>
      </w:r>
    </w:p>
    <w:p>
      <w:pPr>
        <w:keepNext/>
        <w:jc w:val="center"/>
      </w:pPr>
      <w:r>
        <w:drawing>
          <wp:inline xmlns:a="http://schemas.openxmlformats.org/drawingml/2006/main" xmlns:pic="http://schemas.openxmlformats.org/drawingml/2006/picture">
            <wp:extent cx="4389120" cy="2346136"/>
            <wp:docPr id="3" name="Picture 3"/>
            <wp:cNvGraphicFramePr>
              <a:graphicFrameLocks noChangeAspect="1"/>
            </wp:cNvGraphicFramePr>
            <a:graphic>
              <a:graphicData uri="http://schemas.openxmlformats.org/drawingml/2006/picture">
                <pic:pic>
                  <pic:nvPicPr>
                    <pic:cNvPr id="0" name="螢幕擷取畫面 2026-08-08 232054.png"/>
                    <pic:cNvPicPr/>
                  </pic:nvPicPr>
                  <pic:blipFill>
                    <a:blip r:embed="rId12"/>
                    <a:stretch>
                      <a:fillRect/>
                    </a:stretch>
                  </pic:blipFill>
                  <pic:spPr>
                    <a:xfrm>
                      <a:off x="0" y="0"/>
                      <a:ext cx="4389120" cy="2346136"/>
                    </a:xfrm>
                    <a:prstGeom prst="rect"/>
                  </pic:spPr>
                </pic:pic>
              </a:graphicData>
            </a:graphic>
          </wp:inline>
        </w:drawing>
      </w:r>
    </w:p>
    <w:p>
      <w:pPr>
        <w:spacing w:before="80" w:after="200"/>
        <w:jc w:val="center"/>
      </w:pPr>
      <w:r>
        <w:rPr>
          <w:rFonts w:ascii="Calibri" w:hAnsi="Calibri"/>
          <w:b/>
          <w:i w:val="0"/>
          <w:color w:val="66717E"/>
          <w:sz w:val="18"/>
        </w:rPr>
        <w:t>Figure 2. PostgreSQL row-count verification after loading 11,667 hourly records</w:t>
      </w:r>
    </w:p>
    <w:p>
      <w:pPr>
        <w:keepNext/>
        <w:jc w:val="center"/>
      </w:pPr>
      <w:r>
        <w:drawing>
          <wp:inline xmlns:a="http://schemas.openxmlformats.org/drawingml/2006/main" xmlns:pic="http://schemas.openxmlformats.org/drawingml/2006/picture">
            <wp:extent cx="4480560" cy="2501236"/>
            <wp:docPr id="4" name="Picture 4"/>
            <wp:cNvGraphicFramePr>
              <a:graphicFrameLocks noChangeAspect="1"/>
            </wp:cNvGraphicFramePr>
            <a:graphic>
              <a:graphicData uri="http://schemas.openxmlformats.org/drawingml/2006/picture">
                <pic:pic>
                  <pic:nvPicPr>
                    <pic:cNvPr id="0" name="螢幕擷取畫面 2026-08-08 232109.png"/>
                    <pic:cNvPicPr/>
                  </pic:nvPicPr>
                  <pic:blipFill>
                    <a:blip r:embed="rId13"/>
                    <a:stretch>
                      <a:fillRect/>
                    </a:stretch>
                  </pic:blipFill>
                  <pic:spPr>
                    <a:xfrm>
                      <a:off x="0" y="0"/>
                      <a:ext cx="4480560" cy="2501236"/>
                    </a:xfrm>
                    <a:prstGeom prst="rect"/>
                  </pic:spPr>
                </pic:pic>
              </a:graphicData>
            </a:graphic>
          </wp:inline>
        </w:drawing>
      </w:r>
    </w:p>
    <w:p>
      <w:pPr>
        <w:spacing w:before="80" w:after="200"/>
        <w:jc w:val="center"/>
      </w:pPr>
      <w:r>
        <w:rPr>
          <w:rFonts w:ascii="Calibri" w:hAnsi="Calibri"/>
          <w:b/>
          <w:i w:val="0"/>
          <w:color w:val="66717E"/>
          <w:sz w:val="18"/>
        </w:rPr>
        <w:t>Figure 3. Hourly record distribution across the four station complexes</w:t>
      </w:r>
    </w:p>
    <w:p>
      <w:pPr>
        <w:keepNext/>
        <w:jc w:val="center"/>
      </w:pPr>
      <w:r>
        <w:drawing>
          <wp:inline xmlns:a="http://schemas.openxmlformats.org/drawingml/2006/main" xmlns:pic="http://schemas.openxmlformats.org/drawingml/2006/picture">
            <wp:extent cx="3474720" cy="3057754"/>
            <wp:docPr id="5" name="Picture 5"/>
            <wp:cNvGraphicFramePr>
              <a:graphicFrameLocks noChangeAspect="1"/>
            </wp:cNvGraphicFramePr>
            <a:graphic>
              <a:graphicData uri="http://schemas.openxmlformats.org/drawingml/2006/picture">
                <pic:pic>
                  <pic:nvPicPr>
                    <pic:cNvPr id="0" name="螢幕擷取畫面 2026-08-08 232127.png"/>
                    <pic:cNvPicPr/>
                  </pic:nvPicPr>
                  <pic:blipFill>
                    <a:blip r:embed="rId14"/>
                    <a:stretch>
                      <a:fillRect/>
                    </a:stretch>
                  </pic:blipFill>
                  <pic:spPr>
                    <a:xfrm>
                      <a:off x="0" y="0"/>
                      <a:ext cx="3474720" cy="3057754"/>
                    </a:xfrm>
                    <a:prstGeom prst="rect"/>
                  </pic:spPr>
                </pic:pic>
              </a:graphicData>
            </a:graphic>
          </wp:inline>
        </w:drawing>
      </w:r>
    </w:p>
    <w:p>
      <w:pPr>
        <w:spacing w:before="80" w:after="200"/>
        <w:jc w:val="center"/>
      </w:pPr>
      <w:r>
        <w:rPr>
          <w:rFonts w:ascii="Calibri" w:hAnsi="Calibri"/>
          <w:b/>
          <w:i w:val="0"/>
          <w:color w:val="66717E"/>
          <w:sz w:val="18"/>
        </w:rPr>
        <w:t>Figure 4. Balanced Low, Medium, and High congestion classes</w:t>
      </w:r>
    </w:p>
    <w:p>
      <w:pPr>
        <w:pStyle w:val="Heading2"/>
      </w:pPr>
      <w:r>
        <w:t>3.1 Loaded Stations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224"/>
            <w:shd w:fill="F2F4F7"/>
            <w:vAlign w:val="center"/>
          </w:tcPr>
          <w:p>
            <w:pPr>
              <w:jc w:val="center"/>
            </w:pPr>
            <w:r>
              <w:rPr>
                <w:rFonts w:ascii="Calibri" w:hAnsi="Calibri"/>
                <w:b/>
                <w:i w:val="0"/>
                <w:color w:val="153A5B"/>
                <w:sz w:val="19"/>
              </w:rPr>
              <w:t>Internal ID</w:t>
            </w:r>
          </w:p>
        </w:tc>
        <w:tc>
          <w:tcPr>
            <w:tcW w:type="dxa" w:w="1368"/>
            <w:shd w:fill="F2F4F7"/>
            <w:vAlign w:val="center"/>
          </w:tcPr>
          <w:p>
            <w:pPr>
              <w:jc w:val="center"/>
            </w:pPr>
            <w:r>
              <w:rPr>
                <w:rFonts w:ascii="Calibri" w:hAnsi="Calibri"/>
                <w:b/>
                <w:i w:val="0"/>
                <w:color w:val="153A5B"/>
                <w:sz w:val="19"/>
              </w:rPr>
              <w:t>MTA complex</w:t>
            </w:r>
          </w:p>
        </w:tc>
        <w:tc>
          <w:tcPr>
            <w:tcW w:type="dxa" w:w="3960"/>
            <w:shd w:fill="F2F4F7"/>
            <w:vAlign w:val="center"/>
          </w:tcPr>
          <w:p>
            <w:pPr>
              <w:jc w:val="center"/>
            </w:pPr>
            <w:r>
              <w:rPr>
                <w:rFonts w:ascii="Calibri" w:hAnsi="Calibri"/>
                <w:b/>
                <w:i w:val="0"/>
                <w:color w:val="153A5B"/>
                <w:sz w:val="19"/>
              </w:rPr>
              <w:t>Station</w:t>
            </w:r>
          </w:p>
        </w:tc>
        <w:tc>
          <w:tcPr>
            <w:tcW w:type="dxa" w:w="2808"/>
            <w:shd w:fill="F2F4F7"/>
            <w:vAlign w:val="center"/>
          </w:tcPr>
          <w:p>
            <w:pPr>
              <w:jc w:val="center"/>
            </w:pPr>
            <w:r>
              <w:rPr>
                <w:rFonts w:ascii="Calibri" w:hAnsi="Calibri"/>
                <w:b/>
                <w:i w:val="0"/>
                <w:color w:val="153A5B"/>
                <w:sz w:val="19"/>
              </w:rPr>
              <w:t>Routes</w:t>
            </w:r>
          </w:p>
        </w:tc>
      </w:tr>
      <w:tr>
        <w:tc>
          <w:tcPr>
            <w:tcW w:type="dxa" w:w="1224"/>
            <w:vAlign w:val="center"/>
          </w:tcPr>
          <w:p>
            <w:pPr>
              <w:spacing w:after="0"/>
              <w:jc w:val="center"/>
            </w:pPr>
            <w:r>
              <w:rPr>
                <w:rFonts w:ascii="Calibri" w:hAnsi="Calibri"/>
                <w:b w:val="0"/>
                <w:i w:val="0"/>
                <w:color w:val="202A33"/>
                <w:sz w:val="19"/>
              </w:rPr>
              <w:t>1</w:t>
            </w:r>
          </w:p>
        </w:tc>
        <w:tc>
          <w:tcPr>
            <w:tcW w:type="dxa" w:w="1368"/>
            <w:vAlign w:val="center"/>
          </w:tcPr>
          <w:p>
            <w:pPr>
              <w:spacing w:after="0"/>
              <w:jc w:val="left"/>
            </w:pPr>
            <w:r>
              <w:rPr>
                <w:rFonts w:ascii="Calibri" w:hAnsi="Calibri"/>
                <w:b w:val="0"/>
                <w:i w:val="0"/>
                <w:color w:val="202A33"/>
                <w:sz w:val="19"/>
              </w:rPr>
              <w:t>16</w:t>
            </w:r>
          </w:p>
        </w:tc>
        <w:tc>
          <w:tcPr>
            <w:tcW w:type="dxa" w:w="3960"/>
            <w:vAlign w:val="center"/>
          </w:tcPr>
          <w:p>
            <w:pPr>
              <w:spacing w:after="0"/>
              <w:jc w:val="left"/>
            </w:pPr>
            <w:r>
              <w:rPr>
                <w:rFonts w:ascii="Calibri" w:hAnsi="Calibri"/>
                <w:b w:val="0"/>
                <w:i w:val="0"/>
                <w:color w:val="202A33"/>
                <w:sz w:val="19"/>
              </w:rPr>
              <w:t>8 St-NYU</w:t>
            </w:r>
          </w:p>
        </w:tc>
        <w:tc>
          <w:tcPr>
            <w:tcW w:type="dxa" w:w="2808"/>
            <w:vAlign w:val="center"/>
          </w:tcPr>
          <w:p>
            <w:pPr>
              <w:spacing w:after="0"/>
              <w:jc w:val="left"/>
            </w:pPr>
            <w:r>
              <w:rPr>
                <w:rFonts w:ascii="Calibri" w:hAnsi="Calibri"/>
                <w:b w:val="0"/>
                <w:i w:val="0"/>
                <w:color w:val="202A33"/>
                <w:sz w:val="19"/>
              </w:rPr>
              <w:t>R, W</w:t>
            </w:r>
          </w:p>
        </w:tc>
      </w:tr>
      <w:tr>
        <w:tc>
          <w:tcPr>
            <w:tcW w:type="dxa" w:w="1224"/>
            <w:vAlign w:val="center"/>
          </w:tcPr>
          <w:p>
            <w:pPr>
              <w:spacing w:after="0"/>
              <w:jc w:val="center"/>
            </w:pPr>
            <w:r>
              <w:rPr>
                <w:rFonts w:ascii="Calibri" w:hAnsi="Calibri"/>
                <w:b w:val="0"/>
                <w:i w:val="0"/>
                <w:color w:val="202A33"/>
                <w:sz w:val="19"/>
              </w:rPr>
              <w:t>2</w:t>
            </w:r>
          </w:p>
        </w:tc>
        <w:tc>
          <w:tcPr>
            <w:tcW w:type="dxa" w:w="1368"/>
            <w:vAlign w:val="center"/>
          </w:tcPr>
          <w:p>
            <w:pPr>
              <w:spacing w:after="0"/>
              <w:jc w:val="left"/>
            </w:pPr>
            <w:r>
              <w:rPr>
                <w:rFonts w:ascii="Calibri" w:hAnsi="Calibri"/>
                <w:b w:val="0"/>
                <w:i w:val="0"/>
                <w:color w:val="202A33"/>
                <w:sz w:val="19"/>
              </w:rPr>
              <w:t>167</w:t>
            </w:r>
          </w:p>
        </w:tc>
        <w:tc>
          <w:tcPr>
            <w:tcW w:type="dxa" w:w="3960"/>
            <w:vAlign w:val="center"/>
          </w:tcPr>
          <w:p>
            <w:pPr>
              <w:spacing w:after="0"/>
              <w:jc w:val="left"/>
            </w:pPr>
            <w:r>
              <w:rPr>
                <w:rFonts w:ascii="Calibri" w:hAnsi="Calibri"/>
                <w:b w:val="0"/>
                <w:i w:val="0"/>
                <w:color w:val="202A33"/>
                <w:sz w:val="19"/>
              </w:rPr>
              <w:t>W 4 St-Wash Sq</w:t>
            </w:r>
          </w:p>
        </w:tc>
        <w:tc>
          <w:tcPr>
            <w:tcW w:type="dxa" w:w="2808"/>
            <w:vAlign w:val="center"/>
          </w:tcPr>
          <w:p>
            <w:pPr>
              <w:spacing w:after="0"/>
              <w:jc w:val="left"/>
            </w:pPr>
            <w:r>
              <w:rPr>
                <w:rFonts w:ascii="Calibri" w:hAnsi="Calibri"/>
                <w:b w:val="0"/>
                <w:i w:val="0"/>
                <w:color w:val="202A33"/>
                <w:sz w:val="19"/>
              </w:rPr>
              <w:t>A, C, E, B, D, F, M</w:t>
            </w:r>
          </w:p>
        </w:tc>
      </w:tr>
      <w:tr>
        <w:tc>
          <w:tcPr>
            <w:tcW w:type="dxa" w:w="1224"/>
            <w:vAlign w:val="center"/>
          </w:tcPr>
          <w:p>
            <w:pPr>
              <w:spacing w:after="0"/>
              <w:jc w:val="center"/>
            </w:pPr>
            <w:r>
              <w:rPr>
                <w:rFonts w:ascii="Calibri" w:hAnsi="Calibri"/>
                <w:b w:val="0"/>
                <w:i w:val="0"/>
                <w:color w:val="202A33"/>
                <w:sz w:val="19"/>
              </w:rPr>
              <w:t>3</w:t>
            </w:r>
          </w:p>
        </w:tc>
        <w:tc>
          <w:tcPr>
            <w:tcW w:type="dxa" w:w="1368"/>
            <w:vAlign w:val="center"/>
          </w:tcPr>
          <w:p>
            <w:pPr>
              <w:spacing w:after="0"/>
              <w:jc w:val="left"/>
            </w:pPr>
            <w:r>
              <w:rPr>
                <w:rFonts w:ascii="Calibri" w:hAnsi="Calibri"/>
                <w:b w:val="0"/>
                <w:i w:val="0"/>
                <w:color w:val="202A33"/>
                <w:sz w:val="19"/>
              </w:rPr>
              <w:t>407</w:t>
            </w:r>
          </w:p>
        </w:tc>
        <w:tc>
          <w:tcPr>
            <w:tcW w:type="dxa" w:w="3960"/>
            <w:vAlign w:val="center"/>
          </w:tcPr>
          <w:p>
            <w:pPr>
              <w:spacing w:after="0"/>
              <w:jc w:val="left"/>
            </w:pPr>
            <w:r>
              <w:rPr>
                <w:rFonts w:ascii="Calibri" w:hAnsi="Calibri"/>
                <w:b w:val="0"/>
                <w:i w:val="0"/>
                <w:color w:val="202A33"/>
                <w:sz w:val="19"/>
              </w:rPr>
              <w:t>Astor Pl</w:t>
            </w:r>
          </w:p>
        </w:tc>
        <w:tc>
          <w:tcPr>
            <w:tcW w:type="dxa" w:w="2808"/>
            <w:vAlign w:val="center"/>
          </w:tcPr>
          <w:p>
            <w:pPr>
              <w:spacing w:after="0"/>
              <w:jc w:val="left"/>
            </w:pPr>
            <w:r>
              <w:rPr>
                <w:rFonts w:ascii="Calibri" w:hAnsi="Calibri"/>
                <w:b w:val="0"/>
                <w:i w:val="0"/>
                <w:color w:val="202A33"/>
                <w:sz w:val="19"/>
              </w:rPr>
              <w:t>6</w:t>
            </w:r>
          </w:p>
        </w:tc>
      </w:tr>
      <w:tr>
        <w:tc>
          <w:tcPr>
            <w:tcW w:type="dxa" w:w="1224"/>
            <w:vAlign w:val="center"/>
          </w:tcPr>
          <w:p>
            <w:pPr>
              <w:spacing w:after="0"/>
              <w:jc w:val="center"/>
            </w:pPr>
            <w:r>
              <w:rPr>
                <w:rFonts w:ascii="Calibri" w:hAnsi="Calibri"/>
                <w:b w:val="0"/>
                <w:i w:val="0"/>
                <w:color w:val="202A33"/>
                <w:sz w:val="19"/>
              </w:rPr>
              <w:t>4</w:t>
            </w:r>
          </w:p>
        </w:tc>
        <w:tc>
          <w:tcPr>
            <w:tcW w:type="dxa" w:w="1368"/>
            <w:vAlign w:val="center"/>
          </w:tcPr>
          <w:p>
            <w:pPr>
              <w:spacing w:after="0"/>
              <w:jc w:val="left"/>
            </w:pPr>
            <w:r>
              <w:rPr>
                <w:rFonts w:ascii="Calibri" w:hAnsi="Calibri"/>
                <w:b w:val="0"/>
                <w:i w:val="0"/>
                <w:color w:val="202A33"/>
                <w:sz w:val="19"/>
              </w:rPr>
              <w:t>619</w:t>
            </w:r>
          </w:p>
        </w:tc>
        <w:tc>
          <w:tcPr>
            <w:tcW w:type="dxa" w:w="3960"/>
            <w:vAlign w:val="center"/>
          </w:tcPr>
          <w:p>
            <w:pPr>
              <w:spacing w:after="0"/>
              <w:jc w:val="left"/>
            </w:pPr>
            <w:r>
              <w:rPr>
                <w:rFonts w:ascii="Calibri" w:hAnsi="Calibri"/>
                <w:b w:val="0"/>
                <w:i w:val="0"/>
                <w:color w:val="202A33"/>
                <w:sz w:val="19"/>
              </w:rPr>
              <w:t>Broadway-Lafayette St / Bleecker St</w:t>
            </w:r>
          </w:p>
        </w:tc>
        <w:tc>
          <w:tcPr>
            <w:tcW w:type="dxa" w:w="2808"/>
            <w:vAlign w:val="center"/>
          </w:tcPr>
          <w:p>
            <w:pPr>
              <w:spacing w:after="0"/>
              <w:jc w:val="left"/>
            </w:pPr>
            <w:r>
              <w:rPr>
                <w:rFonts w:ascii="Calibri" w:hAnsi="Calibri"/>
                <w:b w:val="0"/>
                <w:i w:val="0"/>
                <w:color w:val="202A33"/>
                <w:sz w:val="19"/>
              </w:rPr>
              <w:t>B, D, F, M, 6</w:t>
            </w:r>
          </w:p>
        </w:tc>
      </w:tr>
    </w:tbl>
    <w:p>
      <w:pPr>
        <w:spacing w:after="20"/>
      </w:pPr>
    </w:p>
    <w:p>
      <w:r>
        <w:br w:type="page"/>
      </w:r>
    </w:p>
    <w:p>
      <w:pPr>
        <w:pStyle w:val="Heading1"/>
      </w:pPr>
      <w:r>
        <w:t>4. SQLAlchemy ORM and Service Design</w:t>
      </w:r>
    </w:p>
    <w:p>
      <w:pPr>
        <w:spacing w:after="120" w:line="264" w:lineRule="auto"/>
      </w:pPr>
      <w:r>
        <w:rPr>
          <w:rFonts w:ascii="Calibri" w:hAnsi="Calibri"/>
          <w:b w:val="0"/>
          <w:i w:val="0"/>
          <w:color w:val="202A33"/>
          <w:sz w:val="22"/>
        </w:rPr>
        <w:t>SQLAlchemy provides the database connectivity and ORM layer, satisfying the optional ORM component while keeping the application logic separated from SQL connection details. The mapped entities are Station, Ridership, Prediction, Recommendation, and UserDecision.</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24"/>
            <w:shd w:fill="F2F4F7"/>
            <w:vAlign w:val="center"/>
          </w:tcPr>
          <w:p>
            <w:pPr>
              <w:jc w:val="center"/>
            </w:pPr>
            <w:r>
              <w:rPr>
                <w:rFonts w:ascii="Calibri" w:hAnsi="Calibri"/>
                <w:b/>
                <w:i w:val="0"/>
                <w:color w:val="153A5B"/>
                <w:sz w:val="19"/>
              </w:rPr>
              <w:t>Module</w:t>
            </w:r>
          </w:p>
        </w:tc>
        <w:tc>
          <w:tcPr>
            <w:tcW w:type="dxa" w:w="6336"/>
            <w:shd w:fill="F2F4F7"/>
            <w:vAlign w:val="center"/>
          </w:tcPr>
          <w:p>
            <w:pPr>
              <w:jc w:val="center"/>
            </w:pPr>
            <w:r>
              <w:rPr>
                <w:rFonts w:ascii="Calibri" w:hAnsi="Calibri"/>
                <w:b/>
                <w:i w:val="0"/>
                <w:color w:val="153A5B"/>
                <w:sz w:val="19"/>
              </w:rPr>
              <w:t>Responsibility</w:t>
            </w:r>
          </w:p>
        </w:tc>
      </w:tr>
      <w:tr>
        <w:tc>
          <w:tcPr>
            <w:tcW w:type="dxa" w:w="3024"/>
            <w:vAlign w:val="center"/>
          </w:tcPr>
          <w:p>
            <w:pPr>
              <w:spacing w:after="0"/>
              <w:jc w:val="center"/>
            </w:pPr>
            <w:r>
              <w:rPr>
                <w:rFonts w:ascii="Calibri" w:hAnsi="Calibri"/>
                <w:b w:val="0"/>
                <w:i w:val="0"/>
                <w:color w:val="202A33"/>
                <w:sz w:val="19"/>
              </w:rPr>
              <w:t>database.py</w:t>
            </w:r>
          </w:p>
        </w:tc>
        <w:tc>
          <w:tcPr>
            <w:tcW w:type="dxa" w:w="6336"/>
            <w:vAlign w:val="center"/>
          </w:tcPr>
          <w:p>
            <w:pPr>
              <w:spacing w:after="0"/>
              <w:jc w:val="left"/>
            </w:pPr>
            <w:r>
              <w:rPr>
                <w:rFonts w:ascii="Calibri" w:hAnsi="Calibri"/>
                <w:b w:val="0"/>
                <w:i w:val="0"/>
                <w:color w:val="202A33"/>
                <w:sz w:val="19"/>
              </w:rPr>
              <w:t>Builds a password-safe PostgreSQL URL from local environment settings and creates the session factory.</w:t>
            </w:r>
          </w:p>
        </w:tc>
      </w:tr>
      <w:tr>
        <w:tc>
          <w:tcPr>
            <w:tcW w:type="dxa" w:w="3024"/>
            <w:vAlign w:val="center"/>
          </w:tcPr>
          <w:p>
            <w:pPr>
              <w:spacing w:after="0"/>
              <w:jc w:val="center"/>
            </w:pPr>
            <w:r>
              <w:rPr>
                <w:rFonts w:ascii="Calibri" w:hAnsi="Calibri"/>
                <w:b w:val="0"/>
                <w:i w:val="0"/>
                <w:color w:val="202A33"/>
                <w:sz w:val="19"/>
              </w:rPr>
              <w:t>models.py</w:t>
            </w:r>
          </w:p>
        </w:tc>
        <w:tc>
          <w:tcPr>
            <w:tcW w:type="dxa" w:w="6336"/>
            <w:vAlign w:val="center"/>
          </w:tcPr>
          <w:p>
            <w:pPr>
              <w:spacing w:after="0"/>
              <w:jc w:val="left"/>
            </w:pPr>
            <w:r>
              <w:rPr>
                <w:rFonts w:ascii="Calibri" w:hAnsi="Calibri"/>
                <w:b w:val="0"/>
                <w:i w:val="0"/>
                <w:color w:val="202A33"/>
                <w:sz w:val="19"/>
              </w:rPr>
              <w:t>Maps the existing PostgreSQL tables and foreign-key relationships.</w:t>
            </w:r>
          </w:p>
        </w:tc>
      </w:tr>
      <w:tr>
        <w:tc>
          <w:tcPr>
            <w:tcW w:type="dxa" w:w="3024"/>
            <w:vAlign w:val="center"/>
          </w:tcPr>
          <w:p>
            <w:pPr>
              <w:spacing w:after="0"/>
              <w:jc w:val="center"/>
            </w:pPr>
            <w:r>
              <w:rPr>
                <w:rFonts w:ascii="Calibri" w:hAnsi="Calibri"/>
                <w:b w:val="0"/>
                <w:i w:val="0"/>
                <w:color w:val="202A33"/>
                <w:sz w:val="19"/>
              </w:rPr>
              <w:t>load_data.py</w:t>
            </w:r>
          </w:p>
        </w:tc>
        <w:tc>
          <w:tcPr>
            <w:tcW w:type="dxa" w:w="6336"/>
            <w:vAlign w:val="center"/>
          </w:tcPr>
          <w:p>
            <w:pPr>
              <w:spacing w:after="0"/>
              <w:jc w:val="left"/>
            </w:pPr>
            <w:r>
              <w:rPr>
                <w:rFonts w:ascii="Calibri" w:hAnsi="Calibri"/>
                <w:b w:val="0"/>
                <w:i w:val="0"/>
                <w:color w:val="202A33"/>
                <w:sz w:val="19"/>
              </w:rPr>
              <w:t>Validates CSV columns, maps MTA complex IDs, inserts station-hour data, and skips duplicates.</w:t>
            </w:r>
          </w:p>
        </w:tc>
      </w:tr>
      <w:tr>
        <w:tc>
          <w:tcPr>
            <w:tcW w:type="dxa" w:w="3024"/>
            <w:vAlign w:val="center"/>
          </w:tcPr>
          <w:p>
            <w:pPr>
              <w:spacing w:after="0"/>
              <w:jc w:val="center"/>
            </w:pPr>
            <w:r>
              <w:rPr>
                <w:rFonts w:ascii="Calibri" w:hAnsi="Calibri"/>
                <w:b w:val="0"/>
                <w:i w:val="0"/>
                <w:color w:val="202A33"/>
                <w:sz w:val="19"/>
              </w:rPr>
              <w:t>prediction_service.py</w:t>
            </w:r>
          </w:p>
        </w:tc>
        <w:tc>
          <w:tcPr>
            <w:tcW w:type="dxa" w:w="6336"/>
            <w:vAlign w:val="center"/>
          </w:tcPr>
          <w:p>
            <w:pPr>
              <w:spacing w:after="0"/>
              <w:jc w:val="left"/>
            </w:pPr>
            <w:r>
              <w:rPr>
                <w:rFonts w:ascii="Calibri" w:hAnsi="Calibri"/>
                <w:b w:val="0"/>
                <w:i w:val="0"/>
                <w:color w:val="202A33"/>
                <w:sz w:val="19"/>
              </w:rPr>
              <w:t>Loads the model bundle, derives features, predicts congestion, and writes PREDICTION.</w:t>
            </w:r>
          </w:p>
        </w:tc>
      </w:tr>
      <w:tr>
        <w:tc>
          <w:tcPr>
            <w:tcW w:type="dxa" w:w="3024"/>
            <w:vAlign w:val="center"/>
          </w:tcPr>
          <w:p>
            <w:pPr>
              <w:spacing w:after="0"/>
              <w:jc w:val="center"/>
            </w:pPr>
            <w:r>
              <w:rPr>
                <w:rFonts w:ascii="Calibri" w:hAnsi="Calibri"/>
                <w:b w:val="0"/>
                <w:i w:val="0"/>
                <w:color w:val="202A33"/>
                <w:sz w:val="19"/>
              </w:rPr>
              <w:t>recommendation_service.py</w:t>
            </w:r>
          </w:p>
        </w:tc>
        <w:tc>
          <w:tcPr>
            <w:tcW w:type="dxa" w:w="6336"/>
            <w:vAlign w:val="center"/>
          </w:tcPr>
          <w:p>
            <w:pPr>
              <w:spacing w:after="0"/>
              <w:jc w:val="left"/>
            </w:pPr>
            <w:r>
              <w:rPr>
                <w:rFonts w:ascii="Calibri" w:hAnsi="Calibri"/>
                <w:b w:val="0"/>
                <w:i w:val="0"/>
                <w:color w:val="202A33"/>
                <w:sz w:val="19"/>
              </w:rPr>
              <w:t>Applies congestion-specific rules and writes RECOMMENDATION.</w:t>
            </w:r>
          </w:p>
        </w:tc>
      </w:tr>
      <w:tr>
        <w:tc>
          <w:tcPr>
            <w:tcW w:type="dxa" w:w="3024"/>
            <w:vAlign w:val="center"/>
          </w:tcPr>
          <w:p>
            <w:pPr>
              <w:spacing w:after="0"/>
              <w:jc w:val="center"/>
            </w:pPr>
            <w:r>
              <w:rPr>
                <w:rFonts w:ascii="Calibri" w:hAnsi="Calibri"/>
                <w:b w:val="0"/>
                <w:i w:val="0"/>
                <w:color w:val="202A33"/>
                <w:sz w:val="19"/>
              </w:rPr>
              <w:t>user_decision_service.py</w:t>
            </w:r>
          </w:p>
        </w:tc>
        <w:tc>
          <w:tcPr>
            <w:tcW w:type="dxa" w:w="6336"/>
            <w:vAlign w:val="center"/>
          </w:tcPr>
          <w:p>
            <w:pPr>
              <w:spacing w:after="0"/>
              <w:jc w:val="left"/>
            </w:pPr>
            <w:r>
              <w:rPr>
                <w:rFonts w:ascii="Calibri" w:hAnsi="Calibri"/>
                <w:b w:val="0"/>
                <w:i w:val="0"/>
                <w:color w:val="202A33"/>
                <w:sz w:val="19"/>
              </w:rPr>
              <w:t>Validates the allowed action and writes USER_DECISION.</w:t>
            </w:r>
          </w:p>
        </w:tc>
      </w:tr>
      <w:tr>
        <w:tc>
          <w:tcPr>
            <w:tcW w:type="dxa" w:w="3024"/>
            <w:vAlign w:val="center"/>
          </w:tcPr>
          <w:p>
            <w:pPr>
              <w:spacing w:after="0"/>
              <w:jc w:val="center"/>
            </w:pPr>
            <w:r>
              <w:rPr>
                <w:rFonts w:ascii="Calibri" w:hAnsi="Calibri"/>
                <w:b w:val="0"/>
                <w:i w:val="0"/>
                <w:color w:val="202A33"/>
                <w:sz w:val="19"/>
              </w:rPr>
              <w:t>app.py</w:t>
            </w:r>
          </w:p>
        </w:tc>
        <w:tc>
          <w:tcPr>
            <w:tcW w:type="dxa" w:w="6336"/>
            <w:vAlign w:val="center"/>
          </w:tcPr>
          <w:p>
            <w:pPr>
              <w:spacing w:after="0"/>
              <w:jc w:val="left"/>
            </w:pPr>
            <w:r>
              <w:rPr>
                <w:rFonts w:ascii="Calibri" w:hAnsi="Calibri"/>
                <w:b w:val="0"/>
                <w:i w:val="0"/>
                <w:color w:val="202A33"/>
                <w:sz w:val="19"/>
              </w:rPr>
              <w:t>Coordinates the user-facing Streamlit workflow and session state.</w:t>
            </w:r>
          </w:p>
        </w:tc>
      </w:tr>
    </w:tbl>
    <w:p>
      <w:pPr>
        <w:spacing w:after="20"/>
      </w:pPr>
    </w:p>
    <w:p>
      <w:pPr>
        <w:pStyle w:val="Heading1"/>
      </w:pPr>
      <w:r>
        <w:t>5. Future Congestion Prediction</w:t>
      </w:r>
    </w:p>
    <w:p>
      <w:pPr>
        <w:spacing w:after="120" w:line="264" w:lineRule="auto"/>
      </w:pPr>
      <w:r>
        <w:rPr>
          <w:rFonts w:ascii="Calibri" w:hAnsi="Calibri"/>
          <w:b w:val="0"/>
          <w:i w:val="0"/>
          <w:color w:val="202A33"/>
          <w:sz w:val="22"/>
        </w:rPr>
        <w:t>The production model expects hour, day of week, month, weekend indicator, MTA station complex ID, and transfers. Because transfers for a future hour are not yet observed, the service queries PostgreSQL for the historical average transfers for the same station, weekday, and hour, with a station-level fallback. This creates a reproducible feature vector without treating future ridership as known.</w:t>
      </w:r>
    </w:p>
    <w:p>
      <w:pPr>
        <w:keepNext/>
        <w:jc w:val="center"/>
      </w:pPr>
      <w:r>
        <w:drawing>
          <wp:inline xmlns:a="http://schemas.openxmlformats.org/drawingml/2006/main" xmlns:pic="http://schemas.openxmlformats.org/drawingml/2006/picture">
            <wp:extent cx="4572000" cy="3713098"/>
            <wp:docPr id="6" name="Picture 6"/>
            <wp:cNvGraphicFramePr>
              <a:graphicFrameLocks noChangeAspect="1"/>
            </wp:cNvGraphicFramePr>
            <a:graphic>
              <a:graphicData uri="http://schemas.openxmlformats.org/drawingml/2006/picture">
                <pic:pic>
                  <pic:nvPicPr>
                    <pic:cNvPr id="0" name="螢幕擷取畫面 2026-08-09 170517.png"/>
                    <pic:cNvPicPr/>
                  </pic:nvPicPr>
                  <pic:blipFill>
                    <a:blip r:embed="rId15"/>
                    <a:stretch>
                      <a:fillRect/>
                    </a:stretch>
                  </pic:blipFill>
                  <pic:spPr>
                    <a:xfrm>
                      <a:off x="0" y="0"/>
                      <a:ext cx="4572000" cy="3713098"/>
                    </a:xfrm>
                    <a:prstGeom prst="rect"/>
                  </pic:spPr>
                </pic:pic>
              </a:graphicData>
            </a:graphic>
          </wp:inline>
        </w:drawing>
      </w:r>
    </w:p>
    <w:p>
      <w:pPr>
        <w:spacing w:before="80" w:after="200"/>
        <w:jc w:val="center"/>
      </w:pPr>
      <w:r>
        <w:rPr>
          <w:rFonts w:ascii="Calibri" w:hAnsi="Calibri"/>
          <w:b/>
          <w:i w:val="0"/>
          <w:color w:val="66717E"/>
          <w:sz w:val="18"/>
        </w:rPr>
        <w:t>Figure 5. Future congestion prediction for September 1, 2026</w:t>
      </w:r>
    </w:p>
    <w:p>
      <w:pPr>
        <w:spacing w:after="120" w:line="264" w:lineRule="auto"/>
      </w:pPr>
      <w:r>
        <w:rPr>
          <w:rFonts w:ascii="Calibri" w:hAnsi="Calibri"/>
          <w:b w:val="0"/>
          <w:i w:val="0"/>
          <w:color w:val="202A33"/>
          <w:sz w:val="22"/>
        </w:rPr>
        <w:t>In the demonstrated case, 8 St-NYU at 6:00 PM on September 1, 2026 was classified as Medium congestion with 65.0% confidence. The service persisted Prediction ID 3 before generating the recommendation.</w:t>
      </w:r>
    </w:p>
    <w:p>
      <w:r>
        <w:br w:type="page"/>
      </w:r>
    </w:p>
    <w:p>
      <w:pPr>
        <w:pStyle w:val="Heading1"/>
      </w:pPr>
      <w:r>
        <w:t>6. Recommendation Generation</w:t>
      </w:r>
    </w:p>
    <w:p>
      <w:pPr>
        <w:spacing w:after="120" w:line="264" w:lineRule="auto"/>
      </w:pPr>
      <w:r>
        <w:rPr>
          <w:rFonts w:ascii="Calibri" w:hAnsi="Calibri"/>
          <w:b w:val="0"/>
          <w:i w:val="0"/>
          <w:color w:val="202A33"/>
          <w:sz w:val="22"/>
        </w:rPr>
        <w:t>The recommendation engine is deliberately rule-based so that its actions remain explainable and auditable. The machine-learning model determines the congestion class; the recommendation service translates that class into an operational response.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shd w:fill="F2F4F7"/>
            <w:vAlign w:val="center"/>
          </w:tcPr>
          <w:p>
            <w:pPr>
              <w:jc w:val="center"/>
            </w:pPr>
            <w:r>
              <w:rPr>
                <w:rFonts w:ascii="Calibri" w:hAnsi="Calibri"/>
                <w:b/>
                <w:i w:val="0"/>
                <w:color w:val="153A5B"/>
                <w:sz w:val="19"/>
              </w:rPr>
              <w:t>Predicted level</w:t>
            </w:r>
          </w:p>
        </w:tc>
        <w:tc>
          <w:tcPr>
            <w:tcW w:type="dxa" w:w="5400"/>
            <w:shd w:fill="F2F4F7"/>
            <w:vAlign w:val="center"/>
          </w:tcPr>
          <w:p>
            <w:pPr>
              <w:jc w:val="center"/>
            </w:pPr>
            <w:r>
              <w:rPr>
                <w:rFonts w:ascii="Calibri" w:hAnsi="Calibri"/>
                <w:b/>
                <w:i w:val="0"/>
                <w:color w:val="153A5B"/>
                <w:sz w:val="19"/>
              </w:rPr>
              <w:t>Implemented action</w:t>
            </w:r>
          </w:p>
        </w:tc>
        <w:tc>
          <w:tcPr>
            <w:tcW w:type="dxa" w:w="2160"/>
            <w:shd w:fill="F2F4F7"/>
            <w:vAlign w:val="center"/>
          </w:tcPr>
          <w:p>
            <w:pPr>
              <w:jc w:val="center"/>
            </w:pPr>
            <w:r>
              <w:rPr>
                <w:rFonts w:ascii="Calibri" w:hAnsi="Calibri"/>
                <w:b/>
                <w:i w:val="0"/>
                <w:color w:val="153A5B"/>
                <w:sz w:val="19"/>
              </w:rPr>
              <w:t>Incentive</w:t>
            </w:r>
          </w:p>
        </w:tc>
      </w:tr>
      <w:tr>
        <w:tc>
          <w:tcPr>
            <w:tcW w:type="dxa" w:w="1800"/>
            <w:vAlign w:val="center"/>
          </w:tcPr>
          <w:p>
            <w:pPr>
              <w:spacing w:after="0"/>
              <w:jc w:val="center"/>
            </w:pPr>
            <w:r>
              <w:rPr>
                <w:rFonts w:ascii="Calibri" w:hAnsi="Calibri"/>
                <w:b w:val="0"/>
                <w:i w:val="0"/>
                <w:color w:val="202A33"/>
                <w:sz w:val="19"/>
              </w:rPr>
              <w:t>High</w:t>
            </w:r>
          </w:p>
        </w:tc>
        <w:tc>
          <w:tcPr>
            <w:tcW w:type="dxa" w:w="5400"/>
            <w:vAlign w:val="center"/>
          </w:tcPr>
          <w:p>
            <w:pPr>
              <w:spacing w:after="0"/>
              <w:jc w:val="left"/>
            </w:pPr>
            <w:r>
              <w:rPr>
                <w:rFonts w:ascii="Calibri" w:hAnsi="Calibri"/>
                <w:b w:val="0"/>
                <w:i w:val="0"/>
                <w:color w:val="202A33"/>
                <w:sz w:val="19"/>
              </w:rPr>
              <w:t>Suggest a mapped alternate station or depart 30 minutes later.</w:t>
            </w:r>
          </w:p>
        </w:tc>
        <w:tc>
          <w:tcPr>
            <w:tcW w:type="dxa" w:w="2160"/>
            <w:vAlign w:val="center"/>
          </w:tcPr>
          <w:p>
            <w:pPr>
              <w:spacing w:after="0"/>
              <w:jc w:val="left"/>
            </w:pPr>
            <w:r>
              <w:rPr>
                <w:rFonts w:ascii="Calibri" w:hAnsi="Calibri"/>
                <w:b w:val="0"/>
                <w:i w:val="0"/>
                <w:color w:val="202A33"/>
                <w:sz w:val="19"/>
              </w:rPr>
              <w:t>Off-peak travel credit recommended</w:t>
            </w:r>
          </w:p>
        </w:tc>
      </w:tr>
      <w:tr>
        <w:tc>
          <w:tcPr>
            <w:tcW w:type="dxa" w:w="1800"/>
            <w:vAlign w:val="center"/>
          </w:tcPr>
          <w:p>
            <w:pPr>
              <w:spacing w:after="0"/>
              <w:jc w:val="center"/>
            </w:pPr>
            <w:r>
              <w:rPr>
                <w:rFonts w:ascii="Calibri" w:hAnsi="Calibri"/>
                <w:b w:val="0"/>
                <w:i w:val="0"/>
                <w:color w:val="202A33"/>
                <w:sz w:val="19"/>
              </w:rPr>
              <w:t>Medium</w:t>
            </w:r>
          </w:p>
        </w:tc>
        <w:tc>
          <w:tcPr>
            <w:tcW w:type="dxa" w:w="5400"/>
            <w:vAlign w:val="center"/>
          </w:tcPr>
          <w:p>
            <w:pPr>
              <w:spacing w:after="0"/>
              <w:jc w:val="left"/>
            </w:pPr>
            <w:r>
              <w:rPr>
                <w:rFonts w:ascii="Calibri" w:hAnsi="Calibri"/>
                <w:b w:val="0"/>
                <w:i w:val="0"/>
                <w:color w:val="202A33"/>
                <w:sz w:val="19"/>
              </w:rPr>
              <w:t>Keep the selected station but depart 15 minutes later.</w:t>
            </w:r>
          </w:p>
        </w:tc>
        <w:tc>
          <w:tcPr>
            <w:tcW w:type="dxa" w:w="2160"/>
            <w:vAlign w:val="center"/>
          </w:tcPr>
          <w:p>
            <w:pPr>
              <w:spacing w:after="0"/>
              <w:jc w:val="left"/>
            </w:pPr>
            <w:r>
              <w:rPr>
                <w:rFonts w:ascii="Calibri" w:hAnsi="Calibri"/>
                <w:b w:val="0"/>
                <w:i w:val="0"/>
                <w:color w:val="202A33"/>
                <w:sz w:val="19"/>
              </w:rPr>
              <w:t>No incentive required</w:t>
            </w:r>
          </w:p>
        </w:tc>
      </w:tr>
      <w:tr>
        <w:tc>
          <w:tcPr>
            <w:tcW w:type="dxa" w:w="1800"/>
            <w:vAlign w:val="center"/>
          </w:tcPr>
          <w:p>
            <w:pPr>
              <w:spacing w:after="0"/>
              <w:jc w:val="center"/>
            </w:pPr>
            <w:r>
              <w:rPr>
                <w:rFonts w:ascii="Calibri" w:hAnsi="Calibri"/>
                <w:b w:val="0"/>
                <w:i w:val="0"/>
                <w:color w:val="202A33"/>
                <w:sz w:val="19"/>
              </w:rPr>
              <w:t>Low</w:t>
            </w:r>
          </w:p>
        </w:tc>
        <w:tc>
          <w:tcPr>
            <w:tcW w:type="dxa" w:w="5400"/>
            <w:vAlign w:val="center"/>
          </w:tcPr>
          <w:p>
            <w:pPr>
              <w:spacing w:after="0"/>
              <w:jc w:val="left"/>
            </w:pPr>
            <w:r>
              <w:rPr>
                <w:rFonts w:ascii="Calibri" w:hAnsi="Calibri"/>
                <w:b w:val="0"/>
                <w:i w:val="0"/>
                <w:color w:val="202A33"/>
                <w:sz w:val="19"/>
              </w:rPr>
              <w:t>Keep the original station and departure time.</w:t>
            </w:r>
          </w:p>
        </w:tc>
        <w:tc>
          <w:tcPr>
            <w:tcW w:type="dxa" w:w="2160"/>
            <w:vAlign w:val="center"/>
          </w:tcPr>
          <w:p>
            <w:pPr>
              <w:spacing w:after="0"/>
              <w:jc w:val="left"/>
            </w:pPr>
            <w:r>
              <w:rPr>
                <w:rFonts w:ascii="Calibri" w:hAnsi="Calibri"/>
                <w:b w:val="0"/>
                <w:i w:val="0"/>
                <w:color w:val="202A33"/>
                <w:sz w:val="19"/>
              </w:rPr>
              <w:t>No incentive required</w:t>
            </w:r>
          </w:p>
        </w:tc>
      </w:tr>
    </w:tbl>
    <w:p>
      <w:pPr>
        <w:spacing w:after="20"/>
      </w:pPr>
    </w:p>
    <w:p>
      <w:pPr>
        <w:pStyle w:val="Heading1"/>
      </w:pPr>
      <w:r>
        <w:t>7. User Decision Transaction</w:t>
      </w:r>
    </w:p>
    <w:p>
      <w:pPr>
        <w:spacing w:after="120" w:line="264" w:lineRule="auto"/>
      </w:pPr>
      <w:r>
        <w:rPr>
          <w:rFonts w:ascii="Calibri" w:hAnsi="Calibri"/>
          <w:b w:val="0"/>
          <w:i w:val="0"/>
          <w:color w:val="202A33"/>
          <w:sz w:val="22"/>
        </w:rPr>
        <w:t>The application records the commuter's response after presenting the recommendation. The service maps user-friendly actions to the CHECK-constrained values already defined in Part III (Accepted, Rejected, Ignored, or Followed). Duplicate submissions for the same recommendation are prevented at the service layer.</w:t>
      </w:r>
    </w:p>
    <w:p>
      <w:pPr>
        <w:keepNext/>
        <w:jc w:val="center"/>
      </w:pPr>
      <w:r>
        <w:drawing>
          <wp:inline xmlns:a="http://schemas.openxmlformats.org/drawingml/2006/main" xmlns:pic="http://schemas.openxmlformats.org/drawingml/2006/picture">
            <wp:extent cx="4160520" cy="3740383"/>
            <wp:docPr id="7" name="Picture 7"/>
            <wp:cNvGraphicFramePr>
              <a:graphicFrameLocks noChangeAspect="1"/>
            </wp:cNvGraphicFramePr>
            <a:graphic>
              <a:graphicData uri="http://schemas.openxmlformats.org/drawingml/2006/picture">
                <pic:pic>
                  <pic:nvPicPr>
                    <pic:cNvPr id="0" name="螢幕擷取畫面 2026-08-09 175235.png"/>
                    <pic:cNvPicPr/>
                  </pic:nvPicPr>
                  <pic:blipFill>
                    <a:blip r:embed="rId16"/>
                    <a:stretch>
                      <a:fillRect/>
                    </a:stretch>
                  </pic:blipFill>
                  <pic:spPr>
                    <a:xfrm>
                      <a:off x="0" y="0"/>
                      <a:ext cx="4160520" cy="3740383"/>
                    </a:xfrm>
                    <a:prstGeom prst="rect"/>
                  </pic:spPr>
                </pic:pic>
              </a:graphicData>
            </a:graphic>
          </wp:inline>
        </w:drawing>
      </w:r>
    </w:p>
    <w:p>
      <w:pPr>
        <w:spacing w:before="80" w:after="200"/>
        <w:jc w:val="center"/>
      </w:pPr>
      <w:r>
        <w:rPr>
          <w:rFonts w:ascii="Calibri" w:hAnsi="Calibri"/>
          <w:b/>
          <w:i w:val="0"/>
          <w:color w:val="66717E"/>
          <w:sz w:val="18"/>
        </w:rPr>
        <w:t>Figure 6. Accepted future recommendation persisted as Decision ID 3</w:t>
      </w:r>
    </w:p>
    <w:p>
      <w:pPr>
        <w:spacing w:after="120" w:line="264" w:lineRule="auto"/>
      </w:pPr>
      <w:r>
        <w:rPr>
          <w:rFonts w:ascii="Calibri" w:hAnsi="Calibri"/>
          <w:b w:val="0"/>
          <w:i w:val="0"/>
          <w:color w:val="202A33"/>
          <w:sz w:val="22"/>
        </w:rPr>
        <w:t>The completed workflow is traceable as Prediction ID 3 -&gt; Recommendation ID 3 -&gt; Decision ID 3. This transaction is the critical connection between analytical insight and OLTP behavior.</w:t>
      </w:r>
    </w:p>
    <w:p>
      <w:r>
        <w:br w:type="page"/>
      </w:r>
    </w:p>
    <w:p>
      <w:pPr>
        <w:pStyle w:val="Heading1"/>
      </w:pPr>
      <w:r>
        <w:t>8. Streamlit End-to-End Application</w:t>
      </w:r>
    </w:p>
    <w:p>
      <w:pPr>
        <w:spacing w:after="120" w:line="264" w:lineRule="auto"/>
      </w:pPr>
      <w:r>
        <w:rPr>
          <w:rFonts w:ascii="Calibri" w:hAnsi="Calibri"/>
          <w:b w:val="0"/>
          <w:i w:val="0"/>
          <w:color w:val="202A33"/>
          <w:sz w:val="22"/>
        </w:rPr>
        <w:t>The Streamlit interface provides a minimal but complete application layer. It queries the station list from PostgreSQL, restricts the date picker to future dates, warns when a month is outside the model's seasonal coverage, displays the prediction and recommendation, and exposes two transactional actions: Accept Recommendation and Keep Original Plan.</w:t>
      </w:r>
    </w:p>
    <w:p>
      <w:pPr>
        <w:pStyle w:val="Heading2"/>
      </w:pPr>
      <w:r>
        <w:t>8.1 Future-Date Controls</w:t>
      </w:r>
    </w:p>
    <w:p>
      <w:pPr>
        <w:pStyle w:val="ListBullet"/>
        <w:spacing w:after="100" w:line="264" w:lineRule="auto"/>
      </w:pPr>
      <w:r>
        <w:rPr>
          <w:rFonts w:ascii="Calibri" w:hAnsi="Calibri"/>
          <w:b w:val="0"/>
          <w:i w:val="0"/>
          <w:color w:val="202A33"/>
          <w:sz w:val="22"/>
        </w:rPr>
        <w:t>Past dates are blocked in the date picker.</w:t>
      </w:r>
    </w:p>
    <w:p>
      <w:pPr>
        <w:pStyle w:val="ListBullet"/>
        <w:spacing w:after="100" w:line="264" w:lineRule="auto"/>
      </w:pPr>
      <w:r>
        <w:rPr>
          <w:rFonts w:ascii="Calibri" w:hAnsi="Calibri"/>
          <w:b w:val="0"/>
          <w:i w:val="0"/>
          <w:color w:val="202A33"/>
          <w:sz w:val="22"/>
        </w:rPr>
        <w:t>The default prediction date is the next future date within the supported September-December seasonal window.</w:t>
      </w:r>
    </w:p>
    <w:p>
      <w:pPr>
        <w:pStyle w:val="ListBullet"/>
        <w:spacing w:after="100" w:line="264" w:lineRule="auto"/>
      </w:pPr>
      <w:r>
        <w:rPr>
          <w:rFonts w:ascii="Calibri" w:hAnsi="Calibri"/>
          <w:b w:val="0"/>
          <w:i w:val="0"/>
          <w:color w:val="202A33"/>
          <w:sz w:val="22"/>
        </w:rPr>
        <w:t>Historical integration tests remain in the database as development evidence but are not used as the final future-prediction demonstration.</w:t>
      </w:r>
    </w:p>
    <w:p>
      <w:pPr>
        <w:pStyle w:val="ListBullet"/>
        <w:spacing w:after="100" w:line="264" w:lineRule="auto"/>
      </w:pPr>
      <w:r>
        <w:rPr>
          <w:rFonts w:ascii="Calibri" w:hAnsi="Calibri"/>
          <w:b w:val="0"/>
          <w:i w:val="0"/>
          <w:color w:val="202A33"/>
          <w:sz w:val="22"/>
        </w:rPr>
        <w:t>Streamlit session state retains the prediction and recommendation IDs between button clicks.</w:t>
      </w:r>
    </w:p>
    <w:p>
      <w:pPr>
        <w:pStyle w:val="Heading1"/>
      </w:pPr>
      <w:r>
        <w:t>9. Database-Driven Retraining</w:t>
      </w:r>
    </w:p>
    <w:p>
      <w:pPr>
        <w:spacing w:after="120" w:line="264" w:lineRule="auto"/>
      </w:pPr>
      <w:r>
        <w:rPr>
          <w:rFonts w:ascii="Calibri" w:hAnsi="Calibri"/>
          <w:b w:val="0"/>
          <w:i w:val="0"/>
          <w:color w:val="202A33"/>
          <w:sz w:val="22"/>
        </w:rPr>
        <w:t>The train_model.py module reads the training features from PostgreSQL instead of relying on the original Colab notebook. It sorts station-hour records chronologically and assigns the earliest 80% of timestamps to training and the latest 20% to testing. This evaluation is more representative of future prediction than the random split used during Part III.</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888"/>
            <w:shd w:fill="F2F4F7"/>
            <w:vAlign w:val="center"/>
          </w:tcPr>
          <w:p>
            <w:pPr>
              <w:jc w:val="center"/>
            </w:pPr>
            <w:r>
              <w:rPr>
                <w:rFonts w:ascii="Calibri" w:hAnsi="Calibri"/>
                <w:b/>
                <w:i w:val="0"/>
                <w:color w:val="153A5B"/>
                <w:sz w:val="19"/>
              </w:rPr>
              <w:t>Metric</w:t>
            </w:r>
          </w:p>
        </w:tc>
        <w:tc>
          <w:tcPr>
            <w:tcW w:type="dxa" w:w="5472"/>
            <w:shd w:fill="F2F4F7"/>
            <w:vAlign w:val="center"/>
          </w:tcPr>
          <w:p>
            <w:pPr>
              <w:jc w:val="center"/>
            </w:pPr>
            <w:r>
              <w:rPr>
                <w:rFonts w:ascii="Calibri" w:hAnsi="Calibri"/>
                <w:b/>
                <w:i w:val="0"/>
                <w:color w:val="153A5B"/>
                <w:sz w:val="19"/>
              </w:rPr>
              <w:t>Result</w:t>
            </w:r>
          </w:p>
        </w:tc>
      </w:tr>
      <w:tr>
        <w:tc>
          <w:tcPr>
            <w:tcW w:type="dxa" w:w="3888"/>
            <w:vAlign w:val="center"/>
          </w:tcPr>
          <w:p>
            <w:pPr>
              <w:spacing w:after="0"/>
              <w:jc w:val="center"/>
            </w:pPr>
            <w:r>
              <w:rPr>
                <w:rFonts w:ascii="Calibri" w:hAnsi="Calibri"/>
                <w:b w:val="0"/>
                <w:i w:val="0"/>
                <w:color w:val="202A33"/>
                <w:sz w:val="19"/>
              </w:rPr>
              <w:t>Database rows read</w:t>
            </w:r>
          </w:p>
        </w:tc>
        <w:tc>
          <w:tcPr>
            <w:tcW w:type="dxa" w:w="5472"/>
            <w:vAlign w:val="center"/>
          </w:tcPr>
          <w:p>
            <w:pPr>
              <w:spacing w:after="0"/>
              <w:jc w:val="left"/>
            </w:pPr>
            <w:r>
              <w:rPr>
                <w:rFonts w:ascii="Calibri" w:hAnsi="Calibri"/>
                <w:b w:val="0"/>
                <w:i w:val="0"/>
                <w:color w:val="202A33"/>
                <w:sz w:val="19"/>
              </w:rPr>
              <w:t>11,667</w:t>
            </w:r>
          </w:p>
        </w:tc>
      </w:tr>
      <w:tr>
        <w:tc>
          <w:tcPr>
            <w:tcW w:type="dxa" w:w="3888"/>
            <w:vAlign w:val="center"/>
          </w:tcPr>
          <w:p>
            <w:pPr>
              <w:spacing w:after="0"/>
              <w:jc w:val="center"/>
            </w:pPr>
            <w:r>
              <w:rPr>
                <w:rFonts w:ascii="Calibri" w:hAnsi="Calibri"/>
                <w:b w:val="0"/>
                <w:i w:val="0"/>
                <w:color w:val="202A33"/>
                <w:sz w:val="19"/>
              </w:rPr>
              <w:t>Training rows</w:t>
            </w:r>
          </w:p>
        </w:tc>
        <w:tc>
          <w:tcPr>
            <w:tcW w:type="dxa" w:w="5472"/>
            <w:vAlign w:val="center"/>
          </w:tcPr>
          <w:p>
            <w:pPr>
              <w:spacing w:after="0"/>
              <w:jc w:val="left"/>
            </w:pPr>
            <w:r>
              <w:rPr>
                <w:rFonts w:ascii="Calibri" w:hAnsi="Calibri"/>
                <w:b w:val="0"/>
                <w:i w:val="0"/>
                <w:color w:val="202A33"/>
                <w:sz w:val="19"/>
              </w:rPr>
              <w:t>9,327</w:t>
            </w:r>
          </w:p>
        </w:tc>
      </w:tr>
      <w:tr>
        <w:tc>
          <w:tcPr>
            <w:tcW w:type="dxa" w:w="3888"/>
            <w:vAlign w:val="center"/>
          </w:tcPr>
          <w:p>
            <w:pPr>
              <w:spacing w:after="0"/>
              <w:jc w:val="center"/>
            </w:pPr>
            <w:r>
              <w:rPr>
                <w:rFonts w:ascii="Calibri" w:hAnsi="Calibri"/>
                <w:b w:val="0"/>
                <w:i w:val="0"/>
                <w:color w:val="202A33"/>
                <w:sz w:val="19"/>
              </w:rPr>
              <w:t>Test rows</w:t>
            </w:r>
          </w:p>
        </w:tc>
        <w:tc>
          <w:tcPr>
            <w:tcW w:type="dxa" w:w="5472"/>
            <w:vAlign w:val="center"/>
          </w:tcPr>
          <w:p>
            <w:pPr>
              <w:spacing w:after="0"/>
              <w:jc w:val="left"/>
            </w:pPr>
            <w:r>
              <w:rPr>
                <w:rFonts w:ascii="Calibri" w:hAnsi="Calibri"/>
                <w:b w:val="0"/>
                <w:i w:val="0"/>
                <w:color w:val="202A33"/>
                <w:sz w:val="19"/>
              </w:rPr>
              <w:t>2,340</w:t>
            </w:r>
          </w:p>
        </w:tc>
      </w:tr>
      <w:tr>
        <w:tc>
          <w:tcPr>
            <w:tcW w:type="dxa" w:w="3888"/>
            <w:vAlign w:val="center"/>
          </w:tcPr>
          <w:p>
            <w:pPr>
              <w:spacing w:after="0"/>
              <w:jc w:val="center"/>
            </w:pPr>
            <w:r>
              <w:rPr>
                <w:rFonts w:ascii="Calibri" w:hAnsi="Calibri"/>
                <w:b w:val="0"/>
                <w:i w:val="0"/>
                <w:color w:val="202A33"/>
                <w:sz w:val="19"/>
              </w:rPr>
              <w:t>Chronological cutoff</w:t>
            </w:r>
          </w:p>
        </w:tc>
        <w:tc>
          <w:tcPr>
            <w:tcW w:type="dxa" w:w="5472"/>
            <w:vAlign w:val="center"/>
          </w:tcPr>
          <w:p>
            <w:pPr>
              <w:spacing w:after="0"/>
              <w:jc w:val="left"/>
            </w:pPr>
            <w:r>
              <w:rPr>
                <w:rFonts w:ascii="Calibri" w:hAnsi="Calibri"/>
                <w:b w:val="0"/>
                <w:i w:val="0"/>
                <w:color w:val="202A33"/>
                <w:sz w:val="19"/>
              </w:rPr>
              <w:t>December 7, 2024 at 3:00 PM</w:t>
            </w:r>
          </w:p>
        </w:tc>
      </w:tr>
      <w:tr>
        <w:tc>
          <w:tcPr>
            <w:tcW w:type="dxa" w:w="3888"/>
            <w:vAlign w:val="center"/>
          </w:tcPr>
          <w:p>
            <w:pPr>
              <w:spacing w:after="0"/>
              <w:jc w:val="center"/>
            </w:pPr>
            <w:r>
              <w:rPr>
                <w:rFonts w:ascii="Calibri" w:hAnsi="Calibri"/>
                <w:b w:val="0"/>
                <w:i w:val="0"/>
                <w:color w:val="202A33"/>
                <w:sz w:val="19"/>
              </w:rPr>
              <w:t>Candidate-model test accuracy</w:t>
            </w:r>
          </w:p>
        </w:tc>
        <w:tc>
          <w:tcPr>
            <w:tcW w:type="dxa" w:w="5472"/>
            <w:vAlign w:val="center"/>
          </w:tcPr>
          <w:p>
            <w:pPr>
              <w:spacing w:after="0"/>
              <w:jc w:val="left"/>
            </w:pPr>
            <w:r>
              <w:rPr>
                <w:rFonts w:ascii="Calibri" w:hAnsi="Calibri"/>
                <w:b w:val="0"/>
                <w:i w:val="0"/>
                <w:color w:val="202A33"/>
                <w:sz w:val="19"/>
              </w:rPr>
              <w:t>76.75%</w:t>
            </w:r>
          </w:p>
        </w:tc>
      </w:tr>
      <w:tr>
        <w:tc>
          <w:tcPr>
            <w:tcW w:type="dxa" w:w="3888"/>
            <w:vAlign w:val="center"/>
          </w:tcPr>
          <w:p>
            <w:pPr>
              <w:spacing w:after="0"/>
              <w:jc w:val="center"/>
            </w:pPr>
            <w:r>
              <w:rPr>
                <w:rFonts w:ascii="Calibri" w:hAnsi="Calibri"/>
                <w:b w:val="0"/>
                <w:i w:val="0"/>
                <w:color w:val="202A33"/>
                <w:sz w:val="19"/>
              </w:rPr>
              <w:t>Part III random-split accuracy</w:t>
            </w:r>
          </w:p>
        </w:tc>
        <w:tc>
          <w:tcPr>
            <w:tcW w:type="dxa" w:w="5472"/>
            <w:vAlign w:val="center"/>
          </w:tcPr>
          <w:p>
            <w:pPr>
              <w:spacing w:after="0"/>
              <w:jc w:val="left"/>
            </w:pPr>
            <w:r>
              <w:rPr>
                <w:rFonts w:ascii="Calibri" w:hAnsi="Calibri"/>
                <w:b w:val="0"/>
                <w:i w:val="0"/>
                <w:color w:val="202A33"/>
                <w:sz w:val="19"/>
              </w:rPr>
              <w:t>84.8%</w:t>
            </w:r>
          </w:p>
        </w:tc>
      </w:tr>
    </w:tbl>
    <w:p>
      <w:pPr>
        <w:spacing w:after="20"/>
      </w:pPr>
    </w:p>
    <w:p>
      <w:pPr>
        <w:spacing w:after="120" w:line="264" w:lineRule="auto"/>
      </w:pPr>
      <w:r>
        <w:rPr>
          <w:rFonts w:ascii="Calibri" w:hAnsi="Calibri"/>
          <w:b w:val="0"/>
          <w:i w:val="0"/>
          <w:color w:val="202A33"/>
          <w:sz w:val="22"/>
        </w:rPr>
        <w:t>The retraining process writes a candidate model and JSON evaluation report without automatically replacing the production artifact. This separation reduces the risk of deploying an unevaluated model.</w:t>
      </w:r>
    </w:p>
    <w:p>
      <w:r>
        <w:br w:type="page"/>
      </w:r>
    </w:p>
    <w:p>
      <w:pPr>
        <w:pStyle w:val="Heading1"/>
      </w:pPr>
      <w:r>
        <w:t>10. Query Optimization</w:t>
      </w:r>
    </w:p>
    <w:p>
      <w:pPr>
        <w:spacing w:after="120" w:line="264" w:lineRule="auto"/>
      </w:pPr>
      <w:r>
        <w:rPr>
          <w:rFonts w:ascii="Calibri" w:hAnsi="Calibri"/>
          <w:b w:val="0"/>
          <w:i w:val="0"/>
          <w:color w:val="202A33"/>
          <w:sz w:val="22"/>
        </w:rPr>
        <w:t>EXPLAIN ANALYZE was used to verify both the historical station/time lookup and the transactional workflow reconstruction. PostgreSQL used index scans rather than scanning all ridership rows. Redundant indexes created during integration were removed after comparison with the Part III physical design.</w:t>
      </w:r>
    </w:p>
    <w:p>
      <w:pPr>
        <w:keepNext/>
        <w:jc w:val="center"/>
      </w:pPr>
      <w:r>
        <w:drawing>
          <wp:inline xmlns:a="http://schemas.openxmlformats.org/drawingml/2006/main" xmlns:pic="http://schemas.openxmlformats.org/drawingml/2006/picture">
            <wp:extent cx="5669280" cy="2504078"/>
            <wp:docPr id="8" name="Picture 8"/>
            <wp:cNvGraphicFramePr>
              <a:graphicFrameLocks noChangeAspect="1"/>
            </wp:cNvGraphicFramePr>
            <a:graphic>
              <a:graphicData uri="http://schemas.openxmlformats.org/drawingml/2006/picture">
                <pic:pic>
                  <pic:nvPicPr>
                    <pic:cNvPr id="0" name="codex-clipboard-43b1253d-b557-4ccb-9562-612c218631db.png"/>
                    <pic:cNvPicPr/>
                  </pic:nvPicPr>
                  <pic:blipFill>
                    <a:blip r:embed="rId17"/>
                    <a:stretch>
                      <a:fillRect/>
                    </a:stretch>
                  </pic:blipFill>
                  <pic:spPr>
                    <a:xfrm>
                      <a:off x="0" y="0"/>
                      <a:ext cx="5669280" cy="2504078"/>
                    </a:xfrm>
                    <a:prstGeom prst="rect"/>
                  </pic:spPr>
                </pic:pic>
              </a:graphicData>
            </a:graphic>
          </wp:inline>
        </w:drawing>
      </w:r>
    </w:p>
    <w:p>
      <w:pPr>
        <w:spacing w:before="80" w:after="200"/>
        <w:jc w:val="center"/>
      </w:pPr>
      <w:r>
        <w:rPr>
          <w:rFonts w:ascii="Calibri" w:hAnsi="Calibri"/>
          <w:b/>
          <w:i w:val="0"/>
          <w:color w:val="66717E"/>
          <w:sz w:val="18"/>
        </w:rPr>
        <w:t>Figure 7. Indexed station/time lookup; execution time 0.647 ms</w:t>
      </w:r>
    </w:p>
    <w:p>
      <w:pPr>
        <w:keepNext/>
        <w:jc w:val="center"/>
      </w:pPr>
      <w:r>
        <w:drawing>
          <wp:inline xmlns:a="http://schemas.openxmlformats.org/drawingml/2006/main" xmlns:pic="http://schemas.openxmlformats.org/drawingml/2006/picture">
            <wp:extent cx="5669280" cy="4049106"/>
            <wp:docPr id="9" name="Picture 9"/>
            <wp:cNvGraphicFramePr>
              <a:graphicFrameLocks noChangeAspect="1"/>
            </wp:cNvGraphicFramePr>
            <a:graphic>
              <a:graphicData uri="http://schemas.openxmlformats.org/drawingml/2006/picture">
                <pic:pic>
                  <pic:nvPicPr>
                    <pic:cNvPr id="0" name="codex-clipboard-3d170840-888f-4ff6-b71a-dbb04157fd5d.png"/>
                    <pic:cNvPicPr/>
                  </pic:nvPicPr>
                  <pic:blipFill>
                    <a:blip r:embed="rId18"/>
                    <a:stretch>
                      <a:fillRect/>
                    </a:stretch>
                  </pic:blipFill>
                  <pic:spPr>
                    <a:xfrm>
                      <a:off x="0" y="0"/>
                      <a:ext cx="5669280" cy="4049106"/>
                    </a:xfrm>
                    <a:prstGeom prst="rect"/>
                  </pic:spPr>
                </pic:pic>
              </a:graphicData>
            </a:graphic>
          </wp:inline>
        </w:drawing>
      </w:r>
    </w:p>
    <w:p>
      <w:pPr>
        <w:spacing w:before="80" w:after="200"/>
        <w:jc w:val="center"/>
      </w:pPr>
      <w:r>
        <w:rPr>
          <w:rFonts w:ascii="Calibri" w:hAnsi="Calibri"/>
          <w:b/>
          <w:i w:val="0"/>
          <w:color w:val="66717E"/>
          <w:sz w:val="18"/>
        </w:rPr>
        <w:t>Figure 8. Indexed end-to-end workflow JOIN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520"/>
            <w:shd w:fill="F2F4F7"/>
            <w:vAlign w:val="center"/>
          </w:tcPr>
          <w:p>
            <w:pPr>
              <w:jc w:val="center"/>
            </w:pPr>
            <w:r>
              <w:rPr>
                <w:rFonts w:ascii="Calibri" w:hAnsi="Calibri"/>
                <w:b/>
                <w:i w:val="0"/>
                <w:color w:val="153A5B"/>
                <w:sz w:val="19"/>
              </w:rPr>
              <w:t>Query</w:t>
            </w:r>
          </w:p>
        </w:tc>
        <w:tc>
          <w:tcPr>
            <w:tcW w:type="dxa" w:w="4824"/>
            <w:shd w:fill="F2F4F7"/>
            <w:vAlign w:val="center"/>
          </w:tcPr>
          <w:p>
            <w:pPr>
              <w:jc w:val="center"/>
            </w:pPr>
            <w:r>
              <w:rPr>
                <w:rFonts w:ascii="Calibri" w:hAnsi="Calibri"/>
                <w:b/>
                <w:i w:val="0"/>
                <w:color w:val="153A5B"/>
                <w:sz w:val="19"/>
              </w:rPr>
              <w:t>Index evidence</w:t>
            </w:r>
          </w:p>
        </w:tc>
        <w:tc>
          <w:tcPr>
            <w:tcW w:type="dxa" w:w="2016"/>
            <w:shd w:fill="F2F4F7"/>
            <w:vAlign w:val="center"/>
          </w:tcPr>
          <w:p>
            <w:pPr>
              <w:jc w:val="center"/>
            </w:pPr>
            <w:r>
              <w:rPr>
                <w:rFonts w:ascii="Calibri" w:hAnsi="Calibri"/>
                <w:b/>
                <w:i w:val="0"/>
                <w:color w:val="153A5B"/>
                <w:sz w:val="19"/>
              </w:rPr>
              <w:t>Observed execution</w:t>
            </w:r>
          </w:p>
        </w:tc>
      </w:tr>
      <w:tr>
        <w:tc>
          <w:tcPr>
            <w:tcW w:type="dxa" w:w="2520"/>
            <w:vAlign w:val="center"/>
          </w:tcPr>
          <w:p>
            <w:pPr>
              <w:spacing w:after="0"/>
              <w:jc w:val="center"/>
            </w:pPr>
            <w:r>
              <w:rPr>
                <w:rFonts w:ascii="Calibri" w:hAnsi="Calibri"/>
                <w:b w:val="0"/>
                <w:i w:val="0"/>
                <w:color w:val="202A33"/>
                <w:sz w:val="19"/>
              </w:rPr>
              <w:t>Station/time ridership lookup</w:t>
            </w:r>
          </w:p>
        </w:tc>
        <w:tc>
          <w:tcPr>
            <w:tcW w:type="dxa" w:w="4824"/>
            <w:vAlign w:val="center"/>
          </w:tcPr>
          <w:p>
            <w:pPr>
              <w:spacing w:after="0"/>
              <w:jc w:val="left"/>
            </w:pPr>
            <w:r>
              <w:rPr>
                <w:rFonts w:ascii="Calibri" w:hAnsi="Calibri"/>
                <w:b w:val="0"/>
                <w:i w:val="0"/>
                <w:color w:val="202A33"/>
                <w:sz w:val="19"/>
              </w:rPr>
              <w:t>ix_ridership_timestamp; ux_station_mta_complex_id</w:t>
            </w:r>
          </w:p>
        </w:tc>
        <w:tc>
          <w:tcPr>
            <w:tcW w:type="dxa" w:w="2016"/>
            <w:vAlign w:val="center"/>
          </w:tcPr>
          <w:p>
            <w:pPr>
              <w:spacing w:after="0"/>
              <w:jc w:val="left"/>
            </w:pPr>
            <w:r>
              <w:rPr>
                <w:rFonts w:ascii="Calibri" w:hAnsi="Calibri"/>
                <w:b w:val="0"/>
                <w:i w:val="0"/>
                <w:color w:val="202A33"/>
                <w:sz w:val="19"/>
              </w:rPr>
              <w:t>0.647 ms</w:t>
            </w:r>
          </w:p>
        </w:tc>
      </w:tr>
      <w:tr>
        <w:tc>
          <w:tcPr>
            <w:tcW w:type="dxa" w:w="2520"/>
            <w:vAlign w:val="center"/>
          </w:tcPr>
          <w:p>
            <w:pPr>
              <w:spacing w:after="0"/>
              <w:jc w:val="center"/>
            </w:pPr>
            <w:r>
              <w:rPr>
                <w:rFonts w:ascii="Calibri" w:hAnsi="Calibri"/>
                <w:b w:val="0"/>
                <w:i w:val="0"/>
                <w:color w:val="202A33"/>
                <w:sz w:val="19"/>
              </w:rPr>
              <w:t>Prediction workflow JOIN</w:t>
            </w:r>
          </w:p>
        </w:tc>
        <w:tc>
          <w:tcPr>
            <w:tcW w:type="dxa" w:w="4824"/>
            <w:vAlign w:val="center"/>
          </w:tcPr>
          <w:p>
            <w:pPr>
              <w:spacing w:after="0"/>
              <w:jc w:val="left"/>
            </w:pPr>
            <w:r>
              <w:rPr>
                <w:rFonts w:ascii="Calibri" w:hAnsi="Calibri"/>
                <w:b w:val="0"/>
                <w:i w:val="0"/>
                <w:color w:val="202A33"/>
                <w:sz w:val="19"/>
              </w:rPr>
              <w:t>prediction_pkey; station_pkey; idx_recommendation_prediction; ix_user_decision_recommendation</w:t>
            </w:r>
          </w:p>
        </w:tc>
        <w:tc>
          <w:tcPr>
            <w:tcW w:type="dxa" w:w="2016"/>
            <w:vAlign w:val="center"/>
          </w:tcPr>
          <w:p>
            <w:pPr>
              <w:spacing w:after="0"/>
              <w:jc w:val="left"/>
            </w:pPr>
            <w:r>
              <w:rPr>
                <w:rFonts w:ascii="Calibri" w:hAnsi="Calibri"/>
                <w:b w:val="0"/>
                <w:i w:val="0"/>
                <w:color w:val="202A33"/>
                <w:sz w:val="19"/>
              </w:rPr>
              <w:t>Sub-millisecond to low-millisecond range</w:t>
            </w:r>
          </w:p>
        </w:tc>
      </w:tr>
    </w:tbl>
    <w:p>
      <w:pPr>
        <w:spacing w:after="20"/>
      </w:pPr>
    </w:p>
    <w:p>
      <w:r>
        <w:br w:type="page"/>
      </w:r>
    </w:p>
    <w:p>
      <w:pPr>
        <w:pStyle w:val="Heading1"/>
      </w:pPr>
      <w:r>
        <w:t>11. Final Reference Architecture</w:t>
      </w:r>
    </w:p>
    <w:p>
      <w:pPr>
        <w:keepNext/>
        <w:jc w:val="center"/>
      </w:pPr>
      <w:r>
        <w:drawing>
          <wp:inline xmlns:a="http://schemas.openxmlformats.org/drawingml/2006/main" xmlns:pic="http://schemas.openxmlformats.org/drawingml/2006/picture">
            <wp:extent cx="5806440" cy="3435477"/>
            <wp:docPr id="10" name="Picture 10"/>
            <wp:cNvGraphicFramePr>
              <a:graphicFrameLocks noChangeAspect="1"/>
            </wp:cNvGraphicFramePr>
            <a:graphic>
              <a:graphicData uri="http://schemas.openxmlformats.org/drawingml/2006/picture">
                <pic:pic>
                  <pic:nvPicPr>
                    <pic:cNvPr id="0" name="part4_reference_architecture.png"/>
                    <pic:cNvPicPr/>
                  </pic:nvPicPr>
                  <pic:blipFill>
                    <a:blip r:embed="rId11"/>
                    <a:stretch>
                      <a:fillRect/>
                    </a:stretch>
                  </pic:blipFill>
                  <pic:spPr>
                    <a:xfrm>
                      <a:off x="0" y="0"/>
                      <a:ext cx="5806440" cy="3435477"/>
                    </a:xfrm>
                    <a:prstGeom prst="rect"/>
                  </pic:spPr>
                </pic:pic>
              </a:graphicData>
            </a:graphic>
          </wp:inline>
        </w:drawing>
      </w:r>
    </w:p>
    <w:p>
      <w:pPr>
        <w:spacing w:before="80" w:after="200"/>
        <w:jc w:val="center"/>
      </w:pPr>
      <w:r>
        <w:rPr>
          <w:rFonts w:ascii="Calibri" w:hAnsi="Calibri"/>
          <w:b/>
          <w:i w:val="0"/>
          <w:color w:val="66717E"/>
          <w:sz w:val="18"/>
        </w:rPr>
        <w:t>Figure 9. Final integrated reference architecture</w:t>
      </w:r>
    </w:p>
    <w:p>
      <w:pPr>
        <w:pStyle w:val="Heading2"/>
      </w:pPr>
      <w:r>
        <w:t>11.1 Architecture Layers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160"/>
            <w:shd w:fill="F2F4F7"/>
            <w:vAlign w:val="center"/>
          </w:tcPr>
          <w:p>
            <w:pPr>
              <w:jc w:val="center"/>
            </w:pPr>
            <w:r>
              <w:rPr>
                <w:rFonts w:ascii="Calibri" w:hAnsi="Calibri"/>
                <w:b/>
                <w:i w:val="0"/>
                <w:color w:val="153A5B"/>
                <w:sz w:val="19"/>
              </w:rPr>
              <w:t>Layer</w:t>
            </w:r>
          </w:p>
        </w:tc>
        <w:tc>
          <w:tcPr>
            <w:tcW w:type="dxa" w:w="7200"/>
            <w:shd w:fill="F2F4F7"/>
            <w:vAlign w:val="center"/>
          </w:tcPr>
          <w:p>
            <w:pPr>
              <w:jc w:val="center"/>
            </w:pPr>
            <w:r>
              <w:rPr>
                <w:rFonts w:ascii="Calibri" w:hAnsi="Calibri"/>
                <w:b/>
                <w:i w:val="0"/>
                <w:color w:val="153A5B"/>
                <w:sz w:val="19"/>
              </w:rPr>
              <w:t>Implemented components</w:t>
            </w:r>
          </w:p>
        </w:tc>
      </w:tr>
      <w:tr>
        <w:tc>
          <w:tcPr>
            <w:tcW w:type="dxa" w:w="2160"/>
            <w:vAlign w:val="center"/>
          </w:tcPr>
          <w:p>
            <w:pPr>
              <w:spacing w:after="0"/>
              <w:jc w:val="center"/>
            </w:pPr>
            <w:r>
              <w:rPr>
                <w:rFonts w:ascii="Calibri" w:hAnsi="Calibri"/>
                <w:b w:val="0"/>
                <w:i w:val="0"/>
                <w:color w:val="202A33"/>
                <w:sz w:val="19"/>
              </w:rPr>
              <w:t>Business</w:t>
            </w:r>
          </w:p>
        </w:tc>
        <w:tc>
          <w:tcPr>
            <w:tcW w:type="dxa" w:w="7200"/>
            <w:vAlign w:val="center"/>
          </w:tcPr>
          <w:p>
            <w:pPr>
              <w:spacing w:after="0"/>
              <w:jc w:val="left"/>
            </w:pPr>
            <w:r>
              <w:rPr>
                <w:rFonts w:ascii="Calibri" w:hAnsi="Calibri"/>
                <w:b w:val="0"/>
                <w:i w:val="0"/>
                <w:color w:val="202A33"/>
                <w:sz w:val="19"/>
              </w:rPr>
              <w:t>Future-trip planning, congestion reduction, commuter choice, auditable response.</w:t>
            </w:r>
          </w:p>
        </w:tc>
      </w:tr>
      <w:tr>
        <w:tc>
          <w:tcPr>
            <w:tcW w:type="dxa" w:w="2160"/>
            <w:vAlign w:val="center"/>
          </w:tcPr>
          <w:p>
            <w:pPr>
              <w:spacing w:after="0"/>
              <w:jc w:val="center"/>
            </w:pPr>
            <w:r>
              <w:rPr>
                <w:rFonts w:ascii="Calibri" w:hAnsi="Calibri"/>
                <w:b w:val="0"/>
                <w:i w:val="0"/>
                <w:color w:val="202A33"/>
                <w:sz w:val="19"/>
              </w:rPr>
              <w:t>Application</w:t>
            </w:r>
          </w:p>
        </w:tc>
        <w:tc>
          <w:tcPr>
            <w:tcW w:type="dxa" w:w="7200"/>
            <w:vAlign w:val="center"/>
          </w:tcPr>
          <w:p>
            <w:pPr>
              <w:spacing w:after="0"/>
              <w:jc w:val="left"/>
            </w:pPr>
            <w:r>
              <w:rPr>
                <w:rFonts w:ascii="Calibri" w:hAnsi="Calibri"/>
                <w:b w:val="0"/>
                <w:i w:val="0"/>
                <w:color w:val="202A33"/>
                <w:sz w:val="19"/>
              </w:rPr>
              <w:t>Streamlit UI; prediction, recommendation, and decision services.</w:t>
            </w:r>
          </w:p>
        </w:tc>
      </w:tr>
      <w:tr>
        <w:tc>
          <w:tcPr>
            <w:tcW w:type="dxa" w:w="2160"/>
            <w:vAlign w:val="center"/>
          </w:tcPr>
          <w:p>
            <w:pPr>
              <w:spacing w:after="0"/>
              <w:jc w:val="center"/>
            </w:pPr>
            <w:r>
              <w:rPr>
                <w:rFonts w:ascii="Calibri" w:hAnsi="Calibri"/>
                <w:b w:val="0"/>
                <w:i w:val="0"/>
                <w:color w:val="202A33"/>
                <w:sz w:val="19"/>
              </w:rPr>
              <w:t>Data / DIKW</w:t>
            </w:r>
          </w:p>
        </w:tc>
        <w:tc>
          <w:tcPr>
            <w:tcW w:type="dxa" w:w="7200"/>
            <w:vAlign w:val="center"/>
          </w:tcPr>
          <w:p>
            <w:pPr>
              <w:spacing w:after="0"/>
              <w:jc w:val="left"/>
            </w:pPr>
            <w:r>
              <w:rPr>
                <w:rFonts w:ascii="Calibri" w:hAnsi="Calibri"/>
                <w:b w:val="0"/>
                <w:i w:val="0"/>
                <w:color w:val="202A33"/>
                <w:sz w:val="19"/>
              </w:rPr>
              <w:t>Validated ridership -&gt; temporal features -&gt; congestion knowledge -&gt; actionable recommendation.</w:t>
            </w:r>
          </w:p>
        </w:tc>
      </w:tr>
      <w:tr>
        <w:tc>
          <w:tcPr>
            <w:tcW w:type="dxa" w:w="2160"/>
            <w:vAlign w:val="center"/>
          </w:tcPr>
          <w:p>
            <w:pPr>
              <w:spacing w:after="0"/>
              <w:jc w:val="center"/>
            </w:pPr>
            <w:r>
              <w:rPr>
                <w:rFonts w:ascii="Calibri" w:hAnsi="Calibri"/>
                <w:b w:val="0"/>
                <w:i w:val="0"/>
                <w:color w:val="202A33"/>
                <w:sz w:val="19"/>
              </w:rPr>
              <w:t>Integration</w:t>
            </w:r>
          </w:p>
        </w:tc>
        <w:tc>
          <w:tcPr>
            <w:tcW w:type="dxa" w:w="7200"/>
            <w:vAlign w:val="center"/>
          </w:tcPr>
          <w:p>
            <w:pPr>
              <w:spacing w:after="0"/>
              <w:jc w:val="left"/>
            </w:pPr>
            <w:r>
              <w:rPr>
                <w:rFonts w:ascii="Calibri" w:hAnsi="Calibri"/>
                <w:b w:val="0"/>
                <w:i w:val="0"/>
                <w:color w:val="202A33"/>
                <w:sz w:val="19"/>
              </w:rPr>
              <w:t>SQLAlchemy ORM, Joblib model persistence, environment-based configuration.</w:t>
            </w:r>
          </w:p>
        </w:tc>
      </w:tr>
      <w:tr>
        <w:tc>
          <w:tcPr>
            <w:tcW w:type="dxa" w:w="2160"/>
            <w:vAlign w:val="center"/>
          </w:tcPr>
          <w:p>
            <w:pPr>
              <w:spacing w:after="0"/>
              <w:jc w:val="center"/>
            </w:pPr>
            <w:r>
              <w:rPr>
                <w:rFonts w:ascii="Calibri" w:hAnsi="Calibri"/>
                <w:b w:val="0"/>
                <w:i w:val="0"/>
                <w:color w:val="202A33"/>
                <w:sz w:val="19"/>
              </w:rPr>
              <w:t>Infrastructure</w:t>
            </w:r>
          </w:p>
        </w:tc>
        <w:tc>
          <w:tcPr>
            <w:tcW w:type="dxa" w:w="7200"/>
            <w:vAlign w:val="center"/>
          </w:tcPr>
          <w:p>
            <w:pPr>
              <w:spacing w:after="0"/>
              <w:jc w:val="left"/>
            </w:pPr>
            <w:r>
              <w:rPr>
                <w:rFonts w:ascii="Calibri" w:hAnsi="Calibri"/>
                <w:b w:val="0"/>
                <w:i w:val="0"/>
                <w:color w:val="202A33"/>
                <w:sz w:val="19"/>
              </w:rPr>
              <w:t>Local PostgreSQL 18, Python runtime, indexed relational storage.</w:t>
            </w:r>
          </w:p>
        </w:tc>
      </w:tr>
    </w:tbl>
    <w:p>
      <w:pPr>
        <w:spacing w:after="20"/>
      </w:pPr>
    </w:p>
    <w:p>
      <w:r>
        <w:br w:type="page"/>
      </w:r>
    </w:p>
    <w:p>
      <w:pPr>
        <w:pStyle w:val="Heading1"/>
      </w:pPr>
      <w:r>
        <w:t>12. Testing and Results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shd w:fill="F2F4F7"/>
            <w:vAlign w:val="center"/>
          </w:tcPr>
          <w:p>
            <w:pPr>
              <w:jc w:val="center"/>
            </w:pPr>
            <w:r>
              <w:rPr>
                <w:rFonts w:ascii="Calibri" w:hAnsi="Calibri"/>
                <w:b/>
                <w:i w:val="0"/>
                <w:color w:val="153A5B"/>
                <w:sz w:val="19"/>
              </w:rPr>
              <w:t>Test</w:t>
            </w:r>
          </w:p>
        </w:tc>
        <w:tc>
          <w:tcPr>
            <w:tcW w:type="dxa" w:w="4680"/>
            <w:shd w:fill="F2F4F7"/>
            <w:vAlign w:val="center"/>
          </w:tcPr>
          <w:p>
            <w:pPr>
              <w:jc w:val="center"/>
            </w:pPr>
            <w:r>
              <w:rPr>
                <w:rFonts w:ascii="Calibri" w:hAnsi="Calibri"/>
                <w:b/>
                <w:i w:val="0"/>
                <w:color w:val="153A5B"/>
                <w:sz w:val="19"/>
              </w:rPr>
              <w:t>Expected result</w:t>
            </w:r>
          </w:p>
        </w:tc>
        <w:tc>
          <w:tcPr>
            <w:tcW w:type="dxa" w:w="2304"/>
            <w:shd w:fill="F2F4F7"/>
            <w:vAlign w:val="center"/>
          </w:tcPr>
          <w:p>
            <w:pPr>
              <w:jc w:val="center"/>
            </w:pPr>
            <w:r>
              <w:rPr>
                <w:rFonts w:ascii="Calibri" w:hAnsi="Calibri"/>
                <w:b/>
                <w:i w:val="0"/>
                <w:color w:val="153A5B"/>
                <w:sz w:val="19"/>
              </w:rPr>
              <w:t>Observed result</w:t>
            </w:r>
          </w:p>
        </w:tc>
      </w:tr>
      <w:tr>
        <w:tc>
          <w:tcPr>
            <w:tcW w:type="dxa" w:w="2376"/>
            <w:vAlign w:val="center"/>
          </w:tcPr>
          <w:p>
            <w:pPr>
              <w:spacing w:after="0"/>
              <w:jc w:val="center"/>
            </w:pPr>
            <w:r>
              <w:rPr>
                <w:rFonts w:ascii="Calibri" w:hAnsi="Calibri"/>
                <w:b w:val="0"/>
                <w:i w:val="0"/>
                <w:color w:val="202A33"/>
                <w:sz w:val="19"/>
              </w:rPr>
              <w:t>Database connection</w:t>
            </w:r>
          </w:p>
        </w:tc>
        <w:tc>
          <w:tcPr>
            <w:tcW w:type="dxa" w:w="4680"/>
            <w:vAlign w:val="center"/>
          </w:tcPr>
          <w:p>
            <w:pPr>
              <w:spacing w:after="0"/>
              <w:jc w:val="left"/>
            </w:pPr>
            <w:r>
              <w:rPr>
                <w:rFonts w:ascii="Calibri" w:hAnsi="Calibri"/>
                <w:b w:val="0"/>
                <w:i w:val="0"/>
                <w:color w:val="202A33"/>
                <w:sz w:val="19"/>
              </w:rPr>
              <w:t>Application connects to subway_congestion_db</w:t>
            </w:r>
          </w:p>
        </w:tc>
        <w:tc>
          <w:tcPr>
            <w:tcW w:type="dxa" w:w="2304"/>
            <w:vAlign w:val="center"/>
          </w:tcPr>
          <w:p>
            <w:pPr>
              <w:spacing w:after="0"/>
              <w:jc w:val="left"/>
            </w:pPr>
            <w:r>
              <w:rPr>
                <w:rFonts w:ascii="Calibri" w:hAnsi="Calibri"/>
                <w:b w:val="0"/>
                <w:i w:val="0"/>
                <w:color w:val="202A33"/>
                <w:sz w:val="19"/>
              </w:rPr>
              <w:t>Passed</w:t>
            </w:r>
          </w:p>
        </w:tc>
      </w:tr>
      <w:tr>
        <w:tc>
          <w:tcPr>
            <w:tcW w:type="dxa" w:w="2376"/>
            <w:vAlign w:val="center"/>
          </w:tcPr>
          <w:p>
            <w:pPr>
              <w:spacing w:after="0"/>
              <w:jc w:val="center"/>
            </w:pPr>
            <w:r>
              <w:rPr>
                <w:rFonts w:ascii="Calibri" w:hAnsi="Calibri"/>
                <w:b w:val="0"/>
                <w:i w:val="0"/>
                <w:color w:val="202A33"/>
                <w:sz w:val="19"/>
              </w:rPr>
              <w:t>CSV validation</w:t>
            </w:r>
          </w:p>
        </w:tc>
        <w:tc>
          <w:tcPr>
            <w:tcW w:type="dxa" w:w="4680"/>
            <w:vAlign w:val="center"/>
          </w:tcPr>
          <w:p>
            <w:pPr>
              <w:spacing w:after="0"/>
              <w:jc w:val="left"/>
            </w:pPr>
            <w:r>
              <w:rPr>
                <w:rFonts w:ascii="Calibri" w:hAnsi="Calibri"/>
                <w:b w:val="0"/>
                <w:i w:val="0"/>
                <w:color w:val="202A33"/>
                <w:sz w:val="19"/>
              </w:rPr>
              <w:t>11,667 unique station-hour records</w:t>
            </w:r>
          </w:p>
        </w:tc>
        <w:tc>
          <w:tcPr>
            <w:tcW w:type="dxa" w:w="2304"/>
            <w:vAlign w:val="center"/>
          </w:tcPr>
          <w:p>
            <w:pPr>
              <w:spacing w:after="0"/>
              <w:jc w:val="left"/>
            </w:pPr>
            <w:r>
              <w:rPr>
                <w:rFonts w:ascii="Calibri" w:hAnsi="Calibri"/>
                <w:b w:val="0"/>
                <w:i w:val="0"/>
                <w:color w:val="202A33"/>
                <w:sz w:val="19"/>
              </w:rPr>
              <w:t>Passed</w:t>
            </w:r>
          </w:p>
        </w:tc>
      </w:tr>
      <w:tr>
        <w:tc>
          <w:tcPr>
            <w:tcW w:type="dxa" w:w="2376"/>
            <w:vAlign w:val="center"/>
          </w:tcPr>
          <w:p>
            <w:pPr>
              <w:spacing w:after="0"/>
              <w:jc w:val="center"/>
            </w:pPr>
            <w:r>
              <w:rPr>
                <w:rFonts w:ascii="Calibri" w:hAnsi="Calibri"/>
                <w:b w:val="0"/>
                <w:i w:val="0"/>
                <w:color w:val="202A33"/>
                <w:sz w:val="19"/>
              </w:rPr>
              <w:t>Future prediction</w:t>
            </w:r>
          </w:p>
        </w:tc>
        <w:tc>
          <w:tcPr>
            <w:tcW w:type="dxa" w:w="4680"/>
            <w:vAlign w:val="center"/>
          </w:tcPr>
          <w:p>
            <w:pPr>
              <w:spacing w:after="0"/>
              <w:jc w:val="left"/>
            </w:pPr>
            <w:r>
              <w:rPr>
                <w:rFonts w:ascii="Calibri" w:hAnsi="Calibri"/>
                <w:b w:val="0"/>
                <w:i w:val="0"/>
                <w:color w:val="202A33"/>
                <w:sz w:val="19"/>
              </w:rPr>
              <w:t>Persist prediction for future station/time</w:t>
            </w:r>
          </w:p>
        </w:tc>
        <w:tc>
          <w:tcPr>
            <w:tcW w:type="dxa" w:w="2304"/>
            <w:vAlign w:val="center"/>
          </w:tcPr>
          <w:p>
            <w:pPr>
              <w:spacing w:after="0"/>
              <w:jc w:val="left"/>
            </w:pPr>
            <w:r>
              <w:rPr>
                <w:rFonts w:ascii="Calibri" w:hAnsi="Calibri"/>
                <w:b w:val="0"/>
                <w:i w:val="0"/>
                <w:color w:val="202A33"/>
                <w:sz w:val="19"/>
              </w:rPr>
              <w:t>Passed: Prediction ID 3</w:t>
            </w:r>
          </w:p>
        </w:tc>
      </w:tr>
      <w:tr>
        <w:tc>
          <w:tcPr>
            <w:tcW w:type="dxa" w:w="2376"/>
            <w:vAlign w:val="center"/>
          </w:tcPr>
          <w:p>
            <w:pPr>
              <w:spacing w:after="0"/>
              <w:jc w:val="center"/>
            </w:pPr>
            <w:r>
              <w:rPr>
                <w:rFonts w:ascii="Calibri" w:hAnsi="Calibri"/>
                <w:b w:val="0"/>
                <w:i w:val="0"/>
                <w:color w:val="202A33"/>
                <w:sz w:val="19"/>
              </w:rPr>
              <w:t>Recommendation</w:t>
            </w:r>
          </w:p>
        </w:tc>
        <w:tc>
          <w:tcPr>
            <w:tcW w:type="dxa" w:w="4680"/>
            <w:vAlign w:val="center"/>
          </w:tcPr>
          <w:p>
            <w:pPr>
              <w:spacing w:after="0"/>
              <w:jc w:val="left"/>
            </w:pPr>
            <w:r>
              <w:rPr>
                <w:rFonts w:ascii="Calibri" w:hAnsi="Calibri"/>
                <w:b w:val="0"/>
                <w:i w:val="0"/>
                <w:color w:val="202A33"/>
                <w:sz w:val="19"/>
              </w:rPr>
              <w:t>Generate class-specific operational response</w:t>
            </w:r>
          </w:p>
        </w:tc>
        <w:tc>
          <w:tcPr>
            <w:tcW w:type="dxa" w:w="2304"/>
            <w:vAlign w:val="center"/>
          </w:tcPr>
          <w:p>
            <w:pPr>
              <w:spacing w:after="0"/>
              <w:jc w:val="left"/>
            </w:pPr>
            <w:r>
              <w:rPr>
                <w:rFonts w:ascii="Calibri" w:hAnsi="Calibri"/>
                <w:b w:val="0"/>
                <w:i w:val="0"/>
                <w:color w:val="202A33"/>
                <w:sz w:val="19"/>
              </w:rPr>
              <w:t>Passed: Recommendation ID 3</w:t>
            </w:r>
          </w:p>
        </w:tc>
      </w:tr>
      <w:tr>
        <w:tc>
          <w:tcPr>
            <w:tcW w:type="dxa" w:w="2376"/>
            <w:vAlign w:val="center"/>
          </w:tcPr>
          <w:p>
            <w:pPr>
              <w:spacing w:after="0"/>
              <w:jc w:val="center"/>
            </w:pPr>
            <w:r>
              <w:rPr>
                <w:rFonts w:ascii="Calibri" w:hAnsi="Calibri"/>
                <w:b w:val="0"/>
                <w:i w:val="0"/>
                <w:color w:val="202A33"/>
                <w:sz w:val="19"/>
              </w:rPr>
              <w:t>Decision write-back</w:t>
            </w:r>
          </w:p>
        </w:tc>
        <w:tc>
          <w:tcPr>
            <w:tcW w:type="dxa" w:w="4680"/>
            <w:vAlign w:val="center"/>
          </w:tcPr>
          <w:p>
            <w:pPr>
              <w:spacing w:after="0"/>
              <w:jc w:val="left"/>
            </w:pPr>
            <w:r>
              <w:rPr>
                <w:rFonts w:ascii="Calibri" w:hAnsi="Calibri"/>
                <w:b w:val="0"/>
                <w:i w:val="0"/>
                <w:color w:val="202A33"/>
                <w:sz w:val="19"/>
              </w:rPr>
              <w:t>Persist commuter action</w:t>
            </w:r>
          </w:p>
        </w:tc>
        <w:tc>
          <w:tcPr>
            <w:tcW w:type="dxa" w:w="2304"/>
            <w:vAlign w:val="center"/>
          </w:tcPr>
          <w:p>
            <w:pPr>
              <w:spacing w:after="0"/>
              <w:jc w:val="left"/>
            </w:pPr>
            <w:r>
              <w:rPr>
                <w:rFonts w:ascii="Calibri" w:hAnsi="Calibri"/>
                <w:b w:val="0"/>
                <w:i w:val="0"/>
                <w:color w:val="202A33"/>
                <w:sz w:val="19"/>
              </w:rPr>
              <w:t>Passed: Decision ID 3, Accepted</w:t>
            </w:r>
          </w:p>
        </w:tc>
      </w:tr>
      <w:tr>
        <w:tc>
          <w:tcPr>
            <w:tcW w:type="dxa" w:w="2376"/>
            <w:vAlign w:val="center"/>
          </w:tcPr>
          <w:p>
            <w:pPr>
              <w:spacing w:after="0"/>
              <w:jc w:val="center"/>
            </w:pPr>
            <w:r>
              <w:rPr>
                <w:rFonts w:ascii="Calibri" w:hAnsi="Calibri"/>
                <w:b w:val="0"/>
                <w:i w:val="0"/>
                <w:color w:val="202A33"/>
                <w:sz w:val="19"/>
              </w:rPr>
              <w:t>Repeat-safe loading</w:t>
            </w:r>
          </w:p>
        </w:tc>
        <w:tc>
          <w:tcPr>
            <w:tcW w:type="dxa" w:w="4680"/>
            <w:vAlign w:val="center"/>
          </w:tcPr>
          <w:p>
            <w:pPr>
              <w:spacing w:after="0"/>
              <w:jc w:val="left"/>
            </w:pPr>
            <w:r>
              <w:rPr>
                <w:rFonts w:ascii="Calibri" w:hAnsi="Calibri"/>
                <w:b w:val="0"/>
                <w:i w:val="0"/>
                <w:color w:val="202A33"/>
                <w:sz w:val="19"/>
              </w:rPr>
              <w:t>Skip duplicate station-hour rows</w:t>
            </w:r>
          </w:p>
        </w:tc>
        <w:tc>
          <w:tcPr>
            <w:tcW w:type="dxa" w:w="2304"/>
            <w:vAlign w:val="center"/>
          </w:tcPr>
          <w:p>
            <w:pPr>
              <w:spacing w:after="0"/>
              <w:jc w:val="left"/>
            </w:pPr>
            <w:r>
              <w:rPr>
                <w:rFonts w:ascii="Calibri" w:hAnsi="Calibri"/>
                <w:b w:val="0"/>
                <w:i w:val="0"/>
                <w:color w:val="202A33"/>
                <w:sz w:val="19"/>
              </w:rPr>
              <w:t>Passed</w:t>
            </w:r>
          </w:p>
        </w:tc>
      </w:tr>
      <w:tr>
        <w:tc>
          <w:tcPr>
            <w:tcW w:type="dxa" w:w="2376"/>
            <w:vAlign w:val="center"/>
          </w:tcPr>
          <w:p>
            <w:pPr>
              <w:spacing w:after="0"/>
              <w:jc w:val="center"/>
            </w:pPr>
            <w:r>
              <w:rPr>
                <w:rFonts w:ascii="Calibri" w:hAnsi="Calibri"/>
                <w:b w:val="0"/>
                <w:i w:val="0"/>
                <w:color w:val="202A33"/>
                <w:sz w:val="19"/>
              </w:rPr>
              <w:t>Retraining</w:t>
            </w:r>
          </w:p>
        </w:tc>
        <w:tc>
          <w:tcPr>
            <w:tcW w:type="dxa" w:w="4680"/>
            <w:vAlign w:val="center"/>
          </w:tcPr>
          <w:p>
            <w:pPr>
              <w:spacing w:after="0"/>
              <w:jc w:val="left"/>
            </w:pPr>
            <w:r>
              <w:rPr>
                <w:rFonts w:ascii="Calibri" w:hAnsi="Calibri"/>
                <w:b w:val="0"/>
                <w:i w:val="0"/>
                <w:color w:val="202A33"/>
                <w:sz w:val="19"/>
              </w:rPr>
              <w:t>Read PostgreSQL data and save candidate artifact</w:t>
            </w:r>
          </w:p>
        </w:tc>
        <w:tc>
          <w:tcPr>
            <w:tcW w:type="dxa" w:w="2304"/>
            <w:vAlign w:val="center"/>
          </w:tcPr>
          <w:p>
            <w:pPr>
              <w:spacing w:after="0"/>
              <w:jc w:val="left"/>
            </w:pPr>
            <w:r>
              <w:rPr>
                <w:rFonts w:ascii="Calibri" w:hAnsi="Calibri"/>
                <w:b w:val="0"/>
                <w:i w:val="0"/>
                <w:color w:val="202A33"/>
                <w:sz w:val="19"/>
              </w:rPr>
              <w:t>Passed: 76.75% test accuracy</w:t>
            </w:r>
          </w:p>
        </w:tc>
      </w:tr>
      <w:tr>
        <w:tc>
          <w:tcPr>
            <w:tcW w:type="dxa" w:w="2376"/>
            <w:vAlign w:val="center"/>
          </w:tcPr>
          <w:p>
            <w:pPr>
              <w:spacing w:after="0"/>
              <w:jc w:val="center"/>
            </w:pPr>
            <w:r>
              <w:rPr>
                <w:rFonts w:ascii="Calibri" w:hAnsi="Calibri"/>
                <w:b w:val="0"/>
                <w:i w:val="0"/>
                <w:color w:val="202A33"/>
                <w:sz w:val="19"/>
              </w:rPr>
              <w:t>Query optimization</w:t>
            </w:r>
          </w:p>
        </w:tc>
        <w:tc>
          <w:tcPr>
            <w:tcW w:type="dxa" w:w="4680"/>
            <w:vAlign w:val="center"/>
          </w:tcPr>
          <w:p>
            <w:pPr>
              <w:spacing w:after="0"/>
              <w:jc w:val="left"/>
            </w:pPr>
            <w:r>
              <w:rPr>
                <w:rFonts w:ascii="Calibri" w:hAnsi="Calibri"/>
                <w:b w:val="0"/>
                <w:i w:val="0"/>
                <w:color w:val="202A33"/>
                <w:sz w:val="19"/>
              </w:rPr>
              <w:t>Use relevant indexes</w:t>
            </w:r>
          </w:p>
        </w:tc>
        <w:tc>
          <w:tcPr>
            <w:tcW w:type="dxa" w:w="2304"/>
            <w:vAlign w:val="center"/>
          </w:tcPr>
          <w:p>
            <w:pPr>
              <w:spacing w:after="0"/>
              <w:jc w:val="left"/>
            </w:pPr>
            <w:r>
              <w:rPr>
                <w:rFonts w:ascii="Calibri" w:hAnsi="Calibri"/>
                <w:b w:val="0"/>
                <w:i w:val="0"/>
                <w:color w:val="202A33"/>
                <w:sz w:val="19"/>
              </w:rPr>
              <w:t>Passed</w:t>
            </w:r>
          </w:p>
        </w:tc>
      </w:tr>
    </w:tbl>
    <w:p>
      <w:pPr>
        <w:spacing w:after="20"/>
      </w:pPr>
    </w:p>
    <w:p>
      <w:r>
        <w:br w:type="page"/>
      </w:r>
    </w:p>
    <w:p>
      <w:pPr>
        <w:pStyle w:val="Heading1"/>
      </w:pPr>
      <w:r>
        <w:t>13. Limitations and Future Work</w:t>
      </w:r>
    </w:p>
    <w:p>
      <w:pPr>
        <w:pStyle w:val="ListBullet"/>
        <w:spacing w:after="100" w:line="264" w:lineRule="auto"/>
      </w:pPr>
      <w:r>
        <w:rPr>
          <w:rFonts w:ascii="Calibri" w:hAnsi="Calibri"/>
          <w:b w:val="0"/>
          <w:i w:val="0"/>
          <w:color w:val="202A33"/>
          <w:sz w:val="22"/>
        </w:rPr>
        <w:t>Seasonal coverage: the current ridership training data covers September through December 2024, so predictions are restricted to future dates in those seasonal months.</w:t>
      </w:r>
    </w:p>
    <w:p>
      <w:pPr>
        <w:pStyle w:val="ListBullet"/>
        <w:spacing w:after="100" w:line="264" w:lineRule="auto"/>
      </w:pPr>
      <w:r>
        <w:rPr>
          <w:rFonts w:ascii="Calibri" w:hAnsi="Calibri"/>
          <w:b w:val="0"/>
          <w:i w:val="0"/>
          <w:color w:val="202A33"/>
          <w:sz w:val="22"/>
        </w:rPr>
        <w:t>Historical proxy: future transfers are estimated from station/weekday/hour averages rather than from a live feed.</w:t>
      </w:r>
    </w:p>
    <w:p>
      <w:pPr>
        <w:pStyle w:val="ListBullet"/>
        <w:spacing w:after="100" w:line="264" w:lineRule="auto"/>
      </w:pPr>
      <w:r>
        <w:rPr>
          <w:rFonts w:ascii="Calibri" w:hAnsi="Calibri"/>
          <w:b w:val="0"/>
          <w:i w:val="0"/>
          <w:color w:val="202A33"/>
          <w:sz w:val="22"/>
        </w:rPr>
        <w:t>Recommendation scope: the recommendation engine uses transparent business rules rather than a second machine-learning model.</w:t>
      </w:r>
    </w:p>
    <w:p>
      <w:pPr>
        <w:pStyle w:val="ListBullet"/>
        <w:spacing w:after="100" w:line="264" w:lineRule="auto"/>
      </w:pPr>
      <w:r>
        <w:rPr>
          <w:rFonts w:ascii="Calibri" w:hAnsi="Calibri"/>
          <w:b w:val="0"/>
          <w:i w:val="0"/>
          <w:color w:val="202A33"/>
          <w:sz w:val="22"/>
        </w:rPr>
        <w:t>Incident data: the available delay-causing incident file is monthly and line-level, not station-hour or real-time; it was therefore not represented as a live incident feature.</w:t>
      </w:r>
    </w:p>
    <w:p>
      <w:pPr>
        <w:pStyle w:val="ListBullet"/>
        <w:spacing w:after="100" w:line="264" w:lineRule="auto"/>
      </w:pPr>
      <w:r>
        <w:rPr>
          <w:rFonts w:ascii="Calibri" w:hAnsi="Calibri"/>
          <w:b w:val="0"/>
          <w:i w:val="0"/>
          <w:color w:val="202A33"/>
          <w:sz w:val="22"/>
        </w:rPr>
        <w:t>Prototype deployment: PostgreSQL and Streamlit currently run locally. A production version would require managed database hosting, secrets management, authentication, monitoring, and scheduled retraining.</w:t>
      </w:r>
    </w:p>
    <w:p>
      <w:pPr>
        <w:pStyle w:val="Heading1"/>
      </w:pPr>
      <w:r>
        <w:t>14. Conclusion</w:t>
      </w:r>
    </w:p>
    <w:p>
      <w:pPr>
        <w:spacing w:after="120" w:line="264" w:lineRule="auto"/>
      </w:pPr>
      <w:r>
        <w:rPr>
          <w:rFonts w:ascii="Calibri" w:hAnsi="Calibri"/>
          <w:b w:val="0"/>
          <w:i w:val="0"/>
          <w:color w:val="202A33"/>
          <w:sz w:val="22"/>
        </w:rPr>
        <w:t>Part IV successfully converts the Part III database and machine-learning assets into an integrated application. The prototype demonstrates database loading, model persistence, future prediction, explainable recommendation generation, transactional user-decision capture, retraining, and indexed query execution. Most importantly, the system closes the loop between analytics and operations: the model's insight leads to an actionable recommendation, and the commuter's response becomes a durable relational transaction.</w:t>
      </w:r>
    </w:p>
    <w:p>
      <w:pPr>
        <w:pStyle w:val="Heading1"/>
      </w:pPr>
      <w:r>
        <w:t>15. Software Repository</w:t>
      </w:r>
    </w:p>
    <w:p>
      <w:pPr>
        <w:spacing w:after="120" w:line="264" w:lineRule="auto"/>
      </w:pPr>
      <w:r>
        <w:rPr>
          <w:rFonts w:ascii="Calibri" w:hAnsi="Calibri"/>
          <w:b w:val="0"/>
          <w:i w:val="0"/>
          <w:color w:val="202A33"/>
          <w:sz w:val="22"/>
        </w:rPr>
        <w:t>The final GitHub repository will contain the Part IV source modules, SQL scripts, environment-variable example, requirements, architecture asset, screenshots, and execution instructions. The local .env file and database password are excluded from version control.</w:t>
      </w:r>
    </w:p>
    <w:p>
      <w:pPr>
        <w:spacing w:after="240" w:line="264" w:lineRule="auto"/>
      </w:pPr>
      <w:r>
        <w:rPr>
          <w:rFonts w:ascii="Calibri" w:hAnsi="Calibri"/>
          <w:b w:val="0"/>
          <w:i w:val="0"/>
          <w:color w:val="202A33"/>
          <w:sz w:val="22"/>
        </w:rPr>
        <w:t>Repository URL: ________________________________________________</w:t>
      </w:r>
    </w:p>
    <w:p>
      <w:pPr>
        <w:pStyle w:val="Heading1"/>
      </w:pPr>
      <w:r>
        <w:t>Appendix A. Primary Part IV Files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240"/>
            <w:shd w:fill="F2F4F7"/>
            <w:vAlign w:val="center"/>
          </w:tcPr>
          <w:p>
            <w:pPr>
              <w:jc w:val="center"/>
            </w:pPr>
            <w:r>
              <w:rPr>
                <w:rFonts w:ascii="Calibri" w:hAnsi="Calibri"/>
                <w:b/>
                <w:i w:val="0"/>
                <w:color w:val="153A5B"/>
                <w:sz w:val="19"/>
              </w:rPr>
              <w:t>File</w:t>
            </w:r>
          </w:p>
        </w:tc>
        <w:tc>
          <w:tcPr>
            <w:tcW w:type="dxa" w:w="6120"/>
            <w:shd w:fill="F2F4F7"/>
            <w:vAlign w:val="center"/>
          </w:tcPr>
          <w:p>
            <w:pPr>
              <w:jc w:val="center"/>
            </w:pPr>
            <w:r>
              <w:rPr>
                <w:rFonts w:ascii="Calibri" w:hAnsi="Calibri"/>
                <w:b/>
                <w:i w:val="0"/>
                <w:color w:val="153A5B"/>
                <w:sz w:val="19"/>
              </w:rPr>
              <w:t>Purpose</w:t>
            </w:r>
          </w:p>
        </w:tc>
      </w:tr>
      <w:tr>
        <w:tc>
          <w:tcPr>
            <w:tcW w:type="dxa" w:w="3240"/>
            <w:vAlign w:val="center"/>
          </w:tcPr>
          <w:p>
            <w:pPr>
              <w:spacing w:after="0"/>
              <w:jc w:val="center"/>
            </w:pPr>
            <w:r>
              <w:rPr>
                <w:rFonts w:ascii="Calibri" w:hAnsi="Calibri"/>
                <w:b w:val="0"/>
                <w:i w:val="0"/>
                <w:color w:val="202A33"/>
                <w:sz w:val="19"/>
              </w:rPr>
              <w:t>app.py</w:t>
            </w:r>
          </w:p>
        </w:tc>
        <w:tc>
          <w:tcPr>
            <w:tcW w:type="dxa" w:w="6120"/>
            <w:vAlign w:val="center"/>
          </w:tcPr>
          <w:p>
            <w:pPr>
              <w:spacing w:after="0"/>
              <w:jc w:val="left"/>
            </w:pPr>
            <w:r>
              <w:rPr>
                <w:rFonts w:ascii="Calibri" w:hAnsi="Calibri"/>
                <w:b w:val="0"/>
                <w:i w:val="0"/>
                <w:color w:val="202A33"/>
                <w:sz w:val="19"/>
              </w:rPr>
              <w:t>Streamlit future-prediction and decision interface</w:t>
            </w:r>
          </w:p>
        </w:tc>
      </w:tr>
      <w:tr>
        <w:tc>
          <w:tcPr>
            <w:tcW w:type="dxa" w:w="3240"/>
            <w:vAlign w:val="center"/>
          </w:tcPr>
          <w:p>
            <w:pPr>
              <w:spacing w:after="0"/>
              <w:jc w:val="center"/>
            </w:pPr>
            <w:r>
              <w:rPr>
                <w:rFonts w:ascii="Calibri" w:hAnsi="Calibri"/>
                <w:b w:val="0"/>
                <w:i w:val="0"/>
                <w:color w:val="202A33"/>
                <w:sz w:val="19"/>
              </w:rPr>
              <w:t>database.py</w:t>
            </w:r>
          </w:p>
        </w:tc>
        <w:tc>
          <w:tcPr>
            <w:tcW w:type="dxa" w:w="6120"/>
            <w:vAlign w:val="center"/>
          </w:tcPr>
          <w:p>
            <w:pPr>
              <w:spacing w:after="0"/>
              <w:jc w:val="left"/>
            </w:pPr>
            <w:r>
              <w:rPr>
                <w:rFonts w:ascii="Calibri" w:hAnsi="Calibri"/>
                <w:b w:val="0"/>
                <w:i w:val="0"/>
                <w:color w:val="202A33"/>
                <w:sz w:val="19"/>
              </w:rPr>
              <w:t>Database engine and session configuration</w:t>
            </w:r>
          </w:p>
        </w:tc>
      </w:tr>
      <w:tr>
        <w:tc>
          <w:tcPr>
            <w:tcW w:type="dxa" w:w="3240"/>
            <w:vAlign w:val="center"/>
          </w:tcPr>
          <w:p>
            <w:pPr>
              <w:spacing w:after="0"/>
              <w:jc w:val="center"/>
            </w:pPr>
            <w:r>
              <w:rPr>
                <w:rFonts w:ascii="Calibri" w:hAnsi="Calibri"/>
                <w:b w:val="0"/>
                <w:i w:val="0"/>
                <w:color w:val="202A33"/>
                <w:sz w:val="19"/>
              </w:rPr>
              <w:t>models.py</w:t>
            </w:r>
          </w:p>
        </w:tc>
        <w:tc>
          <w:tcPr>
            <w:tcW w:type="dxa" w:w="6120"/>
            <w:vAlign w:val="center"/>
          </w:tcPr>
          <w:p>
            <w:pPr>
              <w:spacing w:after="0"/>
              <w:jc w:val="left"/>
            </w:pPr>
            <w:r>
              <w:rPr>
                <w:rFonts w:ascii="Calibri" w:hAnsi="Calibri"/>
                <w:b w:val="0"/>
                <w:i w:val="0"/>
                <w:color w:val="202A33"/>
                <w:sz w:val="19"/>
              </w:rPr>
              <w:t>SQLAlchemy mappings</w:t>
            </w:r>
          </w:p>
        </w:tc>
      </w:tr>
      <w:tr>
        <w:tc>
          <w:tcPr>
            <w:tcW w:type="dxa" w:w="3240"/>
            <w:vAlign w:val="center"/>
          </w:tcPr>
          <w:p>
            <w:pPr>
              <w:spacing w:after="0"/>
              <w:jc w:val="center"/>
            </w:pPr>
            <w:r>
              <w:rPr>
                <w:rFonts w:ascii="Calibri" w:hAnsi="Calibri"/>
                <w:b w:val="0"/>
                <w:i w:val="0"/>
                <w:color w:val="202A33"/>
                <w:sz w:val="19"/>
              </w:rPr>
              <w:t>load_data.py</w:t>
            </w:r>
          </w:p>
        </w:tc>
        <w:tc>
          <w:tcPr>
            <w:tcW w:type="dxa" w:w="6120"/>
            <w:vAlign w:val="center"/>
          </w:tcPr>
          <w:p>
            <w:pPr>
              <w:spacing w:after="0"/>
              <w:jc w:val="left"/>
            </w:pPr>
            <w:r>
              <w:rPr>
                <w:rFonts w:ascii="Calibri" w:hAnsi="Calibri"/>
                <w:b w:val="0"/>
                <w:i w:val="0"/>
                <w:color w:val="202A33"/>
                <w:sz w:val="19"/>
              </w:rPr>
              <w:t>Validated and repeat-safe ridership loader</w:t>
            </w:r>
          </w:p>
        </w:tc>
      </w:tr>
      <w:tr>
        <w:tc>
          <w:tcPr>
            <w:tcW w:type="dxa" w:w="3240"/>
            <w:vAlign w:val="center"/>
          </w:tcPr>
          <w:p>
            <w:pPr>
              <w:spacing w:after="0"/>
              <w:jc w:val="center"/>
            </w:pPr>
            <w:r>
              <w:rPr>
                <w:rFonts w:ascii="Calibri" w:hAnsi="Calibri"/>
                <w:b w:val="0"/>
                <w:i w:val="0"/>
                <w:color w:val="202A33"/>
                <w:sz w:val="19"/>
              </w:rPr>
              <w:t>prediction_service.py</w:t>
            </w:r>
          </w:p>
        </w:tc>
        <w:tc>
          <w:tcPr>
            <w:tcW w:type="dxa" w:w="6120"/>
            <w:vAlign w:val="center"/>
          </w:tcPr>
          <w:p>
            <w:pPr>
              <w:spacing w:after="0"/>
              <w:jc w:val="left"/>
            </w:pPr>
            <w:r>
              <w:rPr>
                <w:rFonts w:ascii="Calibri" w:hAnsi="Calibri"/>
                <w:b w:val="0"/>
                <w:i w:val="0"/>
                <w:color w:val="202A33"/>
                <w:sz w:val="19"/>
              </w:rPr>
              <w:t>Feature derivation, model inference, and prediction insert</w:t>
            </w:r>
          </w:p>
        </w:tc>
      </w:tr>
      <w:tr>
        <w:tc>
          <w:tcPr>
            <w:tcW w:type="dxa" w:w="3240"/>
            <w:vAlign w:val="center"/>
          </w:tcPr>
          <w:p>
            <w:pPr>
              <w:spacing w:after="0"/>
              <w:jc w:val="center"/>
            </w:pPr>
            <w:r>
              <w:rPr>
                <w:rFonts w:ascii="Calibri" w:hAnsi="Calibri"/>
                <w:b w:val="0"/>
                <w:i w:val="0"/>
                <w:color w:val="202A33"/>
                <w:sz w:val="19"/>
              </w:rPr>
              <w:t>recommendation_service.py</w:t>
            </w:r>
          </w:p>
        </w:tc>
        <w:tc>
          <w:tcPr>
            <w:tcW w:type="dxa" w:w="6120"/>
            <w:vAlign w:val="center"/>
          </w:tcPr>
          <w:p>
            <w:pPr>
              <w:spacing w:after="0"/>
              <w:jc w:val="left"/>
            </w:pPr>
            <w:r>
              <w:rPr>
                <w:rFonts w:ascii="Calibri" w:hAnsi="Calibri"/>
                <w:b w:val="0"/>
                <w:i w:val="0"/>
                <w:color w:val="202A33"/>
                <w:sz w:val="19"/>
              </w:rPr>
              <w:t>Business-rule recommendation and insert</w:t>
            </w:r>
          </w:p>
        </w:tc>
      </w:tr>
      <w:tr>
        <w:tc>
          <w:tcPr>
            <w:tcW w:type="dxa" w:w="3240"/>
            <w:vAlign w:val="center"/>
          </w:tcPr>
          <w:p>
            <w:pPr>
              <w:spacing w:after="0"/>
              <w:jc w:val="center"/>
            </w:pPr>
            <w:r>
              <w:rPr>
                <w:rFonts w:ascii="Calibri" w:hAnsi="Calibri"/>
                <w:b w:val="0"/>
                <w:i w:val="0"/>
                <w:color w:val="202A33"/>
                <w:sz w:val="19"/>
              </w:rPr>
              <w:t>user_decision_service.py</w:t>
            </w:r>
          </w:p>
        </w:tc>
        <w:tc>
          <w:tcPr>
            <w:tcW w:type="dxa" w:w="6120"/>
            <w:vAlign w:val="center"/>
          </w:tcPr>
          <w:p>
            <w:pPr>
              <w:spacing w:after="0"/>
              <w:jc w:val="left"/>
            </w:pPr>
            <w:r>
              <w:rPr>
                <w:rFonts w:ascii="Calibri" w:hAnsi="Calibri"/>
                <w:b w:val="0"/>
                <w:i w:val="0"/>
                <w:color w:val="202A33"/>
                <w:sz w:val="19"/>
              </w:rPr>
              <w:t>Validated decision transaction</w:t>
            </w:r>
          </w:p>
        </w:tc>
      </w:tr>
      <w:tr>
        <w:tc>
          <w:tcPr>
            <w:tcW w:type="dxa" w:w="3240"/>
            <w:vAlign w:val="center"/>
          </w:tcPr>
          <w:p>
            <w:pPr>
              <w:spacing w:after="0"/>
              <w:jc w:val="center"/>
            </w:pPr>
            <w:r>
              <w:rPr>
                <w:rFonts w:ascii="Calibri" w:hAnsi="Calibri"/>
                <w:b w:val="0"/>
                <w:i w:val="0"/>
                <w:color w:val="202A33"/>
                <w:sz w:val="19"/>
              </w:rPr>
              <w:t>train_model.py</w:t>
            </w:r>
          </w:p>
        </w:tc>
        <w:tc>
          <w:tcPr>
            <w:tcW w:type="dxa" w:w="6120"/>
            <w:vAlign w:val="center"/>
          </w:tcPr>
          <w:p>
            <w:pPr>
              <w:spacing w:after="0"/>
              <w:jc w:val="left"/>
            </w:pPr>
            <w:r>
              <w:rPr>
                <w:rFonts w:ascii="Calibri" w:hAnsi="Calibri"/>
                <w:b w:val="0"/>
                <w:i w:val="0"/>
                <w:color w:val="202A33"/>
                <w:sz w:val="19"/>
              </w:rPr>
              <w:t>Database-driven chronological retraining</w:t>
            </w:r>
          </w:p>
        </w:tc>
      </w:tr>
      <w:tr>
        <w:tc>
          <w:tcPr>
            <w:tcW w:type="dxa" w:w="3240"/>
            <w:vAlign w:val="center"/>
          </w:tcPr>
          <w:p>
            <w:pPr>
              <w:spacing w:after="0"/>
              <w:jc w:val="center"/>
            </w:pPr>
            <w:r>
              <w:rPr>
                <w:rFonts w:ascii="Calibri" w:hAnsi="Calibri"/>
                <w:b w:val="0"/>
                <w:i w:val="0"/>
                <w:color w:val="202A33"/>
                <w:sz w:val="19"/>
              </w:rPr>
              <w:t>analyze_queries.py</w:t>
            </w:r>
          </w:p>
        </w:tc>
        <w:tc>
          <w:tcPr>
            <w:tcW w:type="dxa" w:w="6120"/>
            <w:vAlign w:val="center"/>
          </w:tcPr>
          <w:p>
            <w:pPr>
              <w:spacing w:after="0"/>
              <w:jc w:val="left"/>
            </w:pPr>
            <w:r>
              <w:rPr>
                <w:rFonts w:ascii="Calibri" w:hAnsi="Calibri"/>
                <w:b w:val="0"/>
                <w:i w:val="0"/>
                <w:color w:val="202A33"/>
                <w:sz w:val="19"/>
              </w:rPr>
              <w:t>Index inventory and EXPLAIN ANALYZE report</w:t>
            </w:r>
          </w:p>
        </w:tc>
      </w:tr>
      <w:tr>
        <w:tc>
          <w:tcPr>
            <w:tcW w:type="dxa" w:w="3240"/>
            <w:vAlign w:val="center"/>
          </w:tcPr>
          <w:p>
            <w:pPr>
              <w:spacing w:after="0"/>
              <w:jc w:val="center"/>
            </w:pPr>
            <w:r>
              <w:rPr>
                <w:rFonts w:ascii="Calibri" w:hAnsi="Calibri"/>
                <w:b w:val="0"/>
                <w:i w:val="0"/>
                <w:color w:val="202A33"/>
                <w:sz w:val="19"/>
              </w:rPr>
              <w:t>sql/query_optimization.sql</w:t>
            </w:r>
          </w:p>
        </w:tc>
        <w:tc>
          <w:tcPr>
            <w:tcW w:type="dxa" w:w="6120"/>
            <w:vAlign w:val="center"/>
          </w:tcPr>
          <w:p>
            <w:pPr>
              <w:spacing w:after="0"/>
              <w:jc w:val="left"/>
            </w:pPr>
            <w:r>
              <w:rPr>
                <w:rFonts w:ascii="Calibri" w:hAnsi="Calibri"/>
                <w:b w:val="0"/>
                <w:i w:val="0"/>
                <w:color w:val="202A33"/>
                <w:sz w:val="19"/>
              </w:rPr>
              <w:t>Reproducible optimization queries</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17E"/>
        <w:sz w:val="18"/>
      </w:rPr>
      <w:t>DATABASE SYSTEMS PROJECT | PART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53A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