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proofErr w:type="gramStart"/>
      <w:r w:rsidR="00B23441">
        <w:t>review</w:t>
      </w:r>
      <w:proofErr w:type="gramEnd"/>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4B9B82A"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7648BB">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34E1661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rsidR="007648BB">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343B7D">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343B7D">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343B7D">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343B7D">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343B7D">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343B7D">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343B7D">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343B7D">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343B7D">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343B7D">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343B7D">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343B7D">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343B7D">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343B7D">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343B7D">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343B7D">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6FF1A006" w:rsidR="002B76B0" w:rsidRDefault="002B76B0" w:rsidP="002B76B0">
      <w:pPr>
        <w:pStyle w:val="NoSpacing"/>
      </w:pPr>
      <w:r>
        <w:t xml:space="preserve">Discussions you could </w:t>
      </w:r>
      <w:r w:rsidR="001A541E">
        <w:t xml:space="preserve">record </w:t>
      </w:r>
      <w:r w:rsidR="00E060A9">
        <w:t xml:space="preserve">may </w:t>
      </w:r>
      <w:r>
        <w:t>include</w:t>
      </w:r>
      <w:r w:rsidR="003E49E9">
        <w:t>:</w:t>
      </w:r>
    </w:p>
    <w:p w14:paraId="4C618F31" w14:textId="19C18A43" w:rsidR="002B76B0" w:rsidRDefault="002B76B0" w:rsidP="00D543A3">
      <w:pPr>
        <w:pStyle w:val="ListParagraph"/>
        <w:numPr>
          <w:ilvl w:val="0"/>
          <w:numId w:val="13"/>
        </w:numPr>
      </w:pPr>
      <w:r>
        <w:t xml:space="preserve">Asking your instructor/assessor for feedback on </w:t>
      </w:r>
      <w:r w:rsidR="00B7539D">
        <w:t>your responses to workbook tasks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2345BA6A" w:rsidR="001010FD" w:rsidRDefault="002A6700" w:rsidP="001010FD">
            <w:pPr>
              <w:spacing w:before="240" w:after="240"/>
            </w:pPr>
            <w:r>
              <w:t>Patents Act 1990:</w:t>
            </w:r>
            <w:r>
              <w:br/>
              <w:t>Chapter 2: Ownership</w:t>
            </w:r>
            <w:r>
              <w:br/>
              <w:t>15) Who may be granted a patent?</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4CC5FD5" w:rsidR="001010FD" w:rsidRDefault="002A6700" w:rsidP="001010FD">
            <w:pPr>
              <w:spacing w:before="240" w:after="240"/>
            </w:pPr>
            <w:r w:rsidRPr="002A6700">
              <w:t>https://www.legislation.gov.au/Details/C2017C00045</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EF94BD5">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C829D91" w:rsidR="00382D5A" w:rsidRPr="007A2806" w:rsidRDefault="00343B7D" w:rsidP="0EF94BD5">
            <w:pPr>
              <w:spacing w:before="240" w:after="240"/>
              <w:rPr>
                <w:rFonts w:ascii="Calibri" w:eastAsia="Calibri" w:hAnsi="Calibri" w:cs="Calibri"/>
              </w:rPr>
            </w:pPr>
            <w:hyperlink r:id="rId8">
              <w:r w:rsidR="0EF94BD5" w:rsidRPr="007A2806">
                <w:rPr>
                  <w:rStyle w:val="Hyperlink"/>
                  <w:rFonts w:ascii="Nunito" w:eastAsia="Nunito" w:hAnsi="Nunito" w:cs="Nunito"/>
                </w:rPr>
                <w:t>https://www.ipaustralia.gov.au/</w:t>
              </w:r>
            </w:hyperlink>
          </w:p>
        </w:tc>
      </w:tr>
      <w:tr w:rsidR="00382D5A" w14:paraId="09233D8D" w14:textId="77777777" w:rsidTr="0EF94BD5">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1CB28EF6" w14:textId="350F3293" w:rsidR="00114A8A" w:rsidRPr="006F3018" w:rsidRDefault="0EF94BD5" w:rsidP="00020374">
            <w:pPr>
              <w:spacing w:before="240" w:after="240"/>
            </w:pPr>
            <w:r>
              <w:t>Promotes understanding of copyright laws and their application in the field of art forms.</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EF94BD5">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01F259A6" w:rsidR="00DF7112" w:rsidRPr="007A2806" w:rsidRDefault="00343B7D" w:rsidP="0EF94BD5">
            <w:pPr>
              <w:spacing w:before="240" w:after="240"/>
              <w:rPr>
                <w:rFonts w:ascii="Calibri" w:eastAsia="Calibri" w:hAnsi="Calibri" w:cs="Calibri"/>
              </w:rPr>
            </w:pPr>
            <w:hyperlink r:id="rId9">
              <w:r w:rsidR="0EF94BD5" w:rsidRPr="007A2806">
                <w:rPr>
                  <w:rStyle w:val="Hyperlink"/>
                  <w:rFonts w:ascii="Nunito" w:eastAsia="Nunito" w:hAnsi="Nunito" w:cs="Nunito"/>
                </w:rPr>
                <w:t>https://www.wipo.int/portal/en/</w:t>
              </w:r>
            </w:hyperlink>
          </w:p>
        </w:tc>
      </w:tr>
      <w:tr w:rsidR="00DF7112" w14:paraId="62180718" w14:textId="77777777" w:rsidTr="0EF94BD5">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4590E117" w14:textId="26AEAF39" w:rsidR="00114A8A" w:rsidRPr="00020374" w:rsidRDefault="0EF94BD5" w:rsidP="00020374">
            <w:pPr>
              <w:spacing w:before="240" w:after="240"/>
              <w:rPr>
                <w:color w:val="7030A0"/>
              </w:rPr>
            </w:pPr>
            <w:r w:rsidRPr="0EF94BD5">
              <w:t xml:space="preserve">Provides a global forum for IP services, </w:t>
            </w:r>
            <w:proofErr w:type="gramStart"/>
            <w:r w:rsidRPr="0EF94BD5">
              <w:t>policies</w:t>
            </w:r>
            <w:proofErr w:type="gramEnd"/>
            <w:r w:rsidRPr="0EF94BD5">
              <w:t xml:space="preserve"> and information regarding IP’s. </w:t>
            </w: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057727B5" w14:textId="77777777" w:rsidR="002A6700" w:rsidRDefault="002A6700" w:rsidP="002A6700">
            <w:pPr>
              <w:spacing w:before="240" w:after="240"/>
            </w:pPr>
            <w:r>
              <w:t xml:space="preserve">Copyright Act 1968: Part III: </w:t>
            </w:r>
          </w:p>
          <w:p w14:paraId="473AF64A" w14:textId="77777777" w:rsidR="002A6700" w:rsidRDefault="002A6700" w:rsidP="002A6700">
            <w:pPr>
              <w:spacing w:before="240" w:after="240"/>
            </w:pPr>
            <w:r>
              <w:t xml:space="preserve">Division </w:t>
            </w:r>
            <w:r w:rsidRPr="002A6700">
              <w:t>1</w:t>
            </w:r>
            <w:bookmarkStart w:id="6" w:name="_Toc535334036"/>
            <w:r>
              <w:t xml:space="preserve">: </w:t>
            </w:r>
            <w:r w:rsidRPr="002A6700">
              <w:rPr>
                <w:rStyle w:val="chardivtext"/>
                <w:color w:val="000000"/>
                <w:shd w:val="clear" w:color="auto" w:fill="FFFFFF"/>
              </w:rPr>
              <w:t xml:space="preserve">Nature, </w:t>
            </w:r>
            <w:proofErr w:type="gramStart"/>
            <w:r w:rsidRPr="002A6700">
              <w:rPr>
                <w:rStyle w:val="chardivtext"/>
                <w:color w:val="000000"/>
                <w:shd w:val="clear" w:color="auto" w:fill="FFFFFF"/>
              </w:rPr>
              <w:t>duration</w:t>
            </w:r>
            <w:proofErr w:type="gramEnd"/>
            <w:r w:rsidRPr="002A6700">
              <w:rPr>
                <w:rStyle w:val="chardivtext"/>
                <w:color w:val="000000"/>
                <w:shd w:val="clear" w:color="auto" w:fill="FFFFFF"/>
              </w:rPr>
              <w:t xml:space="preserve"> and ownership of copyright in works</w:t>
            </w:r>
            <w:bookmarkEnd w:id="6"/>
            <w:r w:rsidRPr="002A6700">
              <w:t>:</w:t>
            </w:r>
            <w:r>
              <w:t xml:space="preserve"> </w:t>
            </w:r>
          </w:p>
          <w:p w14:paraId="69C50BDA" w14:textId="3C073CD1" w:rsidR="00382D5A" w:rsidRPr="0059747F" w:rsidRDefault="002A6700" w:rsidP="002A6700">
            <w:pPr>
              <w:spacing w:before="240" w:after="240"/>
              <w:rPr>
                <w:color w:val="FF0000"/>
              </w:rPr>
            </w:pPr>
            <w:r>
              <w:t>32</w:t>
            </w:r>
            <w:r w:rsidRPr="00852BAD">
              <w:t xml:space="preserve">) </w:t>
            </w:r>
            <w:bookmarkStart w:id="7" w:name="_Toc535334038"/>
            <w:r w:rsidRPr="00852BAD">
              <w:rPr>
                <w:color w:val="000000"/>
                <w:shd w:val="clear" w:color="auto" w:fill="FFFFFF"/>
              </w:rPr>
              <w:t>Original works in which copyright subsists</w:t>
            </w:r>
            <w:bookmarkEnd w:id="7"/>
          </w:p>
        </w:tc>
      </w:tr>
      <w:tr w:rsidR="002A6700" w14:paraId="560A54A5" w14:textId="77777777" w:rsidTr="00191332">
        <w:tc>
          <w:tcPr>
            <w:tcW w:w="2117" w:type="dxa"/>
            <w:shd w:val="clear" w:color="auto" w:fill="DBE5F1" w:themeFill="accent1" w:themeFillTint="33"/>
          </w:tcPr>
          <w:p w14:paraId="77C24C93" w14:textId="64E5B9C6" w:rsidR="002A6700" w:rsidRPr="00A91C57" w:rsidRDefault="002A6700" w:rsidP="002A6700">
            <w:pPr>
              <w:spacing w:before="240" w:after="240"/>
              <w:rPr>
                <w:b/>
                <w:bCs/>
              </w:rPr>
            </w:pPr>
            <w:r w:rsidRPr="00A91C57">
              <w:rPr>
                <w:b/>
                <w:bCs/>
              </w:rPr>
              <w:t>Website</w:t>
            </w:r>
            <w:r>
              <w:rPr>
                <w:b/>
                <w:bCs/>
              </w:rPr>
              <w:t xml:space="preserve"> URL</w:t>
            </w:r>
            <w:r w:rsidRPr="00A91C57">
              <w:rPr>
                <w:b/>
                <w:bCs/>
              </w:rPr>
              <w:t>:</w:t>
            </w:r>
          </w:p>
        </w:tc>
        <w:tc>
          <w:tcPr>
            <w:tcW w:w="6889" w:type="dxa"/>
          </w:tcPr>
          <w:p w14:paraId="74009969" w14:textId="339626A9" w:rsidR="002A6700" w:rsidRPr="0059747F" w:rsidRDefault="002A6700" w:rsidP="002A6700">
            <w:pPr>
              <w:spacing w:before="240" w:after="240"/>
              <w:rPr>
                <w:color w:val="FF0000"/>
              </w:rPr>
            </w:pPr>
            <w:r w:rsidRPr="00E8069A">
              <w:t>https://www.legislation.gov.au/Details/C2019C00042</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141DCC" w:rsidR="00DF7112" w:rsidRPr="007E00B1" w:rsidRDefault="00052CB4" w:rsidP="00A91C57">
            <w:pPr>
              <w:spacing w:before="240" w:after="240"/>
              <w:rPr>
                <w:color w:val="FF0000"/>
              </w:rPr>
            </w:pPr>
            <w:r w:rsidRPr="0032292D">
              <w:rPr>
                <w:color w:val="7030A0"/>
              </w:rPr>
              <w:t>https://www.copyright.org.au/</w:t>
            </w:r>
          </w:p>
        </w:tc>
      </w:tr>
      <w:tr w:rsidR="00052CB4" w14:paraId="21B65C99" w14:textId="77777777" w:rsidTr="003819BC">
        <w:tc>
          <w:tcPr>
            <w:tcW w:w="2121" w:type="dxa"/>
            <w:shd w:val="clear" w:color="auto" w:fill="DBE5F1" w:themeFill="accent1" w:themeFillTint="33"/>
          </w:tcPr>
          <w:p w14:paraId="37AF5257" w14:textId="3CBFFEC6" w:rsidR="00052CB4" w:rsidRPr="00A91C57" w:rsidRDefault="00052CB4" w:rsidP="00052CB4">
            <w:pPr>
              <w:spacing w:before="240" w:after="240"/>
              <w:rPr>
                <w:b/>
                <w:bCs/>
              </w:rPr>
            </w:pPr>
            <w:r w:rsidRPr="00A91C57">
              <w:rPr>
                <w:b/>
                <w:bCs/>
              </w:rPr>
              <w:t>Description of Content/Use:</w:t>
            </w:r>
          </w:p>
        </w:tc>
        <w:tc>
          <w:tcPr>
            <w:tcW w:w="6885" w:type="dxa"/>
          </w:tcPr>
          <w:p w14:paraId="72D770E7" w14:textId="77777777" w:rsidR="00052CB4" w:rsidRPr="006F3018" w:rsidRDefault="00052CB4" w:rsidP="00052CB4">
            <w:pPr>
              <w:spacing w:before="240" w:after="240"/>
            </w:pPr>
            <w:r w:rsidRPr="006F3018">
              <w:t xml:space="preserve">Provides information to Australian creators and </w:t>
            </w:r>
            <w:r>
              <w:t>consumers</w:t>
            </w:r>
            <w:r w:rsidRPr="006F3018">
              <w:t xml:space="preserve"> of copyright material</w:t>
            </w:r>
            <w:r>
              <w:t xml:space="preserve"> on copyright policies, </w:t>
            </w:r>
            <w:proofErr w:type="gramStart"/>
            <w:r>
              <w:t>legislations</w:t>
            </w:r>
            <w:proofErr w:type="gramEnd"/>
            <w:r>
              <w:t xml:space="preserve"> and laws. </w:t>
            </w:r>
          </w:p>
          <w:p w14:paraId="4E13316C" w14:textId="77777777" w:rsidR="00052CB4" w:rsidRPr="006F3018" w:rsidRDefault="00052CB4" w:rsidP="00052CB4">
            <w:pPr>
              <w:spacing w:before="240" w:after="240"/>
            </w:pPr>
          </w:p>
          <w:p w14:paraId="515BDE77" w14:textId="77777777" w:rsidR="00052CB4" w:rsidRPr="006F3018" w:rsidRDefault="00052CB4" w:rsidP="00052CB4">
            <w:pPr>
              <w:spacing w:before="240" w:after="240"/>
            </w:pPr>
          </w:p>
          <w:p w14:paraId="4C725A17" w14:textId="77777777" w:rsidR="00052CB4" w:rsidRPr="006F3018" w:rsidRDefault="00052CB4" w:rsidP="00052CB4">
            <w:pPr>
              <w:spacing w:before="240" w:after="240"/>
            </w:pPr>
          </w:p>
          <w:p w14:paraId="59F6FC8B" w14:textId="77777777" w:rsidR="00052CB4" w:rsidRPr="006F3018" w:rsidRDefault="00052CB4" w:rsidP="00052CB4">
            <w:pPr>
              <w:spacing w:before="240" w:after="240"/>
            </w:pPr>
          </w:p>
          <w:p w14:paraId="5BF6AF77" w14:textId="4B678DD9" w:rsidR="00052CB4" w:rsidRPr="007E00B1" w:rsidRDefault="00052CB4" w:rsidP="00052CB4">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052CB4" w14:paraId="718A264F" w14:textId="77777777" w:rsidTr="00052CB4">
        <w:tc>
          <w:tcPr>
            <w:tcW w:w="2121" w:type="dxa"/>
            <w:shd w:val="clear" w:color="auto" w:fill="DBE5F1" w:themeFill="accent1" w:themeFillTint="33"/>
          </w:tcPr>
          <w:p w14:paraId="3EB77DCE" w14:textId="05F346EC" w:rsidR="00052CB4" w:rsidRPr="00A91C57" w:rsidRDefault="00052CB4" w:rsidP="00052CB4">
            <w:pPr>
              <w:spacing w:before="240" w:after="240"/>
              <w:rPr>
                <w:b/>
                <w:bCs/>
              </w:rPr>
            </w:pPr>
            <w:r w:rsidRPr="00A91C57">
              <w:rPr>
                <w:b/>
                <w:bCs/>
              </w:rPr>
              <w:t>Website</w:t>
            </w:r>
            <w:r>
              <w:rPr>
                <w:b/>
                <w:bCs/>
              </w:rPr>
              <w:t xml:space="preserve"> 2</w:t>
            </w:r>
            <w:r w:rsidRPr="00A91C57">
              <w:rPr>
                <w:b/>
                <w:bCs/>
              </w:rPr>
              <w:t>:</w:t>
            </w:r>
          </w:p>
        </w:tc>
        <w:tc>
          <w:tcPr>
            <w:tcW w:w="6885" w:type="dxa"/>
          </w:tcPr>
          <w:p w14:paraId="20622DF7" w14:textId="2B7C3419" w:rsidR="00052CB4" w:rsidRPr="007E00B1" w:rsidRDefault="00052CB4" w:rsidP="00052CB4">
            <w:pPr>
              <w:spacing w:before="240" w:after="240"/>
              <w:rPr>
                <w:color w:val="FF0000"/>
              </w:rPr>
            </w:pPr>
            <w:r w:rsidRPr="007927C6">
              <w:rPr>
                <w:color w:val="7030A0"/>
              </w:rPr>
              <w:t>https://creativecommons.org/</w:t>
            </w:r>
          </w:p>
        </w:tc>
      </w:tr>
      <w:tr w:rsidR="00052CB4" w14:paraId="0F2B4053" w14:textId="77777777" w:rsidTr="00052CB4">
        <w:tc>
          <w:tcPr>
            <w:tcW w:w="2121" w:type="dxa"/>
            <w:shd w:val="clear" w:color="auto" w:fill="DBE5F1" w:themeFill="accent1" w:themeFillTint="33"/>
          </w:tcPr>
          <w:p w14:paraId="5BEC8CC6" w14:textId="2C9DC374" w:rsidR="00052CB4" w:rsidRPr="00A91C57" w:rsidRDefault="00052CB4" w:rsidP="00052CB4">
            <w:pPr>
              <w:spacing w:before="240" w:after="240"/>
              <w:rPr>
                <w:b/>
                <w:bCs/>
              </w:rPr>
            </w:pPr>
            <w:r w:rsidRPr="00A91C57">
              <w:rPr>
                <w:b/>
                <w:bCs/>
              </w:rPr>
              <w:t>Description of Content/Use:</w:t>
            </w:r>
          </w:p>
        </w:tc>
        <w:tc>
          <w:tcPr>
            <w:tcW w:w="6885" w:type="dxa"/>
          </w:tcPr>
          <w:p w14:paraId="1CE16D4F" w14:textId="2087E275" w:rsidR="00052CB4" w:rsidRPr="00771759" w:rsidRDefault="00052CB4" w:rsidP="00052CB4">
            <w:pPr>
              <w:spacing w:before="240" w:after="240"/>
            </w:pPr>
            <w:r w:rsidRPr="0032292D">
              <w:t>Provides</w:t>
            </w:r>
            <w:r>
              <w:t xml:space="preserve"> Creative Commons licenses and public domain tools to the public in a way that grants them copyright permissions for creative and academic works.</w:t>
            </w:r>
          </w:p>
        </w:tc>
      </w:tr>
    </w:tbl>
    <w:p w14:paraId="6981F62A" w14:textId="6DFD1126"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8" w:name="_Toc72833512"/>
      <w:r w:rsidRPr="003819BC">
        <w:rPr>
          <w:color w:val="0070C0"/>
        </w:rPr>
        <w:t xml:space="preserve">2.3 </w:t>
      </w:r>
      <w:r w:rsidR="00D86CE1" w:rsidRPr="003819BC">
        <w:rPr>
          <w:color w:val="0070C0"/>
        </w:rPr>
        <w:t xml:space="preserve">Privacy </w:t>
      </w:r>
      <w:r w:rsidRPr="003819BC">
        <w:rPr>
          <w:color w:val="0070C0"/>
        </w:rPr>
        <w:t>p</w:t>
      </w:r>
      <w:r w:rsidR="00D86CE1" w:rsidRPr="003819BC">
        <w:rPr>
          <w:color w:val="0070C0"/>
        </w:rPr>
        <w:t>olicies</w:t>
      </w:r>
      <w:bookmarkEnd w:id="8"/>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AF595A" w:rsidRDefault="00DF7112" w:rsidP="00B578F0">
            <w:pPr>
              <w:spacing w:before="240" w:after="240"/>
              <w:rPr>
                <w:b/>
                <w:bCs/>
              </w:rPr>
            </w:pPr>
            <w:r w:rsidRPr="00AF595A">
              <w:rPr>
                <w:b/>
                <w:bCs/>
              </w:rPr>
              <w:t>Organisation</w:t>
            </w:r>
            <w:r w:rsidR="00114A8A" w:rsidRPr="00AF595A">
              <w:rPr>
                <w:b/>
                <w:bCs/>
              </w:rPr>
              <w:t xml:space="preserve"> 1</w:t>
            </w:r>
            <w:r w:rsidRPr="00AF595A">
              <w:rPr>
                <w:b/>
                <w:bCs/>
              </w:rPr>
              <w:t>:</w:t>
            </w:r>
          </w:p>
        </w:tc>
        <w:tc>
          <w:tcPr>
            <w:tcW w:w="6894" w:type="dxa"/>
          </w:tcPr>
          <w:p w14:paraId="0055C9D9" w14:textId="65701BBC" w:rsidR="00DF7112" w:rsidRPr="00AF595A" w:rsidRDefault="00381F89" w:rsidP="00B578F0">
            <w:pPr>
              <w:spacing w:before="240" w:after="240"/>
            </w:pPr>
            <w:r w:rsidRPr="00AF595A">
              <w:t>Voodoo</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07505973" w:rsidR="00DF7112" w:rsidRPr="007E00B1" w:rsidRDefault="00343B7D" w:rsidP="00B578F0">
            <w:pPr>
              <w:spacing w:before="240" w:after="240"/>
              <w:rPr>
                <w:color w:val="FF0000"/>
              </w:rPr>
            </w:pPr>
            <w:hyperlink r:id="rId10" w:history="1">
              <w:r w:rsidR="00AF595A" w:rsidRPr="00DE3704">
                <w:rPr>
                  <w:rStyle w:val="Hyperlink"/>
                </w:rPr>
                <w:t>https://www.voodoo.io/privacy/</w:t>
              </w:r>
            </w:hyperlink>
            <w:r w:rsidR="00AF595A">
              <w:rPr>
                <w:color w:val="FF0000"/>
              </w:rPr>
              <w:t xml:space="preserve"> </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2C910ED3" w:rsidR="00DF7112" w:rsidRPr="00AF595A" w:rsidRDefault="00381F89" w:rsidP="00B578F0">
            <w:pPr>
              <w:spacing w:before="240" w:after="240"/>
            </w:pPr>
            <w:r w:rsidRPr="00AF595A">
              <w:t>Provide important information and explain how and why some of a person’s data may be collected and processed.</w:t>
            </w:r>
          </w:p>
          <w:p w14:paraId="714E45E3" w14:textId="68C26EFE" w:rsidR="00114A8A" w:rsidRPr="00AF595A" w:rsidRDefault="00381F89" w:rsidP="00B578F0">
            <w:pPr>
              <w:spacing w:before="240" w:after="240"/>
            </w:pPr>
            <w:r w:rsidRPr="00AF595A">
              <w:t xml:space="preserve">Who the data is shared to and </w:t>
            </w:r>
            <w:proofErr w:type="gramStart"/>
            <w:r w:rsidRPr="00AF595A">
              <w:t>why.</w:t>
            </w:r>
            <w:proofErr w:type="gramEnd"/>
            <w:r w:rsidRPr="00AF595A">
              <w:t xml:space="preserve"> Most commonly sent to ad partners for monetization purposes.</w:t>
            </w: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4"/>
        <w:gridCol w:w="7982"/>
      </w:tblGrid>
      <w:tr w:rsidR="00DF7112" w14:paraId="7033D7A6" w14:textId="77777777" w:rsidTr="003819BC">
        <w:tc>
          <w:tcPr>
            <w:tcW w:w="2122" w:type="dxa"/>
            <w:shd w:val="clear" w:color="auto" w:fill="DBE5F1" w:themeFill="accent1" w:themeFillTint="33"/>
          </w:tcPr>
          <w:p w14:paraId="62053F0B" w14:textId="61AB5365" w:rsidR="00DF7112" w:rsidRPr="00AF595A" w:rsidRDefault="00DF7112" w:rsidP="00B578F0">
            <w:pPr>
              <w:spacing w:before="240" w:after="240"/>
              <w:rPr>
                <w:b/>
                <w:bCs/>
              </w:rPr>
            </w:pPr>
            <w:r w:rsidRPr="00AF595A">
              <w:rPr>
                <w:b/>
                <w:bCs/>
              </w:rPr>
              <w:t>Organisation</w:t>
            </w:r>
            <w:r w:rsidR="00114A8A" w:rsidRPr="00AF595A">
              <w:rPr>
                <w:b/>
                <w:bCs/>
              </w:rPr>
              <w:t xml:space="preserve"> 2</w:t>
            </w:r>
            <w:r w:rsidR="00890FFA" w:rsidRPr="00AF595A">
              <w:rPr>
                <w:b/>
                <w:bCs/>
              </w:rPr>
              <w:t>:</w:t>
            </w:r>
          </w:p>
        </w:tc>
        <w:tc>
          <w:tcPr>
            <w:tcW w:w="6894" w:type="dxa"/>
          </w:tcPr>
          <w:p w14:paraId="7E5078B6" w14:textId="622EA424" w:rsidR="00DF7112" w:rsidRPr="00AF595A" w:rsidRDefault="00381F89" w:rsidP="00B578F0">
            <w:pPr>
              <w:spacing w:before="240" w:after="240"/>
            </w:pPr>
            <w:r w:rsidRPr="00AF595A">
              <w:t>Ketchapp</w:t>
            </w:r>
          </w:p>
        </w:tc>
      </w:tr>
      <w:tr w:rsidR="00DF7112" w14:paraId="3016F1AE" w14:textId="77777777" w:rsidTr="003819BC">
        <w:tc>
          <w:tcPr>
            <w:tcW w:w="2122" w:type="dxa"/>
            <w:shd w:val="clear" w:color="auto" w:fill="DBE5F1" w:themeFill="accent1" w:themeFillTint="33"/>
          </w:tcPr>
          <w:p w14:paraId="0002C3AB" w14:textId="6E022518" w:rsidR="00DF7112" w:rsidRPr="00AF595A" w:rsidRDefault="00114A8A" w:rsidP="00B578F0">
            <w:pPr>
              <w:spacing w:before="240" w:after="240"/>
              <w:rPr>
                <w:b/>
                <w:bCs/>
              </w:rPr>
            </w:pPr>
            <w:r w:rsidRPr="00AF595A">
              <w:rPr>
                <w:b/>
                <w:bCs/>
              </w:rPr>
              <w:t>Policy URL:</w:t>
            </w:r>
          </w:p>
        </w:tc>
        <w:tc>
          <w:tcPr>
            <w:tcW w:w="6894" w:type="dxa"/>
          </w:tcPr>
          <w:p w14:paraId="05192116" w14:textId="7689C1A9" w:rsidR="00DF7112" w:rsidRPr="00AF595A" w:rsidRDefault="00343B7D" w:rsidP="00B578F0">
            <w:pPr>
              <w:spacing w:before="240" w:after="240"/>
            </w:pPr>
            <w:hyperlink r:id="rId11" w:anchor=":~:text=Unless%20the%20law%20specifies%20a,the%20closure%20of%20the%20Account" w:history="1">
              <w:r w:rsidR="00AF595A" w:rsidRPr="00DE3704">
                <w:rPr>
                  <w:rStyle w:val="Hyperlink"/>
                </w:rPr>
                <w:t>http://ketchappgames.com/privacy.html#:~:text=Unless%20the%20law%20specifies%20a,the%20closure%20of%20the%20Account</w:t>
              </w:r>
            </w:hyperlink>
            <w:r w:rsidR="00381F89" w:rsidRPr="00AF595A">
              <w:t>.</w:t>
            </w:r>
            <w:r w:rsidR="00AF595A">
              <w:t xml:space="preserve">  </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4423C8E2" w:rsidR="007E00B1" w:rsidRPr="00AF595A" w:rsidRDefault="00372476" w:rsidP="00B578F0">
            <w:pPr>
              <w:spacing w:before="240" w:after="240"/>
            </w:pPr>
            <w:r w:rsidRPr="00AF595A">
              <w:t>Outlines their definition of personal data which they will collect and store.</w:t>
            </w:r>
          </w:p>
          <w:p w14:paraId="63032DC1" w14:textId="49318425" w:rsidR="00114A8A" w:rsidRPr="00AF595A" w:rsidRDefault="00372476" w:rsidP="00B578F0">
            <w:pPr>
              <w:spacing w:before="240" w:after="240"/>
            </w:pPr>
            <w:r w:rsidRPr="00AF595A">
              <w:t>When Ketchap</w:t>
            </w:r>
            <w:r w:rsidR="0065187B">
              <w:t>p</w:t>
            </w:r>
            <w:r w:rsidRPr="00AF595A">
              <w:t xml:space="preserve"> will collect the </w:t>
            </w:r>
            <w:proofErr w:type="gramStart"/>
            <w:r w:rsidRPr="00AF595A">
              <w:t>users</w:t>
            </w:r>
            <w:proofErr w:type="gramEnd"/>
            <w:r w:rsidRPr="00AF595A">
              <w:t xml:space="preserve"> data and how it will be used.</w:t>
            </w:r>
          </w:p>
          <w:p w14:paraId="404482F4" w14:textId="134F398F" w:rsidR="00372476" w:rsidRPr="00AF595A" w:rsidRDefault="00372476" w:rsidP="00B578F0">
            <w:pPr>
              <w:spacing w:before="240" w:after="240"/>
            </w:pPr>
            <w:r w:rsidRPr="00AF595A">
              <w:t xml:space="preserve">The </w:t>
            </w:r>
            <w:proofErr w:type="gramStart"/>
            <w:r w:rsidRPr="00AF595A">
              <w:t>users</w:t>
            </w:r>
            <w:proofErr w:type="gramEnd"/>
            <w:r w:rsidRPr="00AF595A">
              <w:t xml:space="preserve"> rights concerning their privacy policy, the local governments laws concerning privacy policies and data collection.</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9"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9"/>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2"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10"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10"/>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t>
      </w:r>
      <w:proofErr w:type="gramStart"/>
      <w:r w:rsidRPr="007B56D5">
        <w:t>when</w:t>
      </w:r>
      <w:proofErr w:type="gramEnd"/>
      <w:r w:rsidRPr="007B56D5">
        <w:t xml:space="preserve">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t>
            </w:r>
            <w:proofErr w:type="gramStart"/>
            <w:r w:rsidRPr="00D45323">
              <w:rPr>
                <w:b/>
                <w:bCs/>
                <w:sz w:val="24"/>
                <w:szCs w:val="24"/>
              </w:rPr>
              <w:t>when</w:t>
            </w:r>
            <w:proofErr w:type="gramEnd"/>
            <w:r w:rsidRPr="00D45323">
              <w:rPr>
                <w:b/>
                <w:bCs/>
                <w:sz w:val="24"/>
                <w:szCs w:val="24"/>
              </w:rPr>
              <w:t xml:space="preserve">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11"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11"/>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2"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2"/>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3"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3"/>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343B7D" w:rsidP="00A07FE7">
      <w:pPr>
        <w:pStyle w:val="NoSpacing"/>
        <w:ind w:left="720"/>
      </w:pPr>
      <w:hyperlink r:id="rId13"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343B7D" w:rsidP="00A07FE7">
      <w:pPr>
        <w:pStyle w:val="NoSpacing"/>
        <w:ind w:left="720"/>
      </w:pPr>
      <w:hyperlink r:id="rId14"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343B7D" w:rsidP="00A07FE7">
      <w:pPr>
        <w:pStyle w:val="NoSpacing"/>
        <w:ind w:left="720"/>
      </w:pPr>
      <w:hyperlink r:id="rId15"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4"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4"/>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5"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5"/>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EF94BD5">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3337CFC9" w:rsidR="00B43728" w:rsidRDefault="007E4EDA" w:rsidP="007047B1">
            <w:pPr>
              <w:spacing w:before="240" w:after="240"/>
              <w:rPr>
                <w:color w:val="FF0000"/>
              </w:rPr>
            </w:pPr>
            <w:r>
              <w:rPr>
                <w:color w:val="FF0000"/>
              </w:rPr>
              <w:t>Email Threats</w:t>
            </w:r>
          </w:p>
        </w:tc>
      </w:tr>
      <w:tr w:rsidR="00B43728" w14:paraId="20B62A3B" w14:textId="77777777" w:rsidTr="0EF94BD5">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0E3D751D" w:rsidR="00B43728" w:rsidRDefault="007E4EDA" w:rsidP="007047B1">
            <w:pPr>
              <w:spacing w:before="240" w:after="240"/>
              <w:rPr>
                <w:color w:val="FF0000"/>
              </w:rPr>
            </w:pPr>
            <w:r>
              <w:rPr>
                <w:color w:val="FF0000"/>
              </w:rPr>
              <w:t>Malicious e-mail attachments with the potential of containing malware.</w:t>
            </w:r>
          </w:p>
        </w:tc>
      </w:tr>
      <w:tr w:rsidR="00B43728" w14:paraId="29740D9A" w14:textId="77777777" w:rsidTr="0EF94BD5">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1EBBB0A3" w:rsidR="00B43728" w:rsidRDefault="0EF94BD5" w:rsidP="007047B1">
            <w:pPr>
              <w:spacing w:before="240" w:after="240"/>
              <w:rPr>
                <w:color w:val="FF0000"/>
              </w:rPr>
            </w:pPr>
            <w:r w:rsidRPr="0EF94BD5">
              <w:rPr>
                <w:color w:val="FF0000"/>
              </w:rPr>
              <w:t>Employees should be careful when opening links from emails and should be aware of the risks.</w:t>
            </w:r>
          </w:p>
        </w:tc>
      </w:tr>
      <w:tr w:rsidR="00B43728" w14:paraId="3D86B323" w14:textId="77777777" w:rsidTr="0EF94BD5">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080777D5" w:rsidR="00B43728" w:rsidRDefault="0EF94BD5" w:rsidP="007047B1">
            <w:pPr>
              <w:spacing w:before="240" w:after="240"/>
              <w:rPr>
                <w:color w:val="FF0000"/>
              </w:rPr>
            </w:pPr>
            <w:r w:rsidRPr="0EF94BD5">
              <w:rPr>
                <w:color w:val="FF0000"/>
              </w:rPr>
              <w:t>https://library.ahima.org/doc?oid=99319#.Yp2jbHZByUk</w:t>
            </w: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EF94BD5">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22BA2BBF" w:rsidR="00721BB8" w:rsidRDefault="00062287" w:rsidP="005316E9">
            <w:pPr>
              <w:spacing w:before="240" w:after="240"/>
              <w:rPr>
                <w:color w:val="FF0000"/>
              </w:rPr>
            </w:pPr>
            <w:r>
              <w:rPr>
                <w:color w:val="FF0000"/>
              </w:rPr>
              <w:t>Data Breaches</w:t>
            </w:r>
          </w:p>
        </w:tc>
      </w:tr>
      <w:tr w:rsidR="00721BB8" w14:paraId="4C76DAEB" w14:textId="77777777" w:rsidTr="0EF94BD5">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FDA083D" w:rsidR="00721BB8" w:rsidRDefault="0EF94BD5" w:rsidP="005316E9">
            <w:pPr>
              <w:spacing w:before="240" w:after="240"/>
              <w:rPr>
                <w:color w:val="FF0000"/>
              </w:rPr>
            </w:pPr>
            <w:r w:rsidRPr="0EF94BD5">
              <w:rPr>
                <w:color w:val="FF0000"/>
              </w:rPr>
              <w:t>Data breaches can leak sensitive information about the company, employees and potentially customers.</w:t>
            </w:r>
          </w:p>
        </w:tc>
      </w:tr>
      <w:tr w:rsidR="00721BB8" w14:paraId="5F83F858" w14:textId="77777777" w:rsidTr="0EF94BD5">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207B64A7" w:rsidR="00721BB8" w:rsidRDefault="0EF94BD5" w:rsidP="005316E9">
            <w:pPr>
              <w:spacing w:before="240" w:after="240"/>
              <w:rPr>
                <w:color w:val="FF0000"/>
              </w:rPr>
            </w:pPr>
            <w:r w:rsidRPr="0EF94BD5">
              <w:rPr>
                <w:color w:val="FF0000"/>
              </w:rPr>
              <w:t>High level security should be implemented to protect against this. Even then it is not guaranteed to be effective.</w:t>
            </w:r>
          </w:p>
        </w:tc>
      </w:tr>
      <w:tr w:rsidR="00721BB8" w14:paraId="1D9326AE" w14:textId="77777777" w:rsidTr="0EF94BD5">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1B15085D" w:rsidR="00721BB8" w:rsidRDefault="00E07C5E" w:rsidP="005316E9">
            <w:pPr>
              <w:spacing w:before="240" w:after="240"/>
              <w:rPr>
                <w:color w:val="FF0000"/>
              </w:rPr>
            </w:pPr>
            <w:r w:rsidRPr="00E07C5E">
              <w:rPr>
                <w:color w:val="FF0000"/>
              </w:rPr>
              <w:t>https://www.digitalshadows.com/blog-and-research/cyber-threats-to-the-online-gaming-industry/</w:t>
            </w:r>
          </w:p>
        </w:tc>
      </w:tr>
      <w:tr w:rsidR="00B43728" w14:paraId="14042618" w14:textId="77777777" w:rsidTr="0EF94BD5">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3CC59489" w:rsidR="00B43728" w:rsidRPr="00E07C5E" w:rsidRDefault="00E07C5E" w:rsidP="007047B1">
            <w:pPr>
              <w:spacing w:before="240" w:after="240"/>
              <w:rPr>
                <w:color w:val="FF0000"/>
              </w:rPr>
            </w:pPr>
            <w:r w:rsidRPr="00E07C5E">
              <w:rPr>
                <w:color w:val="FF0000"/>
              </w:rPr>
              <w:t>Ransomware</w:t>
            </w:r>
          </w:p>
        </w:tc>
      </w:tr>
      <w:tr w:rsidR="00B43728" w14:paraId="4773C278" w14:textId="77777777" w:rsidTr="0EF94BD5">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3EB03C19" w:rsidR="00B43728" w:rsidRDefault="0EF94BD5" w:rsidP="007047B1">
            <w:pPr>
              <w:spacing w:before="240" w:after="240"/>
            </w:pPr>
            <w:r w:rsidRPr="0EF94BD5">
              <w:rPr>
                <w:color w:val="FF0000"/>
              </w:rPr>
              <w:t>Ransomware is a type if software or malware that is designed to restrict the user from accessing it until a fee is paid to the scammer.</w:t>
            </w:r>
          </w:p>
        </w:tc>
      </w:tr>
      <w:tr w:rsidR="00B43728" w14:paraId="3D8CBD76" w14:textId="77777777" w:rsidTr="0EF94BD5">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17669DF4" w:rsidR="00B43728" w:rsidRDefault="0EF94BD5" w:rsidP="007047B1">
            <w:pPr>
              <w:spacing w:before="240" w:after="240"/>
            </w:pPr>
            <w:r w:rsidRPr="0EF94BD5">
              <w:rPr>
                <w:color w:val="FF0000"/>
              </w:rPr>
              <w:t>Ransomware is most commonly gained from downloading from an untrusted source or email.</w:t>
            </w:r>
          </w:p>
        </w:tc>
      </w:tr>
      <w:tr w:rsidR="00B43728" w14:paraId="314EED6F" w14:textId="77777777" w:rsidTr="0EF94BD5">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6F44F12" w:rsidR="00B43728" w:rsidRDefault="0EF94BD5" w:rsidP="0EF94BD5">
            <w:pPr>
              <w:spacing w:before="240" w:after="240"/>
              <w:rPr>
                <w:color w:val="FF0000"/>
              </w:rPr>
            </w:pPr>
            <w:r w:rsidRPr="0EF94BD5">
              <w:rPr>
                <w:color w:val="FF0000"/>
              </w:rPr>
              <w:t>https://www.upguard.com/blog/ransomware-examples</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EF94BD5">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3DB1BF85" w:rsidR="00721BB8" w:rsidRDefault="00786C4D" w:rsidP="005316E9">
            <w:pPr>
              <w:spacing w:before="240" w:after="240"/>
              <w:rPr>
                <w:color w:val="FF0000"/>
              </w:rPr>
            </w:pPr>
            <w:r>
              <w:rPr>
                <w:color w:val="FF0000"/>
              </w:rPr>
              <w:t>Phishing</w:t>
            </w:r>
          </w:p>
        </w:tc>
      </w:tr>
      <w:tr w:rsidR="00721BB8" w14:paraId="5B443704" w14:textId="77777777" w:rsidTr="0EF94BD5">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341D70F" w:rsidR="00721BB8" w:rsidRDefault="0EF94BD5" w:rsidP="005316E9">
            <w:pPr>
              <w:spacing w:before="240" w:after="240"/>
              <w:rPr>
                <w:color w:val="FF0000"/>
              </w:rPr>
            </w:pPr>
            <w:r w:rsidRPr="0EF94BD5">
              <w:rPr>
                <w:color w:val="FF0000"/>
              </w:rPr>
              <w:t>Phishing is usually in the form of emails and is intended on tricking someone into disclosing information that is private to the company or person.</w:t>
            </w:r>
          </w:p>
        </w:tc>
      </w:tr>
      <w:tr w:rsidR="00721BB8" w14:paraId="3F90A8BB" w14:textId="77777777" w:rsidTr="0EF94BD5">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5B72E6A9" w:rsidR="00721BB8" w:rsidRDefault="0EF94BD5" w:rsidP="005316E9">
            <w:pPr>
              <w:spacing w:before="240" w:after="240"/>
              <w:rPr>
                <w:color w:val="FF0000"/>
              </w:rPr>
            </w:pPr>
            <w:r w:rsidRPr="0EF94BD5">
              <w:rPr>
                <w:color w:val="FF0000"/>
              </w:rPr>
              <w:t>Employees should not accept links or downloads from untrusted sources.</w:t>
            </w:r>
          </w:p>
        </w:tc>
      </w:tr>
      <w:tr w:rsidR="00721BB8" w14:paraId="2CB1F844" w14:textId="77777777" w:rsidTr="0EF94BD5">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2654F5E2" w:rsidR="00721BB8" w:rsidRDefault="0EF94BD5" w:rsidP="005316E9">
            <w:pPr>
              <w:spacing w:before="240" w:after="240"/>
              <w:rPr>
                <w:color w:val="FF0000"/>
              </w:rPr>
            </w:pPr>
            <w:r w:rsidRPr="0EF94BD5">
              <w:rPr>
                <w:color w:val="FF0000"/>
              </w:rPr>
              <w:t>https://terranovasecurity.com/top-examples-of-phishing-emails/</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67"/>
        <w:gridCol w:w="7739"/>
      </w:tblGrid>
      <w:tr w:rsidR="00721BB8" w14:paraId="7BEC65E7" w14:textId="77777777" w:rsidTr="0EF94BD5">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0D75E232" w:rsidR="00721BB8" w:rsidRDefault="0EF94BD5" w:rsidP="005316E9">
            <w:pPr>
              <w:spacing w:before="240" w:after="240"/>
              <w:rPr>
                <w:color w:val="FF0000"/>
              </w:rPr>
            </w:pPr>
            <w:r w:rsidRPr="0EF94BD5">
              <w:rPr>
                <w:color w:val="FF0000"/>
              </w:rPr>
              <w:t>Drive-by malware</w:t>
            </w:r>
          </w:p>
        </w:tc>
      </w:tr>
      <w:tr w:rsidR="00721BB8" w14:paraId="1A385C77" w14:textId="77777777" w:rsidTr="0EF94BD5">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5595DBF" w:rsidR="00721BB8" w:rsidRDefault="0EF94BD5" w:rsidP="005316E9">
            <w:pPr>
              <w:spacing w:before="240" w:after="240"/>
              <w:rPr>
                <w:color w:val="FF0000"/>
              </w:rPr>
            </w:pPr>
            <w:r w:rsidRPr="0EF94BD5">
              <w:rPr>
                <w:color w:val="FF0000"/>
              </w:rPr>
              <w:t>Unintentional download of malicious software that exposes the user.</w:t>
            </w:r>
          </w:p>
        </w:tc>
      </w:tr>
      <w:tr w:rsidR="00721BB8" w14:paraId="4DFF15D4" w14:textId="77777777" w:rsidTr="0EF94BD5">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D654150" w:rsidR="00721BB8" w:rsidRDefault="0EF94BD5" w:rsidP="005316E9">
            <w:pPr>
              <w:spacing w:before="240" w:after="240"/>
              <w:rPr>
                <w:color w:val="FF0000"/>
              </w:rPr>
            </w:pPr>
            <w:r w:rsidRPr="0EF94BD5">
              <w:rPr>
                <w:color w:val="FF0000"/>
              </w:rPr>
              <w:t>This threat can often be avoided by not downloading files from an untrusted website but can be difficult to detect once the malware is present on the machine.</w:t>
            </w:r>
          </w:p>
        </w:tc>
      </w:tr>
      <w:tr w:rsidR="00721BB8" w14:paraId="7758E6FD" w14:textId="77777777" w:rsidTr="0EF94BD5">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lastRenderedPageBreak/>
              <w:t>References or URLs:</w:t>
            </w:r>
          </w:p>
        </w:tc>
        <w:tc>
          <w:tcPr>
            <w:tcW w:w="6886" w:type="dxa"/>
            <w:tcBorders>
              <w:bottom w:val="single" w:sz="8" w:space="0" w:color="auto"/>
            </w:tcBorders>
          </w:tcPr>
          <w:p w14:paraId="53943242" w14:textId="002F1875" w:rsidR="00721BB8" w:rsidRDefault="0EF94BD5" w:rsidP="005316E9">
            <w:pPr>
              <w:spacing w:before="240" w:after="240"/>
              <w:rPr>
                <w:color w:val="FF0000"/>
              </w:rPr>
            </w:pPr>
            <w:r w:rsidRPr="0EF94BD5">
              <w:rPr>
                <w:color w:val="FF0000"/>
              </w:rPr>
              <w:t>https://www.trendmicro.com/vinfo/us/security/definition/drive-by-download#:~:text=A%20drive%2Dby%20download%20refers,to%20different%20types%20of%20threats.</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6"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6"/>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7"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7"/>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8" w:name="_Toc72833522"/>
      <w:r>
        <w:rPr>
          <w:color w:val="0070C0"/>
        </w:rPr>
        <w:lastRenderedPageBreak/>
        <w:t>8</w:t>
      </w:r>
      <w:r w:rsidR="00192804" w:rsidRPr="003819BC">
        <w:rPr>
          <w:color w:val="0070C0"/>
        </w:rPr>
        <w:t>.4</w:t>
      </w:r>
      <w:r w:rsidR="008F7DA8" w:rsidRPr="003819BC">
        <w:rPr>
          <w:color w:val="0070C0"/>
        </w:rPr>
        <w:t xml:space="preserve"> ICT gap analysis</w:t>
      </w:r>
      <w:bookmarkEnd w:id="18"/>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9" w:name="_Hlk72767474"/>
      <w:r w:rsidR="00B23441">
        <w:t>Where possible include a range of solutions to resolve each identified gap</w:t>
      </w:r>
      <w:r w:rsidR="006A3496" w:rsidRPr="00BD25C4">
        <w:t xml:space="preserve">. </w:t>
      </w:r>
      <w:r w:rsidR="0060752A" w:rsidRPr="00BD25C4">
        <w:t xml:space="preserve"> </w:t>
      </w:r>
    </w:p>
    <w:bookmarkEnd w:id="19"/>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8"/>
      <w:headerReference w:type="default" r:id="rId19"/>
      <w:footerReference w:type="default" r:id="rId20"/>
      <w:headerReference w:type="first" r:id="rId21"/>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0FF6A" w14:textId="77777777" w:rsidR="00343B7D" w:rsidRDefault="00343B7D" w:rsidP="00A044A1">
      <w:pPr>
        <w:spacing w:after="0" w:line="240" w:lineRule="auto"/>
      </w:pPr>
      <w:r>
        <w:separator/>
      </w:r>
    </w:p>
  </w:endnote>
  <w:endnote w:type="continuationSeparator" w:id="0">
    <w:p w14:paraId="6564B646" w14:textId="77777777" w:rsidR="00343B7D" w:rsidRDefault="00343B7D" w:rsidP="00A044A1">
      <w:pPr>
        <w:spacing w:after="0" w:line="240" w:lineRule="auto"/>
      </w:pPr>
      <w:r>
        <w:continuationSeparator/>
      </w:r>
    </w:p>
  </w:endnote>
  <w:endnote w:type="continuationNotice" w:id="1">
    <w:p w14:paraId="2A8AC2A1" w14:textId="77777777" w:rsidR="00343B7D" w:rsidRDefault="00343B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F3FFF" w14:textId="77777777" w:rsidR="00343B7D" w:rsidRDefault="00343B7D" w:rsidP="00A044A1">
      <w:pPr>
        <w:spacing w:after="0" w:line="240" w:lineRule="auto"/>
      </w:pPr>
      <w:r>
        <w:separator/>
      </w:r>
    </w:p>
  </w:footnote>
  <w:footnote w:type="continuationSeparator" w:id="0">
    <w:p w14:paraId="48C3A792" w14:textId="77777777" w:rsidR="00343B7D" w:rsidRDefault="00343B7D" w:rsidP="00A044A1">
      <w:pPr>
        <w:spacing w:after="0" w:line="240" w:lineRule="auto"/>
      </w:pPr>
      <w:r>
        <w:continuationSeparator/>
      </w:r>
    </w:p>
  </w:footnote>
  <w:footnote w:type="continuationNotice" w:id="1">
    <w:p w14:paraId="4D006703" w14:textId="77777777" w:rsidR="00343B7D" w:rsidRDefault="00343B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343B7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343B7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52CB4"/>
    <w:rsid w:val="00062287"/>
    <w:rsid w:val="00066A29"/>
    <w:rsid w:val="00080BAC"/>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85F38"/>
    <w:rsid w:val="00296AB1"/>
    <w:rsid w:val="00296B2B"/>
    <w:rsid w:val="002A6700"/>
    <w:rsid w:val="002B046C"/>
    <w:rsid w:val="002B5456"/>
    <w:rsid w:val="002B76B0"/>
    <w:rsid w:val="002D4152"/>
    <w:rsid w:val="002D555F"/>
    <w:rsid w:val="002E05AF"/>
    <w:rsid w:val="002E2A37"/>
    <w:rsid w:val="002F014E"/>
    <w:rsid w:val="002F1782"/>
    <w:rsid w:val="002F2666"/>
    <w:rsid w:val="002F5575"/>
    <w:rsid w:val="00307389"/>
    <w:rsid w:val="00314C9A"/>
    <w:rsid w:val="003173BB"/>
    <w:rsid w:val="00321CA8"/>
    <w:rsid w:val="0032292D"/>
    <w:rsid w:val="0032671C"/>
    <w:rsid w:val="00332537"/>
    <w:rsid w:val="00336353"/>
    <w:rsid w:val="00343B7D"/>
    <w:rsid w:val="00351BA2"/>
    <w:rsid w:val="003525DA"/>
    <w:rsid w:val="003541BA"/>
    <w:rsid w:val="003548EE"/>
    <w:rsid w:val="0035754B"/>
    <w:rsid w:val="00357D3D"/>
    <w:rsid w:val="00372476"/>
    <w:rsid w:val="003743C7"/>
    <w:rsid w:val="003819BC"/>
    <w:rsid w:val="00381F89"/>
    <w:rsid w:val="00382D5A"/>
    <w:rsid w:val="003854CB"/>
    <w:rsid w:val="003A3165"/>
    <w:rsid w:val="003A6DD8"/>
    <w:rsid w:val="003B2D5E"/>
    <w:rsid w:val="003C59E8"/>
    <w:rsid w:val="003E17B5"/>
    <w:rsid w:val="003E49E9"/>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5187B"/>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018"/>
    <w:rsid w:val="006F35AA"/>
    <w:rsid w:val="006F6555"/>
    <w:rsid w:val="007047B1"/>
    <w:rsid w:val="00717E5E"/>
    <w:rsid w:val="00721BB8"/>
    <w:rsid w:val="0073264C"/>
    <w:rsid w:val="00735BC3"/>
    <w:rsid w:val="00742FCF"/>
    <w:rsid w:val="007452F8"/>
    <w:rsid w:val="00746771"/>
    <w:rsid w:val="0076433A"/>
    <w:rsid w:val="007648BB"/>
    <w:rsid w:val="00771759"/>
    <w:rsid w:val="007817F5"/>
    <w:rsid w:val="00785BC3"/>
    <w:rsid w:val="00786C4D"/>
    <w:rsid w:val="0079065A"/>
    <w:rsid w:val="007927C6"/>
    <w:rsid w:val="00792C04"/>
    <w:rsid w:val="007937D0"/>
    <w:rsid w:val="00797F5C"/>
    <w:rsid w:val="007A2806"/>
    <w:rsid w:val="007B2B57"/>
    <w:rsid w:val="007B56D5"/>
    <w:rsid w:val="007D53F7"/>
    <w:rsid w:val="007E00B1"/>
    <w:rsid w:val="007E0A8C"/>
    <w:rsid w:val="007E4EDA"/>
    <w:rsid w:val="007E69BB"/>
    <w:rsid w:val="007F7D72"/>
    <w:rsid w:val="008031AB"/>
    <w:rsid w:val="00825964"/>
    <w:rsid w:val="00840108"/>
    <w:rsid w:val="0084015E"/>
    <w:rsid w:val="00842C25"/>
    <w:rsid w:val="00850534"/>
    <w:rsid w:val="00851493"/>
    <w:rsid w:val="00852BAD"/>
    <w:rsid w:val="00864961"/>
    <w:rsid w:val="00865220"/>
    <w:rsid w:val="008653F9"/>
    <w:rsid w:val="00873AAA"/>
    <w:rsid w:val="00876ED1"/>
    <w:rsid w:val="00883C40"/>
    <w:rsid w:val="00886EE8"/>
    <w:rsid w:val="00890FFA"/>
    <w:rsid w:val="00892671"/>
    <w:rsid w:val="00895F33"/>
    <w:rsid w:val="008A0D7F"/>
    <w:rsid w:val="008A1581"/>
    <w:rsid w:val="008A3379"/>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595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C3BEE"/>
    <w:rsid w:val="00BD008F"/>
    <w:rsid w:val="00BD0798"/>
    <w:rsid w:val="00BD25C4"/>
    <w:rsid w:val="00BD53CD"/>
    <w:rsid w:val="00BE2A07"/>
    <w:rsid w:val="00BF0E1B"/>
    <w:rsid w:val="00BF2429"/>
    <w:rsid w:val="00C057D2"/>
    <w:rsid w:val="00C24C7A"/>
    <w:rsid w:val="00C26717"/>
    <w:rsid w:val="00C54527"/>
    <w:rsid w:val="00C654A6"/>
    <w:rsid w:val="00C73DF3"/>
    <w:rsid w:val="00C7428E"/>
    <w:rsid w:val="00C87D2A"/>
    <w:rsid w:val="00C96EA8"/>
    <w:rsid w:val="00CA3B40"/>
    <w:rsid w:val="00CB3704"/>
    <w:rsid w:val="00CC0CFD"/>
    <w:rsid w:val="00CC4BCB"/>
    <w:rsid w:val="00CF1B2D"/>
    <w:rsid w:val="00D036B7"/>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DF7D8D"/>
    <w:rsid w:val="00E05F0C"/>
    <w:rsid w:val="00E060A9"/>
    <w:rsid w:val="00E06963"/>
    <w:rsid w:val="00E07C5E"/>
    <w:rsid w:val="00E1005B"/>
    <w:rsid w:val="00E17587"/>
    <w:rsid w:val="00E17B1B"/>
    <w:rsid w:val="00E224B9"/>
    <w:rsid w:val="00E416B3"/>
    <w:rsid w:val="00E50C82"/>
    <w:rsid w:val="00E54BC2"/>
    <w:rsid w:val="00E55CFD"/>
    <w:rsid w:val="00E64DB7"/>
    <w:rsid w:val="00E8069A"/>
    <w:rsid w:val="00E812E8"/>
    <w:rsid w:val="00E91D78"/>
    <w:rsid w:val="00E9242F"/>
    <w:rsid w:val="00EA02AE"/>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EF94BD5"/>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character" w:customStyle="1" w:styleId="chardivtext">
    <w:name w:val="chardivtext"/>
    <w:basedOn w:val="DefaultParagraphFont"/>
    <w:rsid w:val="002A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 TargetMode="External"/><Relationship Id="rId13" Type="http://schemas.openxmlformats.org/officeDocument/2006/relationships/hyperlink" Target="https://resources.workable.com/grievance-procedur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ipaustralia.gov.au/understanding-ip/ip-contract-generator"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etchappgames.com/privacy.html" TargetMode="External"/><Relationship Id="rId5" Type="http://schemas.openxmlformats.org/officeDocument/2006/relationships/webSettings" Target="webSettings.xml"/><Relationship Id="rId15" Type="http://schemas.openxmlformats.org/officeDocument/2006/relationships/hyperlink" Target="https://www.antidiscrimination.justice.nsw.gov.au/Pages/adb1_makingacomplaint/adb1_makingacomplaint.aspx" TargetMode="External"/><Relationship Id="rId23" Type="http://schemas.openxmlformats.org/officeDocument/2006/relationships/theme" Target="theme/theme1.xml"/><Relationship Id="rId10" Type="http://schemas.openxmlformats.org/officeDocument/2006/relationships/hyperlink" Target="https://www.voodoo.io/privacy/"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wipo.int/portal/en/" TargetMode="External"/><Relationship Id="rId14" Type="http://schemas.openxmlformats.org/officeDocument/2006/relationships/hyperlink" Target="https://www.business.vic.gov.au/disputes-disasters-and-succession-planning/dispute-resolu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Jason Anderson</cp:lastModifiedBy>
  <cp:revision>14</cp:revision>
  <dcterms:created xsi:type="dcterms:W3CDTF">2021-05-25T01:26:00Z</dcterms:created>
  <dcterms:modified xsi:type="dcterms:W3CDTF">2022-06-24T04:27:00Z</dcterms:modified>
</cp:coreProperties>
</file>