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000000"/>
          <w:sz w:val="48"/>
        </w:rPr>
        <w:t>PROJECT QUOTATION</w:t>
      </w:r>
    </w:p>
    <w:p>
      <w:pPr>
        <w:spacing w:before="0" w:after="280" w:line="264" w:lineRule="auto"/>
      </w:pPr>
      <w:r>
        <w:rPr>
          <w:rFonts w:ascii="Calibri" w:hAnsi="Calibri"/>
          <w:b w:val="0"/>
          <w:i w:val="0"/>
          <w:color w:val="5A5A5A"/>
          <w:sz w:val="28"/>
        </w:rPr>
        <w:t>Applicant Tracking System - Server Procurement and Deployment</w:t>
      </w:r>
    </w:p>
    <w:tbl>
      <w:tblPr>
        <w:tblStyle w:val="TableGrid"/>
        <w:tblW w:type="dxa" w:w="9360"/>
        <w:jc w:val="left"/>
        <w:tblLayout w:type="fixed"/>
        <w:tblLook w:firstColumn="1" w:firstRow="1" w:lastColumn="0" w:lastRow="0" w:noHBand="0" w:noVBand="1" w:val="04A0"/>
        <w:tblInd w:type="dxa" w:w="120"/>
        <w:tblCellMar>
          <w:top w:w="80" w:type="dxa"/>
          <w:start w:w="120" w:type="dxa"/>
          <w:bottom w:w="80" w:type="dxa"/>
          <w:end w:w="120" w:type="dxa"/>
        </w:tblCellMa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800"/>
        <w:gridCol w:w="7560"/>
      </w:tblGrid>
      <w:tr>
        <w:tc>
          <w:tcPr>
            <w:tcW w:type="dxa" w:w="1800"/>
            <w:vAlign w:val="top"/>
          </w:tcPr>
          <w:p>
            <w:pPr>
              <w:spacing w:after="0"/>
            </w:pPr>
            <w:r/>
            <w:r>
              <w:rPr>
                <w:rFonts w:ascii="Calibri" w:hAnsi="Calibri"/>
                <w:b/>
                <w:i w:val="0"/>
                <w:color w:val="000000"/>
                <w:sz w:val="22"/>
              </w:rPr>
              <w:t>Prepared for</w:t>
            </w:r>
          </w:p>
        </w:tc>
        <w:tc>
          <w:tcPr>
            <w:tcW w:type="dxa" w:w="7560"/>
            <w:vAlign w:val="top"/>
          </w:tcPr>
          <w:p>
            <w:pPr>
              <w:spacing w:after="0"/>
            </w:pPr>
            <w:r/>
            <w:r>
              <w:rPr>
                <w:rFonts w:ascii="Calibri" w:hAnsi="Calibri"/>
                <w:b w:val="0"/>
                <w:i w:val="0"/>
                <w:color w:val="000000"/>
                <w:sz w:val="22"/>
              </w:rPr>
              <w:t>[Client / Company Name]</w:t>
            </w:r>
          </w:p>
        </w:tc>
      </w:tr>
      <w:tr>
        <w:tc>
          <w:tcPr>
            <w:tcW w:type="dxa" w:w="1800"/>
            <w:vAlign w:val="top"/>
          </w:tcPr>
          <w:p>
            <w:pPr>
              <w:spacing w:after="0"/>
            </w:pPr>
            <w:r/>
            <w:r>
              <w:rPr>
                <w:rFonts w:ascii="Calibri" w:hAnsi="Calibri"/>
                <w:b/>
                <w:i w:val="0"/>
                <w:color w:val="000000"/>
                <w:sz w:val="22"/>
              </w:rPr>
              <w:t>Prepared by</w:t>
            </w:r>
          </w:p>
        </w:tc>
        <w:tc>
          <w:tcPr>
            <w:tcW w:type="dxa" w:w="7560"/>
            <w:vAlign w:val="top"/>
          </w:tcPr>
          <w:p>
            <w:pPr>
              <w:spacing w:after="0"/>
            </w:pPr>
            <w:r/>
            <w:r>
              <w:rPr>
                <w:rFonts w:ascii="Calibri" w:hAnsi="Calibri"/>
                <w:b w:val="0"/>
                <w:i w:val="0"/>
                <w:color w:val="000000"/>
                <w:sz w:val="22"/>
              </w:rPr>
              <w:t>[Supplier / Service Provider Name]</w:t>
            </w:r>
          </w:p>
        </w:tc>
      </w:tr>
      <w:tr>
        <w:tc>
          <w:tcPr>
            <w:tcW w:type="dxa" w:w="1800"/>
            <w:vAlign w:val="top"/>
          </w:tcPr>
          <w:p>
            <w:pPr>
              <w:spacing w:after="0"/>
            </w:pPr>
            <w:r/>
            <w:r>
              <w:rPr>
                <w:rFonts w:ascii="Calibri" w:hAnsi="Calibri"/>
                <w:b/>
                <w:i w:val="0"/>
                <w:color w:val="000000"/>
                <w:sz w:val="22"/>
              </w:rPr>
              <w:t>Quotation date</w:t>
            </w:r>
          </w:p>
        </w:tc>
        <w:tc>
          <w:tcPr>
            <w:tcW w:type="dxa" w:w="7560"/>
            <w:vAlign w:val="top"/>
          </w:tcPr>
          <w:p>
            <w:pPr>
              <w:spacing w:after="0"/>
            </w:pPr>
            <w:r/>
            <w:r>
              <w:rPr>
                <w:rFonts w:ascii="Calibri" w:hAnsi="Calibri"/>
                <w:b w:val="0"/>
                <w:i w:val="0"/>
                <w:color w:val="000000"/>
                <w:sz w:val="22"/>
              </w:rPr>
              <w:t>May 25, 2026</w:t>
            </w:r>
          </w:p>
        </w:tc>
      </w:tr>
      <w:tr>
        <w:tc>
          <w:tcPr>
            <w:tcW w:type="dxa" w:w="1800"/>
            <w:vAlign w:val="top"/>
          </w:tcPr>
          <w:p>
            <w:pPr>
              <w:spacing w:after="0"/>
            </w:pPr>
            <w:r/>
            <w:r>
              <w:rPr>
                <w:rFonts w:ascii="Calibri" w:hAnsi="Calibri"/>
                <w:b/>
                <w:i w:val="0"/>
                <w:color w:val="000000"/>
                <w:sz w:val="22"/>
              </w:rPr>
              <w:t>Validity</w:t>
            </w:r>
          </w:p>
        </w:tc>
        <w:tc>
          <w:tcPr>
            <w:tcW w:type="dxa" w:w="7560"/>
            <w:vAlign w:val="top"/>
          </w:tcPr>
          <w:p>
            <w:pPr>
              <w:spacing w:after="0"/>
            </w:pPr>
            <w:r/>
            <w:r>
              <w:rPr>
                <w:rFonts w:ascii="Calibri" w:hAnsi="Calibri"/>
                <w:b w:val="0"/>
                <w:i w:val="0"/>
                <w:color w:val="000000"/>
                <w:sz w:val="22"/>
              </w:rPr>
              <w:t>15 calendar days from quotation date</w:t>
            </w:r>
          </w:p>
        </w:tc>
      </w:tr>
      <w:tr>
        <w:tc>
          <w:tcPr>
            <w:tcW w:type="dxa" w:w="1800"/>
            <w:vAlign w:val="top"/>
          </w:tcPr>
          <w:p>
            <w:pPr>
              <w:spacing w:after="0"/>
            </w:pPr>
            <w:r/>
            <w:r>
              <w:rPr>
                <w:rFonts w:ascii="Calibri" w:hAnsi="Calibri"/>
                <w:b/>
                <w:i w:val="0"/>
                <w:color w:val="000000"/>
                <w:sz w:val="22"/>
              </w:rPr>
              <w:t>Currency</w:t>
            </w:r>
          </w:p>
        </w:tc>
        <w:tc>
          <w:tcPr>
            <w:tcW w:type="dxa" w:w="7560"/>
            <w:vAlign w:val="top"/>
          </w:tcPr>
          <w:p>
            <w:pPr>
              <w:spacing w:after="0"/>
            </w:pPr>
            <w:r/>
            <w:r>
              <w:rPr>
                <w:rFonts w:ascii="Calibri" w:hAnsi="Calibri"/>
                <w:b w:val="0"/>
                <w:i w:val="0"/>
                <w:color w:val="000000"/>
                <w:sz w:val="22"/>
              </w:rPr>
              <w:t>PHP, with USD cloud pricing converted at PHP 61.38 per USD</w:t>
            </w:r>
          </w:p>
        </w:tc>
      </w:tr>
      <w:tr>
        <w:tc>
          <w:tcPr>
            <w:tcW w:type="dxa" w:w="1800"/>
            <w:vAlign w:val="top"/>
          </w:tcPr>
          <w:p>
            <w:pPr>
              <w:spacing w:after="0"/>
            </w:pPr>
            <w:r/>
            <w:r>
              <w:rPr>
                <w:rFonts w:ascii="Calibri" w:hAnsi="Calibri"/>
                <w:b/>
                <w:i w:val="0"/>
                <w:color w:val="000000"/>
                <w:sz w:val="22"/>
              </w:rPr>
              <w:t>Document status</w:t>
            </w:r>
          </w:p>
        </w:tc>
        <w:tc>
          <w:tcPr>
            <w:tcW w:type="dxa" w:w="7560"/>
            <w:vAlign w:val="top"/>
          </w:tcPr>
          <w:p>
            <w:pPr>
              <w:spacing w:after="0"/>
            </w:pPr>
            <w:r/>
            <w:r>
              <w:rPr>
                <w:rFonts w:ascii="Calibri" w:hAnsi="Calibri"/>
                <w:b w:val="0"/>
                <w:i w:val="0"/>
                <w:color w:val="000000"/>
                <w:sz w:val="22"/>
              </w:rPr>
              <w:t>For budget approval and server purchase decision</w:t>
            </w:r>
          </w:p>
        </w:tc>
      </w:tr>
    </w:tbl>
    <w:p>
      <w:pPr>
        <w:pStyle w:val="Heading1"/>
        <w:spacing w:before="320" w:after="160"/>
      </w:pPr>
      <w:r>
        <w:rPr>
          <w:rFonts w:ascii="Calibri" w:hAnsi="Calibri"/>
          <w:b/>
          <w:i w:val="0"/>
          <w:color w:val="2E74B5"/>
          <w:sz w:val="32"/>
        </w:rPr>
        <w:t>Executive Summary</w:t>
      </w:r>
    </w:p>
    <w:p>
      <w:pPr>
        <w:spacing w:before="0" w:after="120" w:line="264" w:lineRule="auto"/>
      </w:pPr>
      <w:r>
        <w:rPr>
          <w:rFonts w:ascii="Calibri" w:hAnsi="Calibri"/>
          <w:b w:val="0"/>
          <w:i w:val="0"/>
          <w:color w:val="000000"/>
          <w:sz w:val="22"/>
        </w:rPr>
        <w:t>This quotation covers the recommended server package for hosting the Applicant Tracking System (ATS), a Flask-based web application with employee authentication, RBAC administration, applicant records, PDF CV uploads, PostgreSQL support, and employee dashboard workflows.</w:t>
      </w:r>
    </w:p>
    <w:p>
      <w:pPr>
        <w:spacing w:before="0" w:after="120" w:line="264" w:lineRule="auto"/>
      </w:pPr>
      <w:r>
        <w:rPr>
          <w:rFonts w:ascii="Calibri" w:hAnsi="Calibri"/>
          <w:b w:val="0"/>
          <w:i w:val="0"/>
          <w:color w:val="000000"/>
          <w:sz w:val="22"/>
        </w:rPr>
        <w:t>The recommended starter production setup is a cloud VPS with PostgreSQL, automated backups, SSL, deployment hardening, and a separate small staging server. This is sized for an initial small-to-medium internal deployment and can be upgraded without changing the application architecture.</w:t>
      </w:r>
    </w:p>
    <w:p>
      <w:pPr>
        <w:pStyle w:val="Heading1"/>
        <w:spacing w:before="320" w:after="160"/>
      </w:pPr>
      <w:r>
        <w:rPr>
          <w:rFonts w:ascii="Calibri" w:hAnsi="Calibri"/>
          <w:b/>
          <w:i w:val="0"/>
          <w:color w:val="2E74B5"/>
          <w:sz w:val="32"/>
        </w:rPr>
        <w:t>Recommended Server Architecture</w:t>
      </w:r>
    </w:p>
    <w:tbl>
      <w:tblPr>
        <w:tblStyle w:val="TableGrid"/>
        <w:tblW w:type="dxa" w:w="9360"/>
        <w:jc w:val="left"/>
        <w:tblLayout w:type="fixed"/>
        <w:tblLook w:firstColumn="1" w:firstRow="1" w:lastColumn="0" w:lastRow="0" w:noHBand="0" w:noVBand="1" w:val="04A0"/>
        <w:tblInd w:type="dxa" w:w="120"/>
        <w:tblCellMar>
          <w:top w:w="80" w:type="dxa"/>
          <w:start w:w="120" w:type="dxa"/>
          <w:bottom w:w="80" w:type="dxa"/>
          <w:end w:w="120" w:type="dxa"/>
        </w:tblCellMa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900"/>
        <w:gridCol w:w="3700"/>
        <w:gridCol w:w="3760"/>
      </w:tblGrid>
      <w:tr>
        <w:tc>
          <w:tcPr>
            <w:tcW w:type="dxa" w:w="1900"/>
            <w:shd w:fill="F2F4F7"/>
          </w:tcPr>
          <w:p>
            <w:pPr>
              <w:spacing w:after="0"/>
            </w:pPr>
            <w:r/>
            <w:r>
              <w:rPr>
                <w:rFonts w:ascii="Calibri" w:hAnsi="Calibri"/>
                <w:b/>
                <w:i w:val="0"/>
                <w:color w:val="000000"/>
                <w:sz w:val="22"/>
              </w:rPr>
              <w:t>Component</w:t>
            </w:r>
          </w:p>
        </w:tc>
        <w:tc>
          <w:tcPr>
            <w:tcW w:type="dxa" w:w="3700"/>
            <w:shd w:fill="F2F4F7"/>
          </w:tcPr>
          <w:p>
            <w:pPr>
              <w:spacing w:after="0"/>
            </w:pPr>
            <w:r/>
            <w:r>
              <w:rPr>
                <w:rFonts w:ascii="Calibri" w:hAnsi="Calibri"/>
                <w:b/>
                <w:i w:val="0"/>
                <w:color w:val="000000"/>
                <w:sz w:val="22"/>
              </w:rPr>
              <w:t>Recommended Specification</w:t>
            </w:r>
          </w:p>
        </w:tc>
        <w:tc>
          <w:tcPr>
            <w:tcW w:type="dxa" w:w="3760"/>
            <w:shd w:fill="F2F4F7"/>
          </w:tcPr>
          <w:p>
            <w:pPr>
              <w:spacing w:after="0"/>
            </w:pPr>
            <w:r/>
            <w:r>
              <w:rPr>
                <w:rFonts w:ascii="Calibri" w:hAnsi="Calibri"/>
                <w:b/>
                <w:i w:val="0"/>
                <w:color w:val="000000"/>
                <w:sz w:val="22"/>
              </w:rPr>
              <w:t>Purpose</w:t>
            </w:r>
          </w:p>
        </w:tc>
      </w:tr>
      <w:tr>
        <w:tc>
          <w:tcPr>
            <w:tcW w:type="dxa" w:w="1900"/>
          </w:tcPr>
          <w:p>
            <w:pPr>
              <w:spacing w:after="0"/>
            </w:pPr>
            <w:r/>
            <w:r>
              <w:rPr>
                <w:rFonts w:ascii="Calibri" w:hAnsi="Calibri"/>
                <w:b w:val="0"/>
                <w:i w:val="0"/>
                <w:color w:val="000000"/>
                <w:sz w:val="21"/>
              </w:rPr>
              <w:t>Production application server</w:t>
            </w:r>
          </w:p>
        </w:tc>
        <w:tc>
          <w:tcPr>
            <w:tcW w:type="dxa" w:w="3700"/>
          </w:tcPr>
          <w:p>
            <w:pPr>
              <w:spacing w:after="0"/>
              <w:jc w:val="right"/>
            </w:pPr>
            <w:r/>
            <w:r>
              <w:rPr>
                <w:rFonts w:ascii="Calibri" w:hAnsi="Calibri"/>
                <w:b w:val="0"/>
                <w:i w:val="0"/>
                <w:color w:val="000000"/>
                <w:sz w:val="21"/>
              </w:rPr>
              <w:t>2 vCPU, 4 GB RAM, 80 GB SSD, Ubuntu LTS, public IPv4</w:t>
            </w:r>
          </w:p>
        </w:tc>
        <w:tc>
          <w:tcPr>
            <w:tcW w:type="dxa" w:w="3760"/>
          </w:tcPr>
          <w:p>
            <w:pPr>
              <w:spacing w:after="0"/>
              <w:jc w:val="right"/>
            </w:pPr>
            <w:r/>
            <w:r>
              <w:rPr>
                <w:rFonts w:ascii="Calibri" w:hAnsi="Calibri"/>
                <w:b w:val="0"/>
                <w:i w:val="0"/>
                <w:color w:val="000000"/>
                <w:sz w:val="21"/>
              </w:rPr>
              <w:t>Runs Flask/Gunicorn, Nginx reverse proxy, static assets, upload handling, and application services.</w:t>
            </w:r>
          </w:p>
        </w:tc>
      </w:tr>
      <w:tr>
        <w:tc>
          <w:tcPr>
            <w:tcW w:type="dxa" w:w="1900"/>
          </w:tcPr>
          <w:p>
            <w:pPr>
              <w:spacing w:after="0"/>
            </w:pPr>
            <w:r/>
            <w:r>
              <w:rPr>
                <w:rFonts w:ascii="Calibri" w:hAnsi="Calibri"/>
                <w:b w:val="0"/>
                <w:i w:val="0"/>
                <w:color w:val="000000"/>
                <w:sz w:val="21"/>
              </w:rPr>
              <w:t>Database</w:t>
            </w:r>
          </w:p>
        </w:tc>
        <w:tc>
          <w:tcPr>
            <w:tcW w:type="dxa" w:w="3700"/>
          </w:tcPr>
          <w:p>
            <w:pPr>
              <w:spacing w:after="0"/>
              <w:jc w:val="right"/>
            </w:pPr>
            <w:r/>
            <w:r>
              <w:rPr>
                <w:rFonts w:ascii="Calibri" w:hAnsi="Calibri"/>
                <w:b w:val="0"/>
                <w:i w:val="0"/>
                <w:color w:val="000000"/>
                <w:sz w:val="21"/>
              </w:rPr>
              <w:t>PostgreSQL 16, managed database preferred; self-managed PostgreSQL acceptable for lower monthly cost</w:t>
            </w:r>
          </w:p>
        </w:tc>
        <w:tc>
          <w:tcPr>
            <w:tcW w:type="dxa" w:w="3760"/>
          </w:tcPr>
          <w:p>
            <w:pPr>
              <w:spacing w:after="0"/>
              <w:jc w:val="right"/>
            </w:pPr>
            <w:r/>
            <w:r>
              <w:rPr>
                <w:rFonts w:ascii="Calibri" w:hAnsi="Calibri"/>
                <w:b w:val="0"/>
                <w:i w:val="0"/>
                <w:color w:val="000000"/>
                <w:sz w:val="21"/>
              </w:rPr>
              <w:t>Stores employees, roles, permissions, applicants, status history, and uploaded document metadata.</w:t>
            </w:r>
          </w:p>
        </w:tc>
      </w:tr>
      <w:tr>
        <w:tc>
          <w:tcPr>
            <w:tcW w:type="dxa" w:w="1900"/>
          </w:tcPr>
          <w:p>
            <w:pPr>
              <w:spacing w:after="0"/>
            </w:pPr>
            <w:r/>
            <w:r>
              <w:rPr>
                <w:rFonts w:ascii="Calibri" w:hAnsi="Calibri"/>
                <w:b w:val="0"/>
                <w:i w:val="0"/>
                <w:color w:val="000000"/>
                <w:sz w:val="21"/>
              </w:rPr>
              <w:t>Backup layer</w:t>
            </w:r>
          </w:p>
        </w:tc>
        <w:tc>
          <w:tcPr>
            <w:tcW w:type="dxa" w:w="3700"/>
          </w:tcPr>
          <w:p>
            <w:pPr>
              <w:spacing w:after="0"/>
              <w:jc w:val="right"/>
            </w:pPr>
            <w:r/>
            <w:r>
              <w:rPr>
                <w:rFonts w:ascii="Calibri" w:hAnsi="Calibri"/>
                <w:b w:val="0"/>
                <w:i w:val="0"/>
                <w:color w:val="000000"/>
                <w:sz w:val="21"/>
              </w:rPr>
              <w:t>Daily cloud backups plus periodic manual snapshots</w:t>
            </w:r>
          </w:p>
        </w:tc>
        <w:tc>
          <w:tcPr>
            <w:tcW w:type="dxa" w:w="3760"/>
          </w:tcPr>
          <w:p>
            <w:pPr>
              <w:spacing w:after="0"/>
              <w:jc w:val="right"/>
            </w:pPr>
            <w:r/>
            <w:r>
              <w:rPr>
                <w:rFonts w:ascii="Calibri" w:hAnsi="Calibri"/>
                <w:b w:val="0"/>
                <w:i w:val="0"/>
                <w:color w:val="000000"/>
                <w:sz w:val="21"/>
              </w:rPr>
              <w:t>Recovery from server failure, accidental deletion, or deployment rollback.</w:t>
            </w:r>
          </w:p>
        </w:tc>
      </w:tr>
      <w:tr>
        <w:tc>
          <w:tcPr>
            <w:tcW w:type="dxa" w:w="1900"/>
          </w:tcPr>
          <w:p>
            <w:pPr>
              <w:spacing w:after="0"/>
            </w:pPr>
            <w:r/>
            <w:r>
              <w:rPr>
                <w:rFonts w:ascii="Calibri" w:hAnsi="Calibri"/>
                <w:b w:val="0"/>
                <w:i w:val="0"/>
                <w:color w:val="000000"/>
                <w:sz w:val="21"/>
              </w:rPr>
              <w:t>Staging server</w:t>
            </w:r>
          </w:p>
        </w:tc>
        <w:tc>
          <w:tcPr>
            <w:tcW w:type="dxa" w:w="3700"/>
          </w:tcPr>
          <w:p>
            <w:pPr>
              <w:spacing w:after="0"/>
              <w:jc w:val="right"/>
            </w:pPr>
            <w:r/>
            <w:r>
              <w:rPr>
                <w:rFonts w:ascii="Calibri" w:hAnsi="Calibri"/>
                <w:b w:val="0"/>
                <w:i w:val="0"/>
                <w:color w:val="000000"/>
                <w:sz w:val="21"/>
              </w:rPr>
              <w:t>1 vCPU, 1 GB RAM, 25 GB SSD</w:t>
            </w:r>
          </w:p>
        </w:tc>
        <w:tc>
          <w:tcPr>
            <w:tcW w:type="dxa" w:w="3760"/>
          </w:tcPr>
          <w:p>
            <w:pPr>
              <w:spacing w:after="0"/>
              <w:jc w:val="right"/>
            </w:pPr>
            <w:r/>
            <w:r>
              <w:rPr>
                <w:rFonts w:ascii="Calibri" w:hAnsi="Calibri"/>
                <w:b w:val="0"/>
                <w:i w:val="0"/>
                <w:color w:val="000000"/>
                <w:sz w:val="21"/>
              </w:rPr>
              <w:t>Testing updates before production release.</w:t>
            </w:r>
          </w:p>
        </w:tc>
      </w:tr>
      <w:tr>
        <w:tc>
          <w:tcPr>
            <w:tcW w:type="dxa" w:w="1900"/>
          </w:tcPr>
          <w:p>
            <w:pPr>
              <w:spacing w:after="0"/>
            </w:pPr>
            <w:r/>
            <w:r>
              <w:rPr>
                <w:rFonts w:ascii="Calibri" w:hAnsi="Calibri"/>
                <w:b w:val="0"/>
                <w:i w:val="0"/>
                <w:color w:val="000000"/>
                <w:sz w:val="21"/>
              </w:rPr>
              <w:t>Security</w:t>
            </w:r>
          </w:p>
        </w:tc>
        <w:tc>
          <w:tcPr>
            <w:tcW w:type="dxa" w:w="3700"/>
          </w:tcPr>
          <w:p>
            <w:pPr>
              <w:spacing w:after="0"/>
              <w:jc w:val="right"/>
            </w:pPr>
            <w:r/>
            <w:r>
              <w:rPr>
                <w:rFonts w:ascii="Calibri" w:hAnsi="Calibri"/>
                <w:b w:val="0"/>
                <w:i w:val="0"/>
                <w:color w:val="000000"/>
                <w:sz w:val="21"/>
              </w:rPr>
              <w:t>HTTPS, firewall, environment secrets, non-root deployment user, restricted database access</w:t>
            </w:r>
          </w:p>
        </w:tc>
        <w:tc>
          <w:tcPr>
            <w:tcW w:type="dxa" w:w="3760"/>
          </w:tcPr>
          <w:p>
            <w:pPr>
              <w:spacing w:after="0"/>
              <w:jc w:val="right"/>
            </w:pPr>
            <w:r/>
            <w:r>
              <w:rPr>
                <w:rFonts w:ascii="Calibri" w:hAnsi="Calibri"/>
                <w:b w:val="0"/>
                <w:i w:val="0"/>
                <w:color w:val="000000"/>
                <w:sz w:val="21"/>
              </w:rPr>
              <w:t>Protects employee accounts, applicant records, and uploaded CVs.</w:t>
            </w:r>
          </w:p>
        </w:tc>
      </w:tr>
    </w:tbl>
    <w:p>
      <w:pPr>
        <w:pStyle w:val="Heading1"/>
        <w:spacing w:before="320" w:after="160"/>
      </w:pPr>
      <w:r>
        <w:rPr>
          <w:rFonts w:ascii="Calibri" w:hAnsi="Calibri"/>
          <w:b/>
          <w:i w:val="0"/>
          <w:color w:val="2E74B5"/>
          <w:sz w:val="32"/>
        </w:rPr>
        <w:t>Monthly Cloud Server Quotation</w:t>
      </w:r>
    </w:p>
    <w:tbl>
      <w:tblPr>
        <w:tblStyle w:val="TableGrid"/>
        <w:tblW w:type="dxa" w:w="9360"/>
        <w:jc w:val="left"/>
        <w:tblLayout w:type="fixed"/>
        <w:tblLook w:firstColumn="1" w:firstRow="1" w:lastColumn="0" w:lastRow="0" w:noHBand="0" w:noVBand="1" w:val="04A0"/>
        <w:tblInd w:type="dxa" w:w="120"/>
        <w:tblCellMar>
          <w:top w:w="80" w:type="dxa"/>
          <w:start w:w="120" w:type="dxa"/>
          <w:bottom w:w="80" w:type="dxa"/>
          <w:end w:w="120" w:type="dxa"/>
        </w:tblCellMa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700"/>
        <w:gridCol w:w="4300"/>
        <w:gridCol w:w="1500"/>
        <w:gridCol w:w="1860"/>
      </w:tblGrid>
      <w:tr>
        <w:tc>
          <w:tcPr>
            <w:tcW w:type="dxa" w:w="1700"/>
            <w:shd w:fill="F2F4F7"/>
          </w:tcPr>
          <w:p>
            <w:pPr>
              <w:spacing w:after="0"/>
            </w:pPr>
            <w:r/>
            <w:r>
              <w:rPr>
                <w:rFonts w:ascii="Calibri" w:hAnsi="Calibri"/>
                <w:b/>
                <w:i w:val="0"/>
                <w:color w:val="000000"/>
                <w:sz w:val="22"/>
              </w:rPr>
              <w:t>Item</w:t>
            </w:r>
          </w:p>
        </w:tc>
        <w:tc>
          <w:tcPr>
            <w:tcW w:type="dxa" w:w="4300"/>
            <w:shd w:fill="F2F4F7"/>
          </w:tcPr>
          <w:p>
            <w:pPr>
              <w:spacing w:after="0"/>
            </w:pPr>
            <w:r/>
            <w:r>
              <w:rPr>
                <w:rFonts w:ascii="Calibri" w:hAnsi="Calibri"/>
                <w:b/>
                <w:i w:val="0"/>
                <w:color w:val="000000"/>
                <w:sz w:val="22"/>
              </w:rPr>
              <w:t>Description</w:t>
            </w:r>
          </w:p>
        </w:tc>
        <w:tc>
          <w:tcPr>
            <w:tcW w:type="dxa" w:w="1500"/>
            <w:shd w:fill="F2F4F7"/>
          </w:tcPr>
          <w:p>
            <w:pPr>
              <w:spacing w:after="0"/>
            </w:pPr>
            <w:r/>
            <w:r>
              <w:rPr>
                <w:rFonts w:ascii="Calibri" w:hAnsi="Calibri"/>
                <w:b/>
                <w:i w:val="0"/>
                <w:color w:val="000000"/>
                <w:sz w:val="22"/>
              </w:rPr>
              <w:t>Monthly USD</w:t>
            </w:r>
          </w:p>
        </w:tc>
        <w:tc>
          <w:tcPr>
            <w:tcW w:type="dxa" w:w="1860"/>
            <w:shd w:fill="F2F4F7"/>
          </w:tcPr>
          <w:p>
            <w:pPr>
              <w:spacing w:after="0"/>
            </w:pPr>
            <w:r/>
            <w:r>
              <w:rPr>
                <w:rFonts w:ascii="Calibri" w:hAnsi="Calibri"/>
                <w:b/>
                <w:i w:val="0"/>
                <w:color w:val="000000"/>
                <w:sz w:val="22"/>
              </w:rPr>
              <w:t>Monthly PHP</w:t>
            </w:r>
          </w:p>
        </w:tc>
      </w:tr>
      <w:tr>
        <w:tc>
          <w:tcPr>
            <w:tcW w:type="dxa" w:w="1700"/>
          </w:tcPr>
          <w:p>
            <w:pPr>
              <w:spacing w:after="0"/>
            </w:pPr>
            <w:r/>
            <w:r>
              <w:rPr>
                <w:rFonts w:ascii="Calibri" w:hAnsi="Calibri"/>
                <w:b w:val="0"/>
                <w:i w:val="0"/>
                <w:color w:val="000000"/>
                <w:sz w:val="21"/>
              </w:rPr>
              <w:t>Production VPS</w:t>
            </w:r>
          </w:p>
        </w:tc>
        <w:tc>
          <w:tcPr>
            <w:tcW w:type="dxa" w:w="4300"/>
          </w:tcPr>
          <w:p>
            <w:pPr>
              <w:spacing w:after="0"/>
            </w:pPr>
            <w:r/>
            <w:r>
              <w:rPr>
                <w:rFonts w:ascii="Calibri" w:hAnsi="Calibri"/>
                <w:b w:val="0"/>
                <w:i w:val="0"/>
                <w:color w:val="000000"/>
                <w:sz w:val="21"/>
              </w:rPr>
              <w:t>DigitalOcean Basic Droplet, 4 GiB RAM, 2 vCPU, 80 GiB SSD, 4,000 GiB transfer</w:t>
            </w:r>
          </w:p>
        </w:tc>
        <w:tc>
          <w:tcPr>
            <w:tcW w:type="dxa" w:w="1500"/>
          </w:tcPr>
          <w:p>
            <w:pPr>
              <w:spacing w:after="0"/>
              <w:jc w:val="right"/>
            </w:pPr>
            <w:r/>
            <w:r>
              <w:rPr>
                <w:rFonts w:ascii="Calibri" w:hAnsi="Calibri"/>
                <w:b w:val="0"/>
                <w:i w:val="0"/>
                <w:color w:val="000000"/>
                <w:sz w:val="21"/>
              </w:rPr>
              <w:t>USD 24.00</w:t>
            </w:r>
          </w:p>
        </w:tc>
        <w:tc>
          <w:tcPr>
            <w:tcW w:type="dxa" w:w="1860"/>
          </w:tcPr>
          <w:p>
            <w:pPr>
              <w:spacing w:after="0"/>
              <w:jc w:val="right"/>
            </w:pPr>
            <w:r/>
            <w:r>
              <w:rPr>
                <w:rFonts w:ascii="Calibri" w:hAnsi="Calibri"/>
                <w:b w:val="0"/>
                <w:i w:val="0"/>
                <w:color w:val="000000"/>
                <w:sz w:val="21"/>
              </w:rPr>
              <w:t>PHP 1,473.12</w:t>
            </w:r>
          </w:p>
        </w:tc>
      </w:tr>
      <w:tr>
        <w:tc>
          <w:tcPr>
            <w:tcW w:type="dxa" w:w="1700"/>
          </w:tcPr>
          <w:p>
            <w:pPr>
              <w:spacing w:after="0"/>
            </w:pPr>
            <w:r/>
            <w:r>
              <w:rPr>
                <w:rFonts w:ascii="Calibri" w:hAnsi="Calibri"/>
                <w:b w:val="0"/>
                <w:i w:val="0"/>
                <w:color w:val="000000"/>
                <w:sz w:val="21"/>
              </w:rPr>
              <w:t>Daily backup</w:t>
            </w:r>
          </w:p>
        </w:tc>
        <w:tc>
          <w:tcPr>
            <w:tcW w:type="dxa" w:w="4300"/>
          </w:tcPr>
          <w:p>
            <w:pPr>
              <w:spacing w:after="0"/>
            </w:pPr>
            <w:r/>
            <w:r>
              <w:rPr>
                <w:rFonts w:ascii="Calibri" w:hAnsi="Calibri"/>
                <w:b w:val="0"/>
                <w:i w:val="0"/>
                <w:color w:val="000000"/>
                <w:sz w:val="21"/>
              </w:rPr>
              <w:t>DigitalOcean backup estimate at 30% of production VPS cost</w:t>
            </w:r>
          </w:p>
        </w:tc>
        <w:tc>
          <w:tcPr>
            <w:tcW w:type="dxa" w:w="1500"/>
          </w:tcPr>
          <w:p>
            <w:pPr>
              <w:spacing w:after="0"/>
              <w:jc w:val="right"/>
            </w:pPr>
            <w:r/>
            <w:r>
              <w:rPr>
                <w:rFonts w:ascii="Calibri" w:hAnsi="Calibri"/>
                <w:b w:val="0"/>
                <w:i w:val="0"/>
                <w:color w:val="000000"/>
                <w:sz w:val="21"/>
              </w:rPr>
              <w:t>USD 7.20</w:t>
            </w:r>
          </w:p>
        </w:tc>
        <w:tc>
          <w:tcPr>
            <w:tcW w:type="dxa" w:w="1860"/>
          </w:tcPr>
          <w:p>
            <w:pPr>
              <w:spacing w:after="0"/>
              <w:jc w:val="right"/>
            </w:pPr>
            <w:r/>
            <w:r>
              <w:rPr>
                <w:rFonts w:ascii="Calibri" w:hAnsi="Calibri"/>
                <w:b w:val="0"/>
                <w:i w:val="0"/>
                <w:color w:val="000000"/>
                <w:sz w:val="21"/>
              </w:rPr>
              <w:t>PHP 441.94</w:t>
            </w:r>
          </w:p>
        </w:tc>
      </w:tr>
      <w:tr>
        <w:tc>
          <w:tcPr>
            <w:tcW w:type="dxa" w:w="1700"/>
          </w:tcPr>
          <w:p>
            <w:pPr>
              <w:spacing w:after="0"/>
            </w:pPr>
            <w:r/>
            <w:r>
              <w:rPr>
                <w:rFonts w:ascii="Calibri" w:hAnsi="Calibri"/>
                <w:b w:val="0"/>
                <w:i w:val="0"/>
                <w:color w:val="000000"/>
                <w:sz w:val="21"/>
              </w:rPr>
              <w:t>Manual snapshot reserve</w:t>
            </w:r>
          </w:p>
        </w:tc>
        <w:tc>
          <w:tcPr>
            <w:tcW w:type="dxa" w:w="4300"/>
          </w:tcPr>
          <w:p>
            <w:pPr>
              <w:spacing w:after="0"/>
            </w:pPr>
            <w:r/>
            <w:r>
              <w:rPr>
                <w:rFonts w:ascii="Calibri" w:hAnsi="Calibri"/>
                <w:b w:val="0"/>
                <w:i w:val="0"/>
                <w:color w:val="000000"/>
                <w:sz w:val="21"/>
              </w:rPr>
              <w:t>80 GB snapshot allowance at USD 0.06/GB-month</w:t>
            </w:r>
          </w:p>
        </w:tc>
        <w:tc>
          <w:tcPr>
            <w:tcW w:type="dxa" w:w="1500"/>
          </w:tcPr>
          <w:p>
            <w:pPr>
              <w:spacing w:after="0"/>
              <w:jc w:val="right"/>
            </w:pPr>
            <w:r/>
            <w:r>
              <w:rPr>
                <w:rFonts w:ascii="Calibri" w:hAnsi="Calibri"/>
                <w:b w:val="0"/>
                <w:i w:val="0"/>
                <w:color w:val="000000"/>
                <w:sz w:val="21"/>
              </w:rPr>
              <w:t>USD 4.80</w:t>
            </w:r>
          </w:p>
        </w:tc>
        <w:tc>
          <w:tcPr>
            <w:tcW w:type="dxa" w:w="1860"/>
          </w:tcPr>
          <w:p>
            <w:pPr>
              <w:spacing w:after="0"/>
              <w:jc w:val="right"/>
            </w:pPr>
            <w:r/>
            <w:r>
              <w:rPr>
                <w:rFonts w:ascii="Calibri" w:hAnsi="Calibri"/>
                <w:b w:val="0"/>
                <w:i w:val="0"/>
                <w:color w:val="000000"/>
                <w:sz w:val="21"/>
              </w:rPr>
              <w:t>PHP 294.62</w:t>
            </w:r>
          </w:p>
        </w:tc>
      </w:tr>
      <w:tr>
        <w:tc>
          <w:tcPr>
            <w:tcW w:type="dxa" w:w="1700"/>
          </w:tcPr>
          <w:p>
            <w:pPr>
              <w:spacing w:after="0"/>
            </w:pPr>
            <w:r/>
            <w:r>
              <w:rPr>
                <w:rFonts w:ascii="Calibri" w:hAnsi="Calibri"/>
                <w:b w:val="0"/>
                <w:i w:val="0"/>
                <w:color w:val="000000"/>
                <w:sz w:val="21"/>
              </w:rPr>
              <w:t>Staging VPS</w:t>
            </w:r>
          </w:p>
        </w:tc>
        <w:tc>
          <w:tcPr>
            <w:tcW w:type="dxa" w:w="4300"/>
          </w:tcPr>
          <w:p>
            <w:pPr>
              <w:spacing w:after="0"/>
            </w:pPr>
            <w:r/>
            <w:r>
              <w:rPr>
                <w:rFonts w:ascii="Calibri" w:hAnsi="Calibri"/>
                <w:b w:val="0"/>
                <w:i w:val="0"/>
                <w:color w:val="000000"/>
                <w:sz w:val="21"/>
              </w:rPr>
              <w:t>DigitalOcean Basic Droplet, 1 GiB RAM, 1 vCPU, 25 GiB SSD, 1,000 GiB transfer</w:t>
            </w:r>
          </w:p>
        </w:tc>
        <w:tc>
          <w:tcPr>
            <w:tcW w:type="dxa" w:w="1500"/>
          </w:tcPr>
          <w:p>
            <w:pPr>
              <w:spacing w:after="0"/>
              <w:jc w:val="right"/>
            </w:pPr>
            <w:r/>
            <w:r>
              <w:rPr>
                <w:rFonts w:ascii="Calibri" w:hAnsi="Calibri"/>
                <w:b w:val="0"/>
                <w:i w:val="0"/>
                <w:color w:val="000000"/>
                <w:sz w:val="21"/>
              </w:rPr>
              <w:t>USD 6.00</w:t>
            </w:r>
          </w:p>
        </w:tc>
        <w:tc>
          <w:tcPr>
            <w:tcW w:type="dxa" w:w="1860"/>
          </w:tcPr>
          <w:p>
            <w:pPr>
              <w:spacing w:after="0"/>
              <w:jc w:val="right"/>
            </w:pPr>
            <w:r/>
            <w:r>
              <w:rPr>
                <w:rFonts w:ascii="Calibri" w:hAnsi="Calibri"/>
                <w:b w:val="0"/>
                <w:i w:val="0"/>
                <w:color w:val="000000"/>
                <w:sz w:val="21"/>
              </w:rPr>
              <w:t>PHP 368.28</w:t>
            </w:r>
          </w:p>
        </w:tc>
      </w:tr>
      <w:tr>
        <w:tc>
          <w:tcPr>
            <w:tcW w:type="dxa" w:w="1700"/>
          </w:tcPr>
          <w:p>
            <w:pPr>
              <w:spacing w:after="0"/>
            </w:pPr>
            <w:r/>
            <w:r>
              <w:rPr>
                <w:rFonts w:ascii="Calibri" w:hAnsi="Calibri"/>
                <w:b w:val="0"/>
                <w:i w:val="0"/>
                <w:color w:val="000000"/>
                <w:sz w:val="21"/>
              </w:rPr>
              <w:t>Managed PostgreSQL</w:t>
            </w:r>
          </w:p>
        </w:tc>
        <w:tc>
          <w:tcPr>
            <w:tcW w:type="dxa" w:w="4300"/>
          </w:tcPr>
          <w:p>
            <w:pPr>
              <w:spacing w:after="0"/>
            </w:pPr>
            <w:r/>
            <w:r>
              <w:rPr>
                <w:rFonts w:ascii="Calibri" w:hAnsi="Calibri"/>
                <w:b w:val="0"/>
                <w:i w:val="0"/>
                <w:color w:val="000000"/>
                <w:sz w:val="21"/>
              </w:rPr>
              <w:t>Starter managed PostgreSQL allowance; can be deferred if PostgreSQL is self-hosted on the production VPS</w:t>
            </w:r>
          </w:p>
        </w:tc>
        <w:tc>
          <w:tcPr>
            <w:tcW w:type="dxa" w:w="1500"/>
          </w:tcPr>
          <w:p>
            <w:pPr>
              <w:spacing w:after="0"/>
              <w:jc w:val="right"/>
            </w:pPr>
            <w:r/>
            <w:r>
              <w:rPr>
                <w:rFonts w:ascii="Calibri" w:hAnsi="Calibri"/>
                <w:b w:val="0"/>
                <w:i w:val="0"/>
                <w:color w:val="000000"/>
                <w:sz w:val="21"/>
              </w:rPr>
              <w:t>USD 15.00</w:t>
            </w:r>
          </w:p>
        </w:tc>
        <w:tc>
          <w:tcPr>
            <w:tcW w:type="dxa" w:w="1860"/>
          </w:tcPr>
          <w:p>
            <w:pPr>
              <w:spacing w:after="0"/>
              <w:jc w:val="right"/>
            </w:pPr>
            <w:r/>
            <w:r>
              <w:rPr>
                <w:rFonts w:ascii="Calibri" w:hAnsi="Calibri"/>
                <w:b w:val="0"/>
                <w:i w:val="0"/>
                <w:color w:val="000000"/>
                <w:sz w:val="21"/>
              </w:rPr>
              <w:t>PHP 920.70</w:t>
            </w:r>
          </w:p>
        </w:tc>
      </w:tr>
    </w:tbl>
    <w:p>
      <w:pPr>
        <w:spacing w:before="0" w:after="40" w:line="264" w:lineRule="auto"/>
      </w:pPr>
      <w:r>
        <w:rPr>
          <w:rFonts w:ascii="Calibri" w:hAnsi="Calibri"/>
          <w:b/>
          <w:i w:val="0"/>
          <w:color w:val="000000"/>
          <w:sz w:val="22"/>
        </w:rPr>
        <w:t>Estimated monthly operating cost: USD 57.00 / PHP 3,498.66.</w:t>
      </w:r>
    </w:p>
    <w:p>
      <w:pPr>
        <w:spacing w:before="0" w:after="120" w:line="264" w:lineRule="auto"/>
      </w:pPr>
      <w:r>
        <w:rPr>
          <w:rFonts w:ascii="Calibri" w:hAnsi="Calibri"/>
          <w:b/>
          <w:i w:val="0"/>
          <w:color w:val="000000"/>
          <w:sz w:val="22"/>
        </w:rPr>
        <w:t>Estimated 12-month operating cost: USD 684.00 / PHP 41,983.92.</w:t>
      </w:r>
    </w:p>
    <w:p>
      <w:pPr>
        <w:pStyle w:val="Heading1"/>
        <w:spacing w:before="320" w:after="160"/>
      </w:pPr>
      <w:r>
        <w:rPr>
          <w:rFonts w:ascii="Calibri" w:hAnsi="Calibri"/>
          <w:b/>
          <w:i w:val="0"/>
          <w:color w:val="2E74B5"/>
          <w:sz w:val="32"/>
        </w:rPr>
        <w:t>One-Time Implementation Services</w:t>
      </w:r>
    </w:p>
    <w:tbl>
      <w:tblPr>
        <w:tblStyle w:val="TableGrid"/>
        <w:tblW w:type="dxa" w:w="9360"/>
        <w:jc w:val="left"/>
        <w:tblLayout w:type="fixed"/>
        <w:tblLook w:firstColumn="1" w:firstRow="1" w:lastColumn="0" w:lastRow="0" w:noHBand="0" w:noVBand="1" w:val="04A0"/>
        <w:tblInd w:type="dxa" w:w="120"/>
        <w:tblCellMar>
          <w:top w:w="80" w:type="dxa"/>
          <w:start w:w="120" w:type="dxa"/>
          <w:bottom w:w="80" w:type="dxa"/>
          <w:end w:w="120" w:type="dxa"/>
        </w:tblCellMa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200"/>
        <w:gridCol w:w="5160"/>
        <w:gridCol w:w="2000"/>
      </w:tblGrid>
      <w:tr>
        <w:tc>
          <w:tcPr>
            <w:tcW w:type="dxa" w:w="2200"/>
            <w:shd w:fill="F2F4F7"/>
          </w:tcPr>
          <w:p>
            <w:pPr>
              <w:spacing w:after="0"/>
            </w:pPr>
            <w:r/>
            <w:r>
              <w:rPr>
                <w:rFonts w:ascii="Calibri" w:hAnsi="Calibri"/>
                <w:b/>
                <w:i w:val="0"/>
                <w:color w:val="000000"/>
                <w:sz w:val="22"/>
              </w:rPr>
              <w:t>Service</w:t>
            </w:r>
          </w:p>
        </w:tc>
        <w:tc>
          <w:tcPr>
            <w:tcW w:type="dxa" w:w="5160"/>
            <w:shd w:fill="F2F4F7"/>
          </w:tcPr>
          <w:p>
            <w:pPr>
              <w:spacing w:after="0"/>
            </w:pPr>
            <w:r/>
            <w:r>
              <w:rPr>
                <w:rFonts w:ascii="Calibri" w:hAnsi="Calibri"/>
                <w:b/>
                <w:i w:val="0"/>
                <w:color w:val="000000"/>
                <w:sz w:val="22"/>
              </w:rPr>
              <w:t>Scope</w:t>
            </w:r>
          </w:p>
        </w:tc>
        <w:tc>
          <w:tcPr>
            <w:tcW w:type="dxa" w:w="2000"/>
            <w:shd w:fill="F2F4F7"/>
          </w:tcPr>
          <w:p>
            <w:pPr>
              <w:spacing w:after="0"/>
            </w:pPr>
            <w:r/>
            <w:r>
              <w:rPr>
                <w:rFonts w:ascii="Calibri" w:hAnsi="Calibri"/>
                <w:b/>
                <w:i w:val="0"/>
                <w:color w:val="000000"/>
                <w:sz w:val="22"/>
              </w:rPr>
              <w:t>Amount</w:t>
            </w:r>
          </w:p>
        </w:tc>
      </w:tr>
      <w:tr>
        <w:tc>
          <w:tcPr>
            <w:tcW w:type="dxa" w:w="2200"/>
          </w:tcPr>
          <w:p>
            <w:pPr>
              <w:spacing w:after="0"/>
            </w:pPr>
            <w:r/>
            <w:r>
              <w:rPr>
                <w:rFonts w:ascii="Calibri" w:hAnsi="Calibri"/>
                <w:b w:val="0"/>
                <w:i w:val="0"/>
                <w:color w:val="000000"/>
                <w:sz w:val="21"/>
              </w:rPr>
              <w:t>Server provisioning</w:t>
            </w:r>
          </w:p>
        </w:tc>
        <w:tc>
          <w:tcPr>
            <w:tcW w:type="dxa" w:w="5160"/>
          </w:tcPr>
          <w:p>
            <w:pPr>
              <w:spacing w:after="0"/>
              <w:jc w:val="right"/>
            </w:pPr>
            <w:r/>
            <w:r>
              <w:rPr>
                <w:rFonts w:ascii="Calibri" w:hAnsi="Calibri"/>
                <w:b w:val="0"/>
                <w:i w:val="0"/>
                <w:color w:val="000000"/>
                <w:sz w:val="21"/>
              </w:rPr>
              <w:t>Create VPS resources, configure Ubuntu, users, firewall, package updates, timezone, and baseline security.</w:t>
            </w:r>
          </w:p>
        </w:tc>
        <w:tc>
          <w:tcPr>
            <w:tcW w:type="dxa" w:w="2000"/>
          </w:tcPr>
          <w:p>
            <w:pPr>
              <w:spacing w:after="0"/>
              <w:jc w:val="right"/>
            </w:pPr>
            <w:r/>
            <w:r>
              <w:rPr>
                <w:rFonts w:ascii="Calibri" w:hAnsi="Calibri"/>
                <w:b w:val="0"/>
                <w:i w:val="0"/>
                <w:color w:val="000000"/>
                <w:sz w:val="21"/>
              </w:rPr>
              <w:t>PHP 12,000.00</w:t>
            </w:r>
          </w:p>
        </w:tc>
      </w:tr>
      <w:tr>
        <w:tc>
          <w:tcPr>
            <w:tcW w:type="dxa" w:w="2200"/>
          </w:tcPr>
          <w:p>
            <w:pPr>
              <w:spacing w:after="0"/>
            </w:pPr>
            <w:r/>
            <w:r>
              <w:rPr>
                <w:rFonts w:ascii="Calibri" w:hAnsi="Calibri"/>
                <w:b w:val="0"/>
                <w:i w:val="0"/>
                <w:color w:val="000000"/>
                <w:sz w:val="21"/>
              </w:rPr>
              <w:t>Application deployment</w:t>
            </w:r>
          </w:p>
        </w:tc>
        <w:tc>
          <w:tcPr>
            <w:tcW w:type="dxa" w:w="5160"/>
          </w:tcPr>
          <w:p>
            <w:pPr>
              <w:spacing w:after="0"/>
              <w:jc w:val="right"/>
            </w:pPr>
            <w:r/>
            <w:r>
              <w:rPr>
                <w:rFonts w:ascii="Calibri" w:hAnsi="Calibri"/>
                <w:b w:val="0"/>
                <w:i w:val="0"/>
                <w:color w:val="000000"/>
                <w:sz w:val="21"/>
              </w:rPr>
              <w:t>Deploy ATS codebase with Python environment, Gunicorn service, Nginx reverse proxy, production environment variables, and static/upload configuration.</w:t>
            </w:r>
          </w:p>
        </w:tc>
        <w:tc>
          <w:tcPr>
            <w:tcW w:type="dxa" w:w="2000"/>
          </w:tcPr>
          <w:p>
            <w:pPr>
              <w:spacing w:after="0"/>
              <w:jc w:val="right"/>
            </w:pPr>
            <w:r/>
            <w:r>
              <w:rPr>
                <w:rFonts w:ascii="Calibri" w:hAnsi="Calibri"/>
                <w:b w:val="0"/>
                <w:i w:val="0"/>
                <w:color w:val="000000"/>
                <w:sz w:val="21"/>
              </w:rPr>
              <w:t>PHP 18,000.00</w:t>
            </w:r>
          </w:p>
        </w:tc>
      </w:tr>
      <w:tr>
        <w:tc>
          <w:tcPr>
            <w:tcW w:type="dxa" w:w="2200"/>
          </w:tcPr>
          <w:p>
            <w:pPr>
              <w:spacing w:after="0"/>
            </w:pPr>
            <w:r/>
            <w:r>
              <w:rPr>
                <w:rFonts w:ascii="Calibri" w:hAnsi="Calibri"/>
                <w:b w:val="0"/>
                <w:i w:val="0"/>
                <w:color w:val="000000"/>
                <w:sz w:val="21"/>
              </w:rPr>
              <w:t>Database setup</w:t>
            </w:r>
          </w:p>
        </w:tc>
        <w:tc>
          <w:tcPr>
            <w:tcW w:type="dxa" w:w="5160"/>
          </w:tcPr>
          <w:p>
            <w:pPr>
              <w:spacing w:after="0"/>
              <w:jc w:val="right"/>
            </w:pPr>
            <w:r/>
            <w:r>
              <w:rPr>
                <w:rFonts w:ascii="Calibri" w:hAnsi="Calibri"/>
                <w:b w:val="0"/>
                <w:i w:val="0"/>
                <w:color w:val="000000"/>
                <w:sz w:val="21"/>
              </w:rPr>
              <w:t>Provision PostgreSQL, initialize schema, configure connection string, seed initial RBAC roles/permissions, and verify login/admin flow.</w:t>
            </w:r>
          </w:p>
        </w:tc>
        <w:tc>
          <w:tcPr>
            <w:tcW w:type="dxa" w:w="2000"/>
          </w:tcPr>
          <w:p>
            <w:pPr>
              <w:spacing w:after="0"/>
              <w:jc w:val="right"/>
            </w:pPr>
            <w:r/>
            <w:r>
              <w:rPr>
                <w:rFonts w:ascii="Calibri" w:hAnsi="Calibri"/>
                <w:b w:val="0"/>
                <w:i w:val="0"/>
                <w:color w:val="000000"/>
                <w:sz w:val="21"/>
              </w:rPr>
              <w:t>PHP 10,000.00</w:t>
            </w:r>
          </w:p>
        </w:tc>
      </w:tr>
      <w:tr>
        <w:tc>
          <w:tcPr>
            <w:tcW w:type="dxa" w:w="2200"/>
          </w:tcPr>
          <w:p>
            <w:pPr>
              <w:spacing w:after="0"/>
            </w:pPr>
            <w:r/>
            <w:r>
              <w:rPr>
                <w:rFonts w:ascii="Calibri" w:hAnsi="Calibri"/>
                <w:b w:val="0"/>
                <w:i w:val="0"/>
                <w:color w:val="000000"/>
                <w:sz w:val="21"/>
              </w:rPr>
              <w:t>SSL and domain setup</w:t>
            </w:r>
          </w:p>
        </w:tc>
        <w:tc>
          <w:tcPr>
            <w:tcW w:type="dxa" w:w="5160"/>
          </w:tcPr>
          <w:p>
            <w:pPr>
              <w:spacing w:after="0"/>
              <w:jc w:val="right"/>
            </w:pPr>
            <w:r/>
            <w:r>
              <w:rPr>
                <w:rFonts w:ascii="Calibri" w:hAnsi="Calibri"/>
                <w:b w:val="0"/>
                <w:i w:val="0"/>
                <w:color w:val="000000"/>
                <w:sz w:val="21"/>
              </w:rPr>
              <w:t>Configure domain records, HTTPS certificate, renewal path, and secure headers.</w:t>
            </w:r>
          </w:p>
        </w:tc>
        <w:tc>
          <w:tcPr>
            <w:tcW w:type="dxa" w:w="2000"/>
          </w:tcPr>
          <w:p>
            <w:pPr>
              <w:spacing w:after="0"/>
              <w:jc w:val="right"/>
            </w:pPr>
            <w:r/>
            <w:r>
              <w:rPr>
                <w:rFonts w:ascii="Calibri" w:hAnsi="Calibri"/>
                <w:b w:val="0"/>
                <w:i w:val="0"/>
                <w:color w:val="000000"/>
                <w:sz w:val="21"/>
              </w:rPr>
              <w:t>PHP 6,000.00</w:t>
            </w:r>
          </w:p>
        </w:tc>
      </w:tr>
      <w:tr>
        <w:tc>
          <w:tcPr>
            <w:tcW w:type="dxa" w:w="2200"/>
          </w:tcPr>
          <w:p>
            <w:pPr>
              <w:spacing w:after="0"/>
            </w:pPr>
            <w:r/>
            <w:r>
              <w:rPr>
                <w:rFonts w:ascii="Calibri" w:hAnsi="Calibri"/>
                <w:b w:val="0"/>
                <w:i w:val="0"/>
                <w:color w:val="000000"/>
                <w:sz w:val="21"/>
              </w:rPr>
              <w:t>Backup and recovery setup</w:t>
            </w:r>
          </w:p>
        </w:tc>
        <w:tc>
          <w:tcPr>
            <w:tcW w:type="dxa" w:w="5160"/>
          </w:tcPr>
          <w:p>
            <w:pPr>
              <w:spacing w:after="0"/>
              <w:jc w:val="right"/>
            </w:pPr>
            <w:r/>
            <w:r>
              <w:rPr>
                <w:rFonts w:ascii="Calibri" w:hAnsi="Calibri"/>
                <w:b w:val="0"/>
                <w:i w:val="0"/>
                <w:color w:val="000000"/>
                <w:sz w:val="21"/>
              </w:rPr>
              <w:t>Configure provider backups, snapshot schedule, database export routine, and restore checklist.</w:t>
            </w:r>
          </w:p>
        </w:tc>
        <w:tc>
          <w:tcPr>
            <w:tcW w:type="dxa" w:w="2000"/>
          </w:tcPr>
          <w:p>
            <w:pPr>
              <w:spacing w:after="0"/>
              <w:jc w:val="right"/>
            </w:pPr>
            <w:r/>
            <w:r>
              <w:rPr>
                <w:rFonts w:ascii="Calibri" w:hAnsi="Calibri"/>
                <w:b w:val="0"/>
                <w:i w:val="0"/>
                <w:color w:val="000000"/>
                <w:sz w:val="21"/>
              </w:rPr>
              <w:t>PHP 8,000.00</w:t>
            </w:r>
          </w:p>
        </w:tc>
      </w:tr>
      <w:tr>
        <w:tc>
          <w:tcPr>
            <w:tcW w:type="dxa" w:w="2200"/>
          </w:tcPr>
          <w:p>
            <w:pPr>
              <w:spacing w:after="0"/>
            </w:pPr>
            <w:r/>
            <w:r>
              <w:rPr>
                <w:rFonts w:ascii="Calibri" w:hAnsi="Calibri"/>
                <w:b w:val="0"/>
                <w:i w:val="0"/>
                <w:color w:val="000000"/>
                <w:sz w:val="21"/>
              </w:rPr>
              <w:t>Production verification</w:t>
            </w:r>
          </w:p>
        </w:tc>
        <w:tc>
          <w:tcPr>
            <w:tcW w:type="dxa" w:w="5160"/>
          </w:tcPr>
          <w:p>
            <w:pPr>
              <w:spacing w:after="0"/>
              <w:jc w:val="right"/>
            </w:pPr>
            <w:r/>
            <w:r>
              <w:rPr>
                <w:rFonts w:ascii="Calibri" w:hAnsi="Calibri"/>
                <w:b w:val="0"/>
                <w:i w:val="0"/>
                <w:color w:val="000000"/>
                <w:sz w:val="21"/>
              </w:rPr>
              <w:t>Smoke test applicant submission, employee login, dashboard, PDF CV upload/download, batch export, admin panel, and RBAC restrictions.</w:t>
            </w:r>
          </w:p>
        </w:tc>
        <w:tc>
          <w:tcPr>
            <w:tcW w:type="dxa" w:w="2000"/>
          </w:tcPr>
          <w:p>
            <w:pPr>
              <w:spacing w:after="0"/>
              <w:jc w:val="right"/>
            </w:pPr>
            <w:r/>
            <w:r>
              <w:rPr>
                <w:rFonts w:ascii="Calibri" w:hAnsi="Calibri"/>
                <w:b w:val="0"/>
                <w:i w:val="0"/>
                <w:color w:val="000000"/>
                <w:sz w:val="21"/>
              </w:rPr>
              <w:t>PHP 9,000.00</w:t>
            </w:r>
          </w:p>
        </w:tc>
      </w:tr>
    </w:tbl>
    <w:p>
      <w:pPr>
        <w:spacing w:before="0" w:after="120" w:line="264" w:lineRule="auto"/>
      </w:pPr>
      <w:r>
        <w:rPr>
          <w:rFonts w:ascii="Calibri" w:hAnsi="Calibri"/>
          <w:b/>
          <w:i w:val="0"/>
          <w:color w:val="000000"/>
          <w:sz w:val="22"/>
        </w:rPr>
        <w:t>One-time implementation services total: PHP 63,000.00.</w:t>
      </w:r>
    </w:p>
    <w:p>
      <w:pPr>
        <w:pStyle w:val="Heading1"/>
        <w:spacing w:before="320" w:after="160"/>
      </w:pPr>
      <w:r>
        <w:rPr>
          <w:rFonts w:ascii="Calibri" w:hAnsi="Calibri"/>
          <w:b/>
          <w:i w:val="0"/>
          <w:color w:val="2E74B5"/>
          <w:sz w:val="32"/>
        </w:rPr>
        <w:t>Quotation Summary</w:t>
      </w:r>
    </w:p>
    <w:tbl>
      <w:tblPr>
        <w:tblStyle w:val="TableGrid"/>
        <w:tblW w:type="dxa" w:w="9360"/>
        <w:jc w:val="left"/>
        <w:tblLayout w:type="fixed"/>
        <w:tblLook w:firstColumn="1" w:firstRow="1" w:lastColumn="0" w:lastRow="0" w:noHBand="0" w:noVBand="1" w:val="04A0"/>
        <w:tblInd w:type="dxa" w:w="120"/>
        <w:tblCellMar>
          <w:top w:w="80" w:type="dxa"/>
          <w:start w:w="120" w:type="dxa"/>
          <w:bottom w:w="80" w:type="dxa"/>
          <w:end w:w="120" w:type="dxa"/>
        </w:tblCellMa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5000"/>
        <w:gridCol w:w="1600"/>
        <w:gridCol w:w="2760"/>
      </w:tblGrid>
      <w:tr>
        <w:tc>
          <w:tcPr>
            <w:tcW w:type="dxa" w:w="5000"/>
            <w:shd w:fill="F2F4F7"/>
          </w:tcPr>
          <w:p>
            <w:pPr>
              <w:spacing w:after="0"/>
            </w:pPr>
            <w:r/>
            <w:r>
              <w:rPr>
                <w:rFonts w:ascii="Calibri" w:hAnsi="Calibri"/>
                <w:b/>
                <w:i w:val="0"/>
                <w:color w:val="000000"/>
                <w:sz w:val="22"/>
              </w:rPr>
              <w:t>Cost Category</w:t>
            </w:r>
          </w:p>
        </w:tc>
        <w:tc>
          <w:tcPr>
            <w:tcW w:type="dxa" w:w="1600"/>
            <w:shd w:fill="F2F4F7"/>
          </w:tcPr>
          <w:p>
            <w:pPr>
              <w:spacing w:after="0"/>
            </w:pPr>
            <w:r/>
            <w:r>
              <w:rPr>
                <w:rFonts w:ascii="Calibri" w:hAnsi="Calibri"/>
                <w:b/>
                <w:i w:val="0"/>
                <w:color w:val="000000"/>
                <w:sz w:val="22"/>
              </w:rPr>
              <w:t>Currency</w:t>
            </w:r>
          </w:p>
        </w:tc>
        <w:tc>
          <w:tcPr>
            <w:tcW w:type="dxa" w:w="2760"/>
            <w:shd w:fill="F2F4F7"/>
          </w:tcPr>
          <w:p>
            <w:pPr>
              <w:spacing w:after="0"/>
            </w:pPr>
            <w:r/>
            <w:r>
              <w:rPr>
                <w:rFonts w:ascii="Calibri" w:hAnsi="Calibri"/>
                <w:b/>
                <w:i w:val="0"/>
                <w:color w:val="000000"/>
                <w:sz w:val="22"/>
              </w:rPr>
              <w:t>Amount</w:t>
            </w:r>
          </w:p>
        </w:tc>
      </w:tr>
      <w:tr>
        <w:tc>
          <w:tcPr>
            <w:tcW w:type="dxa" w:w="5000"/>
          </w:tcPr>
          <w:p>
            <w:pPr>
              <w:spacing w:after="0"/>
            </w:pPr>
            <w:r/>
            <w:r>
              <w:rPr>
                <w:rFonts w:ascii="Calibri" w:hAnsi="Calibri"/>
                <w:b w:val="0"/>
                <w:i w:val="0"/>
                <w:color w:val="000000"/>
                <w:sz w:val="21"/>
              </w:rPr>
              <w:t>One-time implementation services</w:t>
            </w:r>
          </w:p>
        </w:tc>
        <w:tc>
          <w:tcPr>
            <w:tcW w:type="dxa" w:w="1600"/>
          </w:tcPr>
          <w:p>
            <w:pPr>
              <w:spacing w:after="0"/>
              <w:jc w:val="right"/>
            </w:pPr>
            <w:r/>
            <w:r>
              <w:rPr>
                <w:rFonts w:ascii="Calibri" w:hAnsi="Calibri"/>
                <w:b w:val="0"/>
                <w:i w:val="0"/>
                <w:color w:val="000000"/>
                <w:sz w:val="21"/>
              </w:rPr>
              <w:t>PHP</w:t>
            </w:r>
          </w:p>
        </w:tc>
        <w:tc>
          <w:tcPr>
            <w:tcW w:type="dxa" w:w="2760"/>
          </w:tcPr>
          <w:p>
            <w:pPr>
              <w:spacing w:after="0"/>
              <w:jc w:val="right"/>
            </w:pPr>
            <w:r/>
            <w:r>
              <w:rPr>
                <w:rFonts w:ascii="Calibri" w:hAnsi="Calibri"/>
                <w:b w:val="0"/>
                <w:i w:val="0"/>
                <w:color w:val="000000"/>
                <w:sz w:val="21"/>
              </w:rPr>
              <w:t>63,000.00</w:t>
            </w:r>
          </w:p>
        </w:tc>
      </w:tr>
      <w:tr>
        <w:tc>
          <w:tcPr>
            <w:tcW w:type="dxa" w:w="5000"/>
          </w:tcPr>
          <w:p>
            <w:pPr>
              <w:spacing w:after="0"/>
            </w:pPr>
            <w:r/>
            <w:r>
              <w:rPr>
                <w:rFonts w:ascii="Calibri" w:hAnsi="Calibri"/>
                <w:b w:val="0"/>
                <w:i w:val="0"/>
                <w:color w:val="000000"/>
                <w:sz w:val="21"/>
              </w:rPr>
              <w:t>First month cloud server operating cost</w:t>
            </w:r>
          </w:p>
        </w:tc>
        <w:tc>
          <w:tcPr>
            <w:tcW w:type="dxa" w:w="1600"/>
          </w:tcPr>
          <w:p>
            <w:pPr>
              <w:spacing w:after="0"/>
              <w:jc w:val="right"/>
            </w:pPr>
            <w:r/>
            <w:r>
              <w:rPr>
                <w:rFonts w:ascii="Calibri" w:hAnsi="Calibri"/>
                <w:b w:val="0"/>
                <w:i w:val="0"/>
                <w:color w:val="000000"/>
                <w:sz w:val="21"/>
              </w:rPr>
              <w:t>PHP</w:t>
            </w:r>
          </w:p>
        </w:tc>
        <w:tc>
          <w:tcPr>
            <w:tcW w:type="dxa" w:w="2760"/>
          </w:tcPr>
          <w:p>
            <w:pPr>
              <w:spacing w:after="0"/>
              <w:jc w:val="right"/>
            </w:pPr>
            <w:r/>
            <w:r>
              <w:rPr>
                <w:rFonts w:ascii="Calibri" w:hAnsi="Calibri"/>
                <w:b w:val="0"/>
                <w:i w:val="0"/>
                <w:color w:val="000000"/>
                <w:sz w:val="21"/>
              </w:rPr>
              <w:t>3,498.66</w:t>
            </w:r>
          </w:p>
        </w:tc>
      </w:tr>
      <w:tr>
        <w:tc>
          <w:tcPr>
            <w:tcW w:type="dxa" w:w="5000"/>
          </w:tcPr>
          <w:p>
            <w:pPr>
              <w:spacing w:after="0"/>
            </w:pPr>
            <w:r/>
            <w:r>
              <w:rPr>
                <w:rFonts w:ascii="Calibri" w:hAnsi="Calibri"/>
                <w:b w:val="0"/>
                <w:i w:val="0"/>
                <w:color w:val="000000"/>
                <w:sz w:val="21"/>
              </w:rPr>
              <w:t>Estimated first payment</w:t>
            </w:r>
          </w:p>
        </w:tc>
        <w:tc>
          <w:tcPr>
            <w:tcW w:type="dxa" w:w="1600"/>
          </w:tcPr>
          <w:p>
            <w:pPr>
              <w:spacing w:after="0"/>
              <w:jc w:val="right"/>
            </w:pPr>
            <w:r/>
            <w:r>
              <w:rPr>
                <w:rFonts w:ascii="Calibri" w:hAnsi="Calibri"/>
                <w:b w:val="0"/>
                <w:i w:val="0"/>
                <w:color w:val="000000"/>
                <w:sz w:val="21"/>
              </w:rPr>
              <w:t>PHP</w:t>
            </w:r>
          </w:p>
        </w:tc>
        <w:tc>
          <w:tcPr>
            <w:tcW w:type="dxa" w:w="2760"/>
          </w:tcPr>
          <w:p>
            <w:pPr>
              <w:spacing w:after="0"/>
              <w:jc w:val="right"/>
            </w:pPr>
            <w:r/>
            <w:r>
              <w:rPr>
                <w:rFonts w:ascii="Calibri" w:hAnsi="Calibri"/>
                <w:b w:val="0"/>
                <w:i w:val="0"/>
                <w:color w:val="000000"/>
                <w:sz w:val="21"/>
              </w:rPr>
              <w:t>66,498.66</w:t>
            </w:r>
          </w:p>
        </w:tc>
      </w:tr>
      <w:tr>
        <w:tc>
          <w:tcPr>
            <w:tcW w:type="dxa" w:w="5000"/>
          </w:tcPr>
          <w:p>
            <w:pPr>
              <w:spacing w:after="0"/>
            </w:pPr>
            <w:r/>
            <w:r>
              <w:rPr>
                <w:rFonts w:ascii="Calibri" w:hAnsi="Calibri"/>
                <w:b w:val="0"/>
                <w:i w:val="0"/>
                <w:color w:val="000000"/>
                <w:sz w:val="21"/>
              </w:rPr>
              <w:t>Estimated annual cloud operating cost</w:t>
            </w:r>
          </w:p>
        </w:tc>
        <w:tc>
          <w:tcPr>
            <w:tcW w:type="dxa" w:w="1600"/>
          </w:tcPr>
          <w:p>
            <w:pPr>
              <w:spacing w:after="0"/>
              <w:jc w:val="right"/>
            </w:pPr>
            <w:r/>
            <w:r>
              <w:rPr>
                <w:rFonts w:ascii="Calibri" w:hAnsi="Calibri"/>
                <w:b w:val="0"/>
                <w:i w:val="0"/>
                <w:color w:val="000000"/>
                <w:sz w:val="21"/>
              </w:rPr>
              <w:t>PHP</w:t>
            </w:r>
          </w:p>
        </w:tc>
        <w:tc>
          <w:tcPr>
            <w:tcW w:type="dxa" w:w="2760"/>
          </w:tcPr>
          <w:p>
            <w:pPr>
              <w:spacing w:after="0"/>
              <w:jc w:val="right"/>
            </w:pPr>
            <w:r/>
            <w:r>
              <w:rPr>
                <w:rFonts w:ascii="Calibri" w:hAnsi="Calibri"/>
                <w:b w:val="0"/>
                <w:i w:val="0"/>
                <w:color w:val="000000"/>
                <w:sz w:val="21"/>
              </w:rPr>
              <w:t>41,983.92</w:t>
            </w:r>
          </w:p>
        </w:tc>
      </w:tr>
    </w:tbl>
    <w:p>
      <w:pPr>
        <w:pStyle w:val="Heading1"/>
        <w:spacing w:before="320" w:after="160"/>
      </w:pPr>
      <w:r>
        <w:rPr>
          <w:rFonts w:ascii="Calibri" w:hAnsi="Calibri"/>
          <w:b/>
          <w:i w:val="0"/>
          <w:color w:val="2E74B5"/>
          <w:sz w:val="32"/>
        </w:rPr>
        <w:t>Optional Cost Reduction</w:t>
      </w:r>
    </w:p>
    <w:p>
      <w:pPr>
        <w:spacing w:before="0" w:after="120" w:line="264" w:lineRule="auto"/>
      </w:pPr>
      <w:r>
        <w:rPr>
          <w:rFonts w:ascii="Calibri" w:hAnsi="Calibri"/>
          <w:b w:val="0"/>
          <w:i w:val="0"/>
          <w:color w:val="000000"/>
          <w:sz w:val="22"/>
        </w:rPr>
        <w:t>If the initial budget is tight, the managed PostgreSQL item can be deferred and PostgreSQL can run on the production VPS using Docker. This lowers the monthly estimate by USD 15.00, reducing the monthly operating cost to USD 42.00 / PHP 2,578.00. The tradeoff is that database patching, backups, and recovery become the project team's operational responsibility.</w:t>
      </w:r>
    </w:p>
    <w:p>
      <w:pPr>
        <w:pStyle w:val="Heading1"/>
        <w:spacing w:before="320" w:after="160"/>
      </w:pPr>
      <w:r>
        <w:rPr>
          <w:rFonts w:ascii="Calibri" w:hAnsi="Calibri"/>
          <w:b/>
          <w:i w:val="0"/>
          <w:color w:val="2E74B5"/>
          <w:sz w:val="32"/>
        </w:rPr>
        <w:t>Scope Included</w:t>
      </w:r>
    </w:p>
    <w:p>
      <w:pPr>
        <w:pStyle w:val="ListBullet"/>
        <w:spacing w:before="0" w:after="80" w:line="264" w:lineRule="auto"/>
      </w:pPr>
      <w:r>
        <w:rPr>
          <w:rFonts w:ascii="Calibri" w:hAnsi="Calibri"/>
          <w:b w:val="0"/>
          <w:i w:val="0"/>
          <w:color w:val="000000"/>
          <w:sz w:val="22"/>
        </w:rPr>
        <w:t>Production server provisioning and hardening</w:t>
      </w:r>
    </w:p>
    <w:p>
      <w:pPr>
        <w:pStyle w:val="ListBullet"/>
        <w:spacing w:before="0" w:after="80" w:line="264" w:lineRule="auto"/>
      </w:pPr>
      <w:r>
        <w:rPr>
          <w:rFonts w:ascii="Calibri" w:hAnsi="Calibri"/>
          <w:b w:val="0"/>
          <w:i w:val="0"/>
          <w:color w:val="000000"/>
          <w:sz w:val="22"/>
        </w:rPr>
        <w:t>PostgreSQL configuration for the ATS</w:t>
      </w:r>
    </w:p>
    <w:p>
      <w:pPr>
        <w:pStyle w:val="ListBullet"/>
        <w:spacing w:before="0" w:after="80" w:line="264" w:lineRule="auto"/>
      </w:pPr>
      <w:r>
        <w:rPr>
          <w:rFonts w:ascii="Calibri" w:hAnsi="Calibri"/>
          <w:b w:val="0"/>
          <w:i w:val="0"/>
          <w:color w:val="000000"/>
          <w:sz w:val="22"/>
        </w:rPr>
        <w:t>Application deployment and service configuration</w:t>
      </w:r>
    </w:p>
    <w:p>
      <w:pPr>
        <w:pStyle w:val="ListBullet"/>
        <w:spacing w:before="0" w:after="80" w:line="264" w:lineRule="auto"/>
      </w:pPr>
      <w:r>
        <w:rPr>
          <w:rFonts w:ascii="Calibri" w:hAnsi="Calibri"/>
          <w:b w:val="0"/>
          <w:i w:val="0"/>
          <w:color w:val="000000"/>
          <w:sz w:val="22"/>
        </w:rPr>
        <w:t>Nginx reverse proxy and HTTPS setup</w:t>
      </w:r>
    </w:p>
    <w:p>
      <w:pPr>
        <w:pStyle w:val="ListBullet"/>
        <w:spacing w:before="0" w:after="80" w:line="264" w:lineRule="auto"/>
      </w:pPr>
      <w:r>
        <w:rPr>
          <w:rFonts w:ascii="Calibri" w:hAnsi="Calibri"/>
          <w:b w:val="0"/>
          <w:i w:val="0"/>
          <w:color w:val="000000"/>
          <w:sz w:val="22"/>
        </w:rPr>
        <w:t>Backup and restore procedure setup</w:t>
      </w:r>
    </w:p>
    <w:p>
      <w:pPr>
        <w:pStyle w:val="ListBullet"/>
        <w:spacing w:before="0" w:after="80" w:line="264" w:lineRule="auto"/>
      </w:pPr>
      <w:r>
        <w:rPr>
          <w:rFonts w:ascii="Calibri" w:hAnsi="Calibri"/>
          <w:b w:val="0"/>
          <w:i w:val="0"/>
          <w:color w:val="000000"/>
          <w:sz w:val="22"/>
        </w:rPr>
        <w:t>Production smoke testing for applicant, employee, dashboard, CV upload/download, batch export, admin panel, and RBAC flows</w:t>
      </w:r>
    </w:p>
    <w:p>
      <w:pPr>
        <w:pStyle w:val="ListBullet"/>
        <w:spacing w:before="0" w:after="80" w:line="264" w:lineRule="auto"/>
      </w:pPr>
      <w:r>
        <w:rPr>
          <w:rFonts w:ascii="Calibri" w:hAnsi="Calibri"/>
          <w:b w:val="0"/>
          <w:i w:val="0"/>
          <w:color w:val="000000"/>
          <w:sz w:val="22"/>
        </w:rPr>
        <w:t>Basic handover notes for server access, restart commands, and backup checks</w:t>
      </w:r>
    </w:p>
    <w:p>
      <w:pPr>
        <w:pStyle w:val="Heading1"/>
        <w:spacing w:before="320" w:after="160"/>
      </w:pPr>
      <w:r>
        <w:rPr>
          <w:rFonts w:ascii="Calibri" w:hAnsi="Calibri"/>
          <w:b/>
          <w:i w:val="0"/>
          <w:color w:val="2E74B5"/>
          <w:sz w:val="32"/>
        </w:rPr>
        <w:t>Assumptions</w:t>
      </w:r>
    </w:p>
    <w:p>
      <w:pPr>
        <w:pStyle w:val="ListBullet"/>
        <w:spacing w:before="0" w:after="80" w:line="264" w:lineRule="auto"/>
      </w:pPr>
      <w:r>
        <w:rPr>
          <w:rFonts w:ascii="Calibri" w:hAnsi="Calibri"/>
          <w:b w:val="0"/>
          <w:i w:val="0"/>
          <w:color w:val="000000"/>
          <w:sz w:val="22"/>
        </w:rPr>
        <w:t>The ATS will initially support a small-to-medium internal recruitment workflow, not a high-traffic public job board.</w:t>
      </w:r>
    </w:p>
    <w:p>
      <w:pPr>
        <w:pStyle w:val="ListBullet"/>
        <w:spacing w:before="0" w:after="80" w:line="264" w:lineRule="auto"/>
      </w:pPr>
      <w:r>
        <w:rPr>
          <w:rFonts w:ascii="Calibri" w:hAnsi="Calibri"/>
          <w:b w:val="0"/>
          <w:i w:val="0"/>
          <w:color w:val="000000"/>
          <w:sz w:val="22"/>
        </w:rPr>
        <w:t>PDF CV uploads are limited by application configuration and should be monitored because uploaded files affect database and backup growth.</w:t>
      </w:r>
    </w:p>
    <w:p>
      <w:pPr>
        <w:pStyle w:val="ListBullet"/>
        <w:spacing w:before="0" w:after="80" w:line="264" w:lineRule="auto"/>
      </w:pPr>
      <w:r>
        <w:rPr>
          <w:rFonts w:ascii="Calibri" w:hAnsi="Calibri"/>
          <w:b w:val="0"/>
          <w:i w:val="0"/>
          <w:color w:val="000000"/>
          <w:sz w:val="22"/>
        </w:rPr>
        <w:t>The client will provide a domain name, official sender email details if email notifications are later added, and cloud account billing access.</w:t>
      </w:r>
    </w:p>
    <w:p>
      <w:pPr>
        <w:pStyle w:val="ListBullet"/>
        <w:spacing w:before="0" w:after="80" w:line="264" w:lineRule="auto"/>
      </w:pPr>
      <w:r>
        <w:rPr>
          <w:rFonts w:ascii="Calibri" w:hAnsi="Calibri"/>
          <w:b w:val="0"/>
          <w:i w:val="0"/>
          <w:color w:val="000000"/>
          <w:sz w:val="22"/>
        </w:rPr>
        <w:t>Prices are cloud infrastructure estimates and may change before purchase. Final billing is controlled by the cloud provider.</w:t>
      </w:r>
    </w:p>
    <w:p>
      <w:pPr>
        <w:pStyle w:val="ListBullet"/>
        <w:spacing w:before="0" w:after="80" w:line="264" w:lineRule="auto"/>
      </w:pPr>
      <w:r>
        <w:rPr>
          <w:rFonts w:ascii="Calibri" w:hAnsi="Calibri"/>
          <w:b w:val="0"/>
          <w:i w:val="0"/>
          <w:color w:val="000000"/>
          <w:sz w:val="22"/>
        </w:rPr>
        <w:t>This quotation does not include paid third-party SMS, email, antivirus scanning, SSO, 2FA service subscriptions, or penetration testing unless separately approved.</w:t>
      </w:r>
    </w:p>
    <w:p>
      <w:pPr>
        <w:pStyle w:val="Heading1"/>
        <w:spacing w:before="320" w:after="160"/>
      </w:pPr>
      <w:r>
        <w:rPr>
          <w:rFonts w:ascii="Calibri" w:hAnsi="Calibri"/>
          <w:b/>
          <w:i w:val="0"/>
          <w:color w:val="2E74B5"/>
          <w:sz w:val="32"/>
        </w:rPr>
        <w:t>Payment Terms</w:t>
      </w:r>
    </w:p>
    <w:tbl>
      <w:tblPr>
        <w:tblStyle w:val="TableGrid"/>
        <w:tblW w:type="dxa" w:w="9360"/>
        <w:jc w:val="left"/>
        <w:tblLayout w:type="fixed"/>
        <w:tblLook w:firstColumn="1" w:firstRow="1" w:lastColumn="0" w:lastRow="0" w:noHBand="0" w:noVBand="1" w:val="04A0"/>
        <w:tblInd w:type="dxa" w:w="120"/>
        <w:tblCellMar>
          <w:top w:w="80" w:type="dxa"/>
          <w:start w:w="120" w:type="dxa"/>
          <w:bottom w:w="80" w:type="dxa"/>
          <w:end w:w="120" w:type="dxa"/>
        </w:tblCellMa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800"/>
        <w:gridCol w:w="7560"/>
      </w:tblGrid>
      <w:tr>
        <w:tc>
          <w:tcPr>
            <w:tcW w:type="dxa" w:w="1800"/>
            <w:vAlign w:val="top"/>
          </w:tcPr>
          <w:p>
            <w:pPr>
              <w:spacing w:after="0"/>
            </w:pPr>
            <w:r/>
            <w:r>
              <w:rPr>
                <w:rFonts w:ascii="Calibri" w:hAnsi="Calibri"/>
                <w:b/>
                <w:i w:val="0"/>
                <w:color w:val="000000"/>
                <w:sz w:val="22"/>
              </w:rPr>
              <w:t>Payment schedule</w:t>
            </w:r>
          </w:p>
        </w:tc>
        <w:tc>
          <w:tcPr>
            <w:tcW w:type="dxa" w:w="7560"/>
            <w:vAlign w:val="top"/>
          </w:tcPr>
          <w:p>
            <w:pPr>
              <w:spacing w:after="0"/>
            </w:pPr>
            <w:r/>
            <w:r>
              <w:rPr>
                <w:rFonts w:ascii="Calibri" w:hAnsi="Calibri"/>
                <w:b w:val="0"/>
                <w:i w:val="0"/>
                <w:color w:val="000000"/>
                <w:sz w:val="22"/>
              </w:rPr>
              <w:t>50% upon approval, 50% upon production handover.</w:t>
            </w:r>
          </w:p>
        </w:tc>
      </w:tr>
      <w:tr>
        <w:tc>
          <w:tcPr>
            <w:tcW w:type="dxa" w:w="1800"/>
            <w:vAlign w:val="top"/>
          </w:tcPr>
          <w:p>
            <w:pPr>
              <w:spacing w:after="0"/>
            </w:pPr>
            <w:r/>
            <w:r>
              <w:rPr>
                <w:rFonts w:ascii="Calibri" w:hAnsi="Calibri"/>
                <w:b/>
                <w:i w:val="0"/>
                <w:color w:val="000000"/>
                <w:sz w:val="22"/>
              </w:rPr>
              <w:t>Cloud billing</w:t>
            </w:r>
          </w:p>
        </w:tc>
        <w:tc>
          <w:tcPr>
            <w:tcW w:type="dxa" w:w="7560"/>
            <w:vAlign w:val="top"/>
          </w:tcPr>
          <w:p>
            <w:pPr>
              <w:spacing w:after="0"/>
            </w:pPr>
            <w:r/>
            <w:r>
              <w:rPr>
                <w:rFonts w:ascii="Calibri" w:hAnsi="Calibri"/>
                <w:b w:val="0"/>
                <w:i w:val="0"/>
                <w:color w:val="000000"/>
                <w:sz w:val="22"/>
              </w:rPr>
              <w:t>Paid directly by the client to the cloud provider unless otherwise agreed.</w:t>
            </w:r>
          </w:p>
        </w:tc>
      </w:tr>
      <w:tr>
        <w:tc>
          <w:tcPr>
            <w:tcW w:type="dxa" w:w="1800"/>
            <w:vAlign w:val="top"/>
          </w:tcPr>
          <w:p>
            <w:pPr>
              <w:spacing w:after="0"/>
            </w:pPr>
            <w:r/>
            <w:r>
              <w:rPr>
                <w:rFonts w:ascii="Calibri" w:hAnsi="Calibri"/>
                <w:b/>
                <w:i w:val="0"/>
                <w:color w:val="000000"/>
                <w:sz w:val="22"/>
              </w:rPr>
              <w:t>Lead time</w:t>
            </w:r>
          </w:p>
        </w:tc>
        <w:tc>
          <w:tcPr>
            <w:tcW w:type="dxa" w:w="7560"/>
            <w:vAlign w:val="top"/>
          </w:tcPr>
          <w:p>
            <w:pPr>
              <w:spacing w:after="0"/>
            </w:pPr>
            <w:r/>
            <w:r>
              <w:rPr>
                <w:rFonts w:ascii="Calibri" w:hAnsi="Calibri"/>
                <w:b w:val="0"/>
                <w:i w:val="0"/>
                <w:color w:val="000000"/>
                <w:sz w:val="22"/>
              </w:rPr>
              <w:t>2 to 4 working days after cloud account access, domain access, and initial payment are available.</w:t>
            </w:r>
          </w:p>
        </w:tc>
      </w:tr>
      <w:tr>
        <w:tc>
          <w:tcPr>
            <w:tcW w:type="dxa" w:w="1800"/>
            <w:vAlign w:val="top"/>
          </w:tcPr>
          <w:p>
            <w:pPr>
              <w:spacing w:after="0"/>
            </w:pPr>
            <w:r/>
            <w:r>
              <w:rPr>
                <w:rFonts w:ascii="Calibri" w:hAnsi="Calibri"/>
                <w:b/>
                <w:i w:val="0"/>
                <w:color w:val="000000"/>
                <w:sz w:val="22"/>
              </w:rPr>
              <w:t>Warranty</w:t>
            </w:r>
          </w:p>
        </w:tc>
        <w:tc>
          <w:tcPr>
            <w:tcW w:type="dxa" w:w="7560"/>
            <w:vAlign w:val="top"/>
          </w:tcPr>
          <w:p>
            <w:pPr>
              <w:spacing w:after="0"/>
            </w:pPr>
            <w:r/>
            <w:r>
              <w:rPr>
                <w:rFonts w:ascii="Calibri" w:hAnsi="Calibri"/>
                <w:b w:val="0"/>
                <w:i w:val="0"/>
                <w:color w:val="000000"/>
                <w:sz w:val="22"/>
              </w:rPr>
              <w:t>7 calendar days post-handover for deployment defects related to the included scope.</w:t>
            </w:r>
          </w:p>
        </w:tc>
      </w:tr>
      <w:tr>
        <w:tc>
          <w:tcPr>
            <w:tcW w:type="dxa" w:w="1800"/>
            <w:vAlign w:val="top"/>
          </w:tcPr>
          <w:p>
            <w:pPr>
              <w:spacing w:after="0"/>
            </w:pPr>
            <w:r/>
            <w:r>
              <w:rPr>
                <w:rFonts w:ascii="Calibri" w:hAnsi="Calibri"/>
                <w:b/>
                <w:i w:val="0"/>
                <w:color w:val="000000"/>
                <w:sz w:val="22"/>
              </w:rPr>
              <w:t>Change requests</w:t>
            </w:r>
          </w:p>
        </w:tc>
        <w:tc>
          <w:tcPr>
            <w:tcW w:type="dxa" w:w="7560"/>
            <w:vAlign w:val="top"/>
          </w:tcPr>
          <w:p>
            <w:pPr>
              <w:spacing w:after="0"/>
            </w:pPr>
            <w:r/>
            <w:r>
              <w:rPr>
                <w:rFonts w:ascii="Calibri" w:hAnsi="Calibri"/>
                <w:b w:val="0"/>
                <w:i w:val="0"/>
                <w:color w:val="000000"/>
                <w:sz w:val="22"/>
              </w:rPr>
              <w:t>New features, UI changes, migration cleanup, or integrations are quoted separately.</w:t>
            </w:r>
          </w:p>
        </w:tc>
      </w:tr>
    </w:tbl>
    <w:p>
      <w:pPr>
        <w:pStyle w:val="Heading1"/>
        <w:spacing w:before="320" w:after="160"/>
      </w:pPr>
      <w:r>
        <w:rPr>
          <w:rFonts w:ascii="Calibri" w:hAnsi="Calibri"/>
          <w:b/>
          <w:i w:val="0"/>
          <w:color w:val="2E74B5"/>
          <w:sz w:val="32"/>
        </w:rPr>
        <w:t>Reference Pricing Sources</w:t>
      </w:r>
    </w:p>
    <w:p>
      <w:pPr>
        <w:spacing w:before="0" w:after="80" w:line="264" w:lineRule="auto"/>
      </w:pPr>
      <w:r>
        <w:rPr>
          <w:rFonts w:ascii="Calibri" w:hAnsi="Calibri"/>
          <w:b w:val="0"/>
          <w:i w:val="0"/>
          <w:color w:val="5A5A5A"/>
          <w:sz w:val="19"/>
        </w:rPr>
        <w:t>DigitalOcean Droplet pricing page, accessed May 25, 2026: https://www.digitalocean.com/pricing/droplets</w:t>
      </w:r>
    </w:p>
    <w:p>
      <w:pPr>
        <w:spacing w:before="0" w:after="80" w:line="264" w:lineRule="auto"/>
      </w:pPr>
      <w:r>
        <w:rPr>
          <w:rFonts w:ascii="Calibri" w:hAnsi="Calibri"/>
          <w:b w:val="0"/>
          <w:i w:val="0"/>
          <w:color w:val="5A5A5A"/>
          <w:sz w:val="19"/>
        </w:rPr>
        <w:t>DigitalOcean Managed Databases pricing page, accessed May 25, 2026: https://www.digitalocean.com/pricing/managed-databases</w:t>
      </w:r>
    </w:p>
    <w:p>
      <w:pPr>
        <w:spacing w:before="0" w:after="80" w:line="264" w:lineRule="auto"/>
      </w:pPr>
      <w:r>
        <w:rPr>
          <w:rFonts w:ascii="Calibri" w:hAnsi="Calibri"/>
          <w:b w:val="0"/>
          <w:i w:val="0"/>
          <w:color w:val="5A5A5A"/>
          <w:sz w:val="19"/>
        </w:rPr>
        <w:t>USD/PHP reference rate used for this estimate: PHP 61.38 per USD, accessed May 25, 2026: https://exchangerate.guru/usd/php/1/</w:t>
      </w:r>
    </w:p>
    <w:p>
      <w:pPr>
        <w:spacing w:before="0" w:after="80" w:line="264" w:lineRule="auto"/>
      </w:pPr>
      <w:r>
        <w:rPr>
          <w:rFonts w:ascii="Calibri" w:hAnsi="Calibri"/>
          <w:b w:val="0"/>
          <w:i w:val="0"/>
          <w:color w:val="5A5A5A"/>
          <w:sz w:val="19"/>
        </w:rPr>
        <w:t>Amazon Lightsail billing reference for comparison, accessed May 25, 2026: https://docs.aws.amazon.com/lightsail/latest/userguide/amazon-lightsail-frequently-asked-questions-faq-billing-and-account-management.html</w:t>
      </w:r>
    </w:p>
    <w:p>
      <w:pPr>
        <w:pStyle w:val="Heading1"/>
        <w:spacing w:before="320" w:after="160"/>
      </w:pPr>
      <w:r>
        <w:rPr>
          <w:rFonts w:ascii="Calibri" w:hAnsi="Calibri"/>
          <w:b/>
          <w:i w:val="0"/>
          <w:color w:val="2E74B5"/>
          <w:sz w:val="32"/>
        </w:rPr>
        <w:t>Approval</w:t>
      </w:r>
    </w:p>
    <w:tbl>
      <w:tblPr>
        <w:tblStyle w:val="TableGrid"/>
        <w:tblW w:type="dxa" w:w="9360"/>
        <w:jc w:val="left"/>
        <w:tblLayout w:type="fixed"/>
        <w:tblLook w:firstColumn="1" w:firstRow="1" w:lastColumn="0" w:lastRow="0" w:noHBand="0" w:noVBand="1" w:val="04A0"/>
        <w:tblInd w:type="dxa" w:w="120"/>
        <w:tblCellMar>
          <w:top w:w="80" w:type="dxa"/>
          <w:start w:w="120" w:type="dxa"/>
          <w:bottom w:w="80" w:type="dxa"/>
          <w:end w:w="120" w:type="dxa"/>
        </w:tblCellMa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600"/>
        <w:gridCol w:w="4760"/>
        <w:gridCol w:w="2000"/>
      </w:tblGrid>
      <w:tr>
        <w:tc>
          <w:tcPr>
            <w:tcW w:type="dxa" w:w="2600"/>
            <w:shd w:fill="F2F4F7"/>
          </w:tcPr>
          <w:p>
            <w:pPr>
              <w:spacing w:after="0"/>
            </w:pPr>
            <w:r/>
            <w:r>
              <w:rPr>
                <w:rFonts w:ascii="Calibri" w:hAnsi="Calibri"/>
                <w:b/>
                <w:i w:val="0"/>
                <w:color w:val="000000"/>
                <w:sz w:val="22"/>
              </w:rPr>
              <w:t>Role</w:t>
            </w:r>
          </w:p>
        </w:tc>
        <w:tc>
          <w:tcPr>
            <w:tcW w:type="dxa" w:w="4760"/>
            <w:shd w:fill="F2F4F7"/>
          </w:tcPr>
          <w:p>
            <w:pPr>
              <w:spacing w:after="0"/>
            </w:pPr>
            <w:r/>
            <w:r>
              <w:rPr>
                <w:rFonts w:ascii="Calibri" w:hAnsi="Calibri"/>
                <w:b/>
                <w:i w:val="0"/>
                <w:color w:val="000000"/>
                <w:sz w:val="22"/>
              </w:rPr>
              <w:t>Name and Signature</w:t>
            </w:r>
          </w:p>
        </w:tc>
        <w:tc>
          <w:tcPr>
            <w:tcW w:type="dxa" w:w="2000"/>
            <w:shd w:fill="F2F4F7"/>
          </w:tcPr>
          <w:p>
            <w:pPr>
              <w:spacing w:after="0"/>
            </w:pPr>
            <w:r/>
            <w:r>
              <w:rPr>
                <w:rFonts w:ascii="Calibri" w:hAnsi="Calibri"/>
                <w:b/>
                <w:i w:val="0"/>
                <w:color w:val="000000"/>
                <w:sz w:val="22"/>
              </w:rPr>
              <w:t>Date</w:t>
            </w:r>
          </w:p>
        </w:tc>
      </w:tr>
      <w:tr>
        <w:tc>
          <w:tcPr>
            <w:tcW w:type="dxa" w:w="2600"/>
          </w:tcPr>
          <w:p>
            <w:pPr>
              <w:spacing w:after="0"/>
            </w:pPr>
            <w:r/>
            <w:r>
              <w:rPr>
                <w:rFonts w:ascii="Calibri" w:hAnsi="Calibri"/>
                <w:b w:val="0"/>
                <w:i w:val="0"/>
                <w:color w:val="000000"/>
                <w:sz w:val="21"/>
              </w:rPr>
              <w:t>Client authorized representative</w:t>
            </w:r>
          </w:p>
        </w:tc>
        <w:tc>
          <w:tcPr>
            <w:tcW w:type="dxa" w:w="4760"/>
          </w:tcPr>
          <w:p>
            <w:pPr>
              <w:spacing w:after="0"/>
              <w:jc w:val="right"/>
            </w:pPr>
            <w:r/>
            <w:r>
              <w:rPr>
                <w:rFonts w:ascii="Calibri" w:hAnsi="Calibri"/>
                <w:b w:val="0"/>
                <w:i w:val="0"/>
                <w:color w:val="000000"/>
                <w:sz w:val="21"/>
              </w:rPr>
            </w:r>
          </w:p>
        </w:tc>
        <w:tc>
          <w:tcPr>
            <w:tcW w:type="dxa" w:w="2000"/>
          </w:tcPr>
          <w:p>
            <w:pPr>
              <w:spacing w:after="0"/>
              <w:jc w:val="right"/>
            </w:pPr>
            <w:r/>
            <w:r>
              <w:rPr>
                <w:rFonts w:ascii="Calibri" w:hAnsi="Calibri"/>
                <w:b w:val="0"/>
                <w:i w:val="0"/>
                <w:color w:val="000000"/>
                <w:sz w:val="21"/>
              </w:rPr>
            </w:r>
          </w:p>
        </w:tc>
      </w:tr>
      <w:tr>
        <w:tc>
          <w:tcPr>
            <w:tcW w:type="dxa" w:w="2600"/>
          </w:tcPr>
          <w:p>
            <w:pPr>
              <w:spacing w:after="0"/>
            </w:pPr>
            <w:r/>
            <w:r>
              <w:rPr>
                <w:rFonts w:ascii="Calibri" w:hAnsi="Calibri"/>
                <w:b w:val="0"/>
                <w:i w:val="0"/>
                <w:color w:val="000000"/>
                <w:sz w:val="21"/>
              </w:rPr>
              <w:t>Service provider authorized representative</w:t>
            </w:r>
          </w:p>
        </w:tc>
        <w:tc>
          <w:tcPr>
            <w:tcW w:type="dxa" w:w="4760"/>
          </w:tcPr>
          <w:p>
            <w:pPr>
              <w:spacing w:after="0"/>
              <w:jc w:val="right"/>
            </w:pPr>
            <w:r/>
            <w:r>
              <w:rPr>
                <w:rFonts w:ascii="Calibri" w:hAnsi="Calibri"/>
                <w:b w:val="0"/>
                <w:i w:val="0"/>
                <w:color w:val="000000"/>
                <w:sz w:val="21"/>
              </w:rPr>
            </w:r>
          </w:p>
        </w:tc>
        <w:tc>
          <w:tcPr>
            <w:tcW w:type="dxa" w:w="2000"/>
          </w:tcPr>
          <w:p>
            <w:pPr>
              <w:spacing w:after="0"/>
              <w:jc w:val="right"/>
            </w:pPr>
            <w:r/>
            <w:r>
              <w:rPr>
                <w:rFonts w:ascii="Calibri" w:hAnsi="Calibri"/>
                <w:b w:val="0"/>
                <w:i w:val="0"/>
                <w:color w:val="000000"/>
                <w:sz w:val="21"/>
              </w:rPr>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A5A5A"/>
        <w:sz w:val="18"/>
      </w:rPr>
      <w:t>Prepared for review and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val="0"/>
        <w:i w:val="0"/>
        <w:color w:val="5A5A5A"/>
        <w:sz w:val="18"/>
      </w:rPr>
      <w:t>Project Quotation | Applicant Tracking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Quotation - Applicant Tracking System Server Procurement</dc:title>
  <dc:subject>Server procurement and deployment quotation</dc:subject>
  <dc:creator>Codex</dc:creator>
  <cp:keywords/>
  <dc:description>Generated for ATS server procurement review.</dc:description>
  <cp:lastModifiedBy/>
  <cp:revision>1</cp:revision>
  <dcterms:created xsi:type="dcterms:W3CDTF">2013-12-23T23:15:00Z</dcterms:created>
  <dcterms:modified xsi:type="dcterms:W3CDTF">2013-12-23T23:15:00Z</dcterms:modified>
  <cp:category/>
</cp:coreProperties>
</file>