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>TCAS-I 稿件大纲</w:t>
      </w:r>
    </w:p>
    <w:p>
      <w:r>
        <w:rPr/>
        <w:t>A Dual-Channel Vernier Absolute Inductive Angle Sensor IC With Time-Multiplexed Adjacent-Slot Subtraction for Robot Joints</w:t>
      </w:r>
    </w:p>
    <w:p>
      <w:r>
        <w:rPr/>
        <w:t>C. Ye, M. Chen 等 · 拟投 IEEE TCAS-I · 14 页 · 本文依据 2026-10-20 新版（相对 v12 有更新）</w:t>
      </w:r>
    </w:p>
    <w:p>
      <w:pPr>
        <w:pStyle w:val="Heading2"/>
      </w:pPr>
      <w:r>
        <w:rPr/>
        <w:t>1. 问题与贡献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问题：</w:t>
      </w:r>
      <w:r>
        <w:rPr/>
        <w:t>机器人关节等场合需要角秒级、耐油污、无磁铁的绝对角度传感器。电感式游标方案能满足环境要求，但读出电路要同时处理 6 路毫伏级调幅载波、保证粗测通道判周可靠、并把解算放进片上逻辑。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常规代价：</w:t>
      </w:r>
      <w:r>
        <w:rPr/>
        <w:t>每相一套放大器和 ADC，再加斩波或自动调零，面积和功耗大，通道匹配难。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贡献：</w:t>
      </w:r>
      <w:r>
        <w:rPr/>
        <w:t>① 三相分时共用一条 PGA + 12 位冗余 SAR ADC，相邻时隙相减即 CDS，失调和 1/f 被 1 − z</w:t>
      </w:r>
      <w:r>
        <w:rPr>
          <w:vertAlign w:val="superscript"/>
        </w:rPr>
        <w:t>−1</w:t>
      </w:r>
      <w:r>
        <w:rPr/>
        <w:t xml:space="preserve"> 整形，无需斩波；② 从线圈模型推出各项读出指标并逐一落实；③ 两遍 CRT 游标解码，粗测相位一次查表修正，裕度可达 21 倍。</w:t>
      </w:r>
    </w:p>
    <w:p>
      <w:pPr>
        <w:pStyle w:val="Heading2"/>
      </w:pPr>
      <w:r>
        <w:rPr/>
        <w:t>2. 系统架构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传感器：</w:t>
      </w:r>
      <w:r>
        <w:rPr/>
        <w:t>38 mm、64/5 周期三相双通道游标式电感角度传感器；定子四层 PCB（激励夹在粗、精两组三相接收线圈之间），转子两条闭合铜走线；气隙 0.3～1.0 mm；激励约 4 MHz（Fig. 1 标 3.84 MHz）。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芯片：</w:t>
      </w:r>
      <w:r>
        <w:rPr/>
        <w:t>SMIC 0.18 µm BCD，3.25 × 2.75 mm</w:t>
      </w:r>
      <w:r>
        <w:rPr>
          <w:vertAlign w:val="superscript"/>
        </w:rPr>
        <w:t>2</w:t>
      </w:r>
      <w:r>
        <w:rPr/>
        <w:t>。两个通道共用激励驱动和时钟比较器；每通道：EMI 低通 → MUX1 → 三路无源混频 → 低通 → MUX2 分时 → 三级 PGA → 冗余 SAR ADC；16 个原始判决经 SPI 送 FPGA 做时隙差、标定、Clarke 和角度解算。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时序：</w:t>
      </w:r>
      <w:r>
        <w:rPr/>
        <w:t>每时隙 T</w:t>
      </w:r>
      <w:r>
        <w:rPr>
          <w:vertAlign w:val="subscript"/>
        </w:rPr>
        <w:t>s</w:t>
      </w:r>
      <w:r>
        <w:rPr/>
        <w:t xml:space="preserve"> = 1 µs（前半接通相、后半复位到 V</w:t>
      </w:r>
      <w:r>
        <w:rPr>
          <w:vertAlign w:val="subscript"/>
        </w:rPr>
        <w:t>CM</w:t>
      </w:r>
      <w:r>
        <w:rPr/>
        <w:t>），三时隙一帧，每通道帧率 333 kHz。</w:t>
      </w:r>
    </w:p>
    <w:p>
      <w:pPr>
        <w:pStyle w:val="Heading2"/>
      </w:pPr>
      <w:r>
        <w:rPr/>
        <w:t>3. 关键电路模块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激励驱动（Fig. 4(a)）：</w:t>
      </w:r>
      <w:r>
        <w:rPr/>
        <w:t>四档二进制加权互补 H 桥切片 + 6 位微调电流源，形成负阻维持 LC 振荡；共模反馈只调 NMOS 下管，幅度由 PMOS 电流独立设定。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时钟比较器（Fig. 4(b)）：</w:t>
      </w:r>
      <w:r>
        <w:rPr/>
        <w:t>轨到轨输入、锁存迟滞；从槽路电压取解调时钟，延迟对三相共有，在角度比中约掉。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PGA（Fig. 5）：</w:t>
      </w:r>
      <w:r>
        <w:rPr/>
        <w:t>三运放仪表放大器 + 末级；A</w:t>
      </w:r>
      <w:r>
        <w:rPr>
          <w:vertAlign w:val="subscript"/>
        </w:rPr>
        <w:t>1</w:t>
      </w:r>
      <w:r>
        <w:rPr/>
        <w:t>、A</w:t>
      </w:r>
      <w:r>
        <w:rPr>
          <w:vertAlign w:val="subscript"/>
        </w:rPr>
        <w:t>2</w:t>
      </w:r>
      <w:r>
        <w:rPr/>
        <w:t xml:space="preserve"> 电流复用输入对（噪声至少低 3 dB）；7 位一次性失调修调；末级 C</w:t>
      </w:r>
      <w:r>
        <w:rPr>
          <w:vertAlign w:val="subscript"/>
        </w:rPr>
        <w:t>F</w:t>
      </w:r>
      <w:r>
        <w:rPr/>
        <w:t xml:space="preserve"> 限带（最高增益 2.9 MHz），折叠噪声降一个数量级以上而不拖慢环路。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SAR ADC（Fig. 6）：</w:t>
      </w:r>
      <w:r>
        <w:rPr/>
        <w:t>全差分、三段桥接 CDAC、下极板采样；12 位 + 4 次冗余（冗余在 MSB 非二进制段）；16 个原始判决片外加权，权重失配与传感器非线性一并校正，片上不做 ADC 校准。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数字链（第 IV 节）：</w:t>
      </w:r>
      <w:r>
        <w:rPr/>
        <w:t>相邻时隙相减（CDS + Clarke 分子）→ 标定矩阵与偏置 → atan2 → 两遍 CRT（粗测相位查表修正）→ 输出绝对角。</w:t>
      </w:r>
    </w:p>
    <w:p>
      <w:pPr>
        <w:pStyle w:val="Heading2"/>
      </w:pPr>
      <w:r>
        <w:rPr/>
        <w:t>4. 主要公式（一句话）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(2)：</w:t>
      </w:r>
      <w:r>
        <w:rPr/>
        <w:t>接收互感 = 基波 + 高次谐波 + 与角度无关的直接耦合。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(3)：</w:t>
      </w:r>
      <w:r>
        <w:rPr/>
        <w:t>Clarke 变换把三相变成正交 α、β，零和行消公共失调。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(4)(5)：</w:t>
      </w:r>
      <w:r>
        <w:rPr/>
        <w:t>小失调/增益/正交误差如何变成角度误差；三相噪声到机械角的换算（÷N、×√(2/3)）。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(6)～(11)：</w:t>
      </w:r>
      <w:r>
        <w:rPr/>
        <w:t>由线圈幅度推出 PGA 增益、SNR、带宽和噪声目标（Table I）。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(12)～(15)：</w:t>
      </w:r>
      <w:r>
        <w:rPr/>
        <w:t>相邻时隙相减即 CDS，1/f 谱被整形为 ∝ f，带内功率不再随观测时间增加。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(16)～(18)：</w:t>
      </w:r>
      <w:r>
        <w:rPr/>
        <w:t>激励电流编程与槽路幅度（与电源无关）。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(23)：</w:t>
      </w:r>
      <w:r>
        <w:rPr/>
        <w:t>比较器延迟只乘公共增益因子，不影响角度。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(24)(25)：</w:t>
      </w:r>
      <w:r>
        <w:rPr/>
        <w:t>时隙差同时是 Clarke 的分子。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(26)(27)：</w:t>
      </w:r>
      <w:r>
        <w:rPr/>
        <w:t>转速引起的时隙错位误差及线性插值修正（6000 rpm 时 75″ → 残余 1.7″）。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(28)～(35)：</w:t>
      </w:r>
      <w:r>
        <w:rPr/>
        <w:t>电流复用噪声、失调修调、末级限带传递函数与半时隙建立误差。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(36)～(39)：</w:t>
      </w:r>
      <w:r>
        <w:rPr/>
        <w:t>SAR 采样电荷与转换方程。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(41)～(43)：</w:t>
      </w:r>
      <w:r>
        <w:rPr/>
        <w:t>CRT 游标解码及不跳周条件。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(44)(45)：</w:t>
      </w:r>
      <w:r>
        <w:rPr/>
        <w:t>对比用的 ENOB_θ 与 Schreier 式 FOM。</w:t>
      </w:r>
    </w:p>
    <w:p>
      <w:pPr>
        <w:pStyle w:val="Heading2"/>
      </w:pPr>
      <w:r>
        <w:rPr/>
        <w:t>5. 测试项目与头条结果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已是实测：</w:t>
      </w:r>
      <w:r>
        <w:rPr/>
        <w:t>Fig. 10 码噪声 0.33 → 0.22 LSB RMS（降 3.4 dB，相关 0.78）；Fig. 13 转动三相与 Lissajous（去失调后增益/相位误差 &lt; 0.4%/0.8°，静态时隙失调最大 36%）；Fig. 15 解码 1.3 圈无跳周、裕度 16 倍、粗细残差 33.9″ RMS；Fig. 8 位权偏差 ≤ 0.98%、电容失配约 2.8″；25 600 帧无帧错误。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仍为 {X} / 合成示例：</w:t>
      </w:r>
      <w:r>
        <w:rPr/>
        <w:t>SNDR/SFDR（Fig. 11）、PGA 噪声与功耗（Fig. 12）、静态角噪声/整圈误差/转速误差（Fig. 14）、噪声分布与重复性（Fig. 16）；摘要中的角噪声、角度误差、功耗、延迟；Table II 多项。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设计目标（Table I）：</w:t>
      </w:r>
      <w:r>
        <w:rPr/>
        <w:t>气隙 0.3～1.0 mm，精度 10″，最高 6000 rpm；PGA 19～53.5 dB、≥ 2.9 MHz、≲ 5 nV/√Hz；ADC 12 b / 1 MS/s、≈ 74 dB SNR；激励 ≈ 4 MHz、四档。</w:t>
      </w:r>
    </w:p>
    <w:p>
      <w:pPr>
        <w:pStyle w:val="Heading2"/>
      </w:pPr>
      <w:r>
        <w:rPr/>
        <w:t>6. 当前未决问题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【新】Fig. 10：</w:t>
      </w:r>
      <w:r>
        <w:rPr/>
        <w:t>正文写“predicted and measured”，图中只有实测；未写增益/输入条件/LSB 定义；“1 mHz”与 100 s 记录不匹配；摘要 {X} dB 未填。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【新】Fig. 15：</w:t>
      </w:r>
      <w:r>
        <w:rPr/>
        <w:t>裕度 16 倍与第 IV-C 节/TIM 稿的 21 倍不一致，需写明采集来源（是否样本外）。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【新】Fig. 13：</w:t>
      </w:r>
      <w:r>
        <w:rPr/>
        <w:t>图注缺气隙和 PGA 增益；36% 与 TIM 稿 34.8% 口径待统一。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【未改】</w:t>
      </w:r>
      <w:r>
        <w:rPr/>
        <w:t>式 (12)/(24) 差分方向；式 (16) S</w:t>
      </w:r>
      <w:r>
        <w:rPr>
          <w:vertAlign w:val="subscript"/>
        </w:rPr>
        <w:t>r</w:t>
      </w:r>
      <w:r>
        <w:rPr/>
        <w:t xml:space="preserve"> 与“每档 ×4”；4 MHz vs 3.84 MHz；式 (10) 噪声允许值与 6.7 MHz 带宽；Table II [27] ENOB 14.1→12.3；面积、功耗口径、与 ISCAS'26 的区别。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1"/>
    <w:lvlOverride w:ilvl="0">
      <w:startOverride w:val="1"/>
    </w:lvlOverride>
  </w:num>
  <w:num w:numId="51">
    <w:abstractNumId w:val="0"/>
  </w:num>
  <w:num w:numId="52">
    <w:abstractNumId w:val="0"/>
  </w:num>
  <w:num w:numId="53">
    <w:abstractNumId w:val="1"/>
    <w:lvlOverride w:ilvl="0">
      <w:startOverride w:val="1"/>
    </w:lvlOverride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hyperlink" Target="https://doi.org/10.1109/JSSC.2018.2832168" TargetMode="External"/><Relationship Id="rId21" Type="http://schemas.openxmlformats.org/officeDocument/2006/relationships/hyperlink" Target="https://doi.org/10.1109/TVLSI.2017.2651112" TargetMode="External"/><Relationship Id="rId22" Type="http://schemas.openxmlformats.org/officeDocument/2006/relationships/hyperlink" Target="https://doi.org/10.1109/TIM.2025.3557828" TargetMode="External"/><Relationship Id="rId23" Type="http://schemas.openxmlformats.org/officeDocument/2006/relationships/hyperlink" Target="https://doi.org/10.1109/TIM.2021.3101313" TargetMode="External"/><Relationship Id="rId24" Type="http://schemas.openxmlformats.org/officeDocument/2006/relationships/hyperlink" Target="https://doi.org/10.1109/TIE.2022.3148731" TargetMode="External"/><Relationship Id="rId25" Type="http://schemas.openxmlformats.org/officeDocument/2006/relationships/hyperlink" Target="https://doi.org/10.1109/TIM.2025.3548187" TargetMode="External"/><Relationship Id="rId26" Type="http://schemas.openxmlformats.org/officeDocument/2006/relationships/hyperlink" Target="https://doi.org/10.1109/JSEN.2025.3591807" TargetMode="External"/><Relationship Id="rId27" Type="http://schemas.openxmlformats.org/officeDocument/2006/relationships/hyperlink" Target="https://doi.org/10.1109/ISCAS66217.2026.11562609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TCAS-I 稿件大纲</dc:title>
  <dc:description>Claude Docs node/a8a36e52-ca38@15 docx-w7</dc:description>
  <cp:revision>15</cp:revision>
</cp:coreProperties>
</file>