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>TIM 稿件大纲</w:t>
      </w:r>
    </w:p>
    <w:p>
      <w:r>
        <w:rPr/>
        <w:t>Error Modeling, Reference-Free Vernier Calibration, and Uncertainty Evaluation of a Dual-Channel Absolute Inductive Angular Position Sensor</w:t>
      </w:r>
    </w:p>
    <w:p>
      <w:r>
        <w:rPr/>
        <w:t>C. Ye, M. Chen 等 · 拟投 IEEE TIM · 11 页 · 本文依据 TIM_稿_v10.pdf（2026-10-16，本次附件无改动）</w:t>
      </w:r>
    </w:p>
    <w:p>
      <w:pPr>
        <w:pStyle w:val="Heading2"/>
      </w:pPr>
      <w:r>
        <w:rPr/>
        <w:t>1. 问题与贡献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问题：</w:t>
      </w:r>
      <w:r>
        <w:rPr/>
        <w:t>电感式 PCB 角度传感器要做到角秒级，必须同时管住线圈、读出和解码三方面误差；已有工作或只报相对参考的误差（常在同一批数据上补偿、不带不确定度），或只做两相椭圆补偿，或只给游标判周条件。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贡献：</w:t>
      </w:r>
      <w:r>
        <w:rPr/>
        <w:t>① 由 Gerber 建立线圈场模型，把线圈侧与读出侧误差映射到机械误差频谱；② 免参考标定（椭圆归一化 + 高斯–牛顿 + 交叉验证的粗细一致性模型 g(θ)）；③ 一次性参考校正处理两通道共同误差；④ 按 GUM/VIM 做独立验证、逐点扩展不确定度、重复性与复现性。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与 TCAS-I 稿分工：</w:t>
      </w:r>
      <w:r>
        <w:rPr/>
        <w:t>芯片电路见 [24]（TCAS-I 稿）；本稿讲整机误差、标定与计量评价。</w:t>
      </w:r>
    </w:p>
    <w:p>
      <w:pPr>
        <w:pStyle w:val="Heading2"/>
      </w:pPr>
      <w:r>
        <w:rPr/>
        <w:t>2. 系统与测量链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硬件：</w:t>
      </w:r>
      <w:r>
        <w:rPr/>
        <w:t>与 TCAS-I 稿同一颗芯片 + 38 mm、64/5 线圈组；激励 3.84 MHz；解调器输入 3～100 mV；PGA 19～53.5 dB；每通道帧率 333 kHz。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测量链（Fig. 1）：</w:t>
      </w:r>
      <w:r>
        <w:rPr/>
        <w:t>线圈组 → 读出芯片 → 游标解码 → 参考校正 → θ</w:t>
      </w:r>
      <w:r>
        <w:rPr>
          <w:vertAlign w:val="subscript"/>
        </w:rPr>
        <w:t>abs</w:t>
      </w:r>
      <w:r>
        <w:rPr/>
        <w:t>。每个环节的误差源用彩色圆点标出由哪一步去掉，空心圆点进入不确定度预算。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数据集（Table IV）：</w:t>
      </w:r>
      <w:r>
        <w:rPr/>
        <w:t>A（拟合 C</w:t>
      </w:r>
      <w:r>
        <w:rPr>
          <w:vertAlign w:val="subscript"/>
        </w:rPr>
        <w:t>g</w:t>
      </w:r>
      <w:r>
        <w:rPr/>
        <w:t>、g(θ)）、B（位权与包络）、R1/R2（拟合/CV r</w:t>
      </w:r>
      <w:r>
        <w:rPr>
          <w:vertAlign w:val="subscript"/>
        </w:rPr>
        <w:t>ref</w:t>
      </w:r>
      <w:r>
        <w:rPr/>
        <w:t>）、V1～V3（仅验证）、P1～P5（重复性）、M1～M3（复现性）、G/T/S（气隙/温度/转速鲁棒性）；拟合数据从不用于验证。</w:t>
      </w:r>
    </w:p>
    <w:p>
      <w:pPr>
        <w:pStyle w:val="Heading2"/>
      </w:pPr>
      <w:r>
        <w:rPr/>
        <w:t>3. 关键方法模块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线圈场模型（第 II-C、D 节）：</w:t>
      </w:r>
      <w:r>
        <w:rPr/>
        <w:t>Gerber 恢复 7 个绕组；COMSOL 4 MHz 频域 + 过渡边界；扇区周期映射；斯托克斯积分求磁通。实测精测调幅 30.8% ↔ 偏心 0.17 mm，盲预测粗测调幅 0.8%。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误差注入点（第 III 节 / Fig. 5）：</w:t>
      </w:r>
      <w:r>
        <w:rPr/>
        <w:t>把读出链路压缩成 7 个误差入口（直接耦合、谐波/调幅、时钟延迟、相增益与失调、时隙错位、权重失配、噪声），颜色对应去掉步骤。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免参考标定（第 IV-A～D 节）：</w:t>
      </w:r>
      <w:r>
        <w:rPr/>
        <w:t>① 椭圆归一化得 C</w:t>
      </w:r>
      <w:r>
        <w:rPr>
          <w:vertAlign w:val="subscript"/>
        </w:rPr>
        <w:t>g</w:t>
      </w:r>
      <w:r>
        <w:rPr/>
        <w:t>、b</w:t>
      </w:r>
      <w:r>
        <w:rPr>
          <w:vertAlign w:val="subscript"/>
        </w:rPr>
        <w:t>g</w:t>
      </w:r>
      <w:r>
        <w:rPr/>
        <w:t>；② 阻尼高斯–牛顿迭代最小化 e</w:t>
      </w:r>
      <w:r>
        <w:rPr>
          <w:vertAlign w:val="subscript"/>
        </w:rPr>
        <w:t>eq</w:t>
      </w:r>
      <w:r>
        <w:rPr/>
        <w:t>（四道防过拟合关）；③ 低阶傅里叶 g(θ) 只修正粗测相位（计量理由：输出只通过周期序号依赖粗测），Huber 权重 + 五折交叉验证选阶。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两遍 CRT：</w:t>
      </w:r>
      <w:r>
        <w:rPr/>
        <w:t>第一遍得 θ</w:t>
      </w:r>
      <w:r>
        <w:rPr>
          <w:vertAlign w:val="subscript"/>
        </w:rPr>
        <w:t>0</w:t>
      </w:r>
      <w:r>
        <w:rPr/>
        <w:t xml:space="preserve"> → 查 g(θ</w:t>
      </w:r>
      <w:r>
        <w:rPr>
          <w:vertAlign w:val="subscript"/>
        </w:rPr>
        <w:t>0</w:t>
      </w:r>
      <w:r>
        <w:rPr/>
        <w:t>) 修正粗测 → 第二遍 CRT；硬件代价一次查表 + 一次减法。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一次性参考校正（第 IV-E 节）：</w:t>
      </w:r>
      <w:r>
        <w:rPr/>
        <w:t>静态点拟合 ≤ 4 阶谐波模型 r</w:t>
      </w:r>
      <w:r>
        <w:rPr>
          <w:vertAlign w:val="subscript"/>
        </w:rPr>
        <w:t>ref</w:t>
      </w:r>
      <w:r>
        <w:rPr/>
        <w:t>；六扇区留一选阶；二次增量细化（µ = 0.83）。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计量评价（第 V 节）：</w:t>
      </w:r>
      <w:r>
        <w:rPr/>
        <w:t>误差/噪声/重复性/复现性按 VIM 分别定义；不确定度按 GUM 逐点评定，结果写成 |e| + U ≤ e</w:t>
      </w:r>
      <w:r>
        <w:rPr>
          <w:vertAlign w:val="subscript"/>
        </w:rPr>
        <w:t>max</w:t>
      </w:r>
      <w:r>
        <w:rPr/>
        <w:t>。</w:t>
      </w:r>
    </w:p>
    <w:p>
      <w:pPr>
        <w:pStyle w:val="Heading2"/>
      </w:pPr>
      <w:r>
        <w:rPr/>
        <w:t>4. 主要公式（一句话）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(1)(2)：</w:t>
      </w:r>
      <w:r>
        <w:rPr/>
        <w:t>互感谐波展开与 Clarke 变换（基波并入求和，与 TCAS-I 记号略有不同）。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(3)(4)：</w:t>
      </w:r>
      <w:r>
        <w:rPr/>
        <w:t>小误差与噪声到角度的映射（与 TCAS-I 式 (4)(5) 同构）。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转子环流式：</w:t>
      </w:r>
      <w:r>
        <w:rPr/>
        <w:t>I</w:t>
      </w:r>
      <w:r>
        <w:rPr>
          <w:vertAlign w:val="subscript"/>
        </w:rPr>
        <w:t>t</w:t>
      </w:r>
      <w:r>
        <w:rPr/>
        <w:t xml:space="preserve"> = −jωM</w:t>
      </w:r>
      <w:r>
        <w:rPr>
          <w:vertAlign w:val="subscript"/>
        </w:rPr>
        <w:t>xtI</w:t>
      </w:r>
      <w:r>
        <w:rPr>
          <w:vertAlign w:val="subscript"/>
        </w:rPr>
        <w:t>TX</w:t>
      </w:r>
      <w:r>
        <w:rPr/>
        <w:t>/(R</w:t>
      </w:r>
      <w:r>
        <w:rPr>
          <w:vertAlign w:val="subscript"/>
        </w:rPr>
        <w:t>t</w:t>
      </w:r>
      <w:r>
        <w:rPr/>
        <w:t xml:space="preserve"> + jωL</w:t>
      </w:r>
      <w:r>
        <w:rPr>
          <w:vertAlign w:val="subscript"/>
        </w:rPr>
        <w:t>t</w:t>
      </w:r>
      <w:r>
        <w:rPr/>
        <w:t>)，电阻使环流不能完全反相。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(5)(6)：</w:t>
      </w:r>
      <w:r>
        <w:rPr/>
        <w:t>标定矩阵 C</w:t>
      </w:r>
      <w:r>
        <w:rPr>
          <w:vertAlign w:val="subscript"/>
        </w:rPr>
        <w:t>g</w:t>
      </w:r>
      <w:r>
        <w:rPr/>
        <w:t xml:space="preserve"> 与偏置 b</w:t>
      </w:r>
      <w:r>
        <w:rPr>
          <w:vertAlign w:val="subscript"/>
        </w:rPr>
        <w:t>g</w:t>
      </w:r>
      <w:r>
        <w:rPr/>
        <w:t>（每通道 8 个参数）。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(7)～(9)：</w:t>
      </w:r>
      <w:r>
        <w:rPr/>
        <w:t>CRT 游标解码及引理 1（不跳周条件）。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椭圆归一化：</w:t>
      </w:r>
      <w:r>
        <w:rPr/>
        <w:t>二次曲线拟合 → 中心 c、白化 E → C</w:t>
      </w:r>
      <w:r>
        <w:rPr>
          <w:vertAlign w:val="subscript"/>
        </w:rPr>
        <w:t>g</w:t>
      </w:r>
      <w:r>
        <w:rPr/>
        <w:t xml:space="preserve"> = EB</w:t>
      </w:r>
      <w:r>
        <w:rPr>
          <w:vertAlign w:val="subscript"/>
        </w:rPr>
        <w:t>0</w:t>
      </w:r>
      <w:r>
        <w:rPr/>
        <w:t>、b</w:t>
      </w:r>
      <w:r>
        <w:rPr>
          <w:vertAlign w:val="subscript"/>
        </w:rPr>
        <w:t>g</w:t>
      </w:r>
      <w:r>
        <w:rPr/>
        <w:t xml:space="preserve"> = Ec。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(10)：</w:t>
      </w:r>
      <w:r>
        <w:rPr/>
        <w:t>等效粗细不一致性 e</w:t>
      </w:r>
      <w:r>
        <w:rPr>
          <w:vertAlign w:val="subscript"/>
        </w:rPr>
        <w:t>eq</w:t>
      </w:r>
      <w:r>
        <w:rPr/>
        <w:t>（机械角差 × N</w:t>
      </w:r>
      <w:r>
        <w:rPr>
          <w:vertAlign w:val="subscript"/>
        </w:rPr>
        <w:t>c</w:t>
      </w:r>
      <w:r>
        <w:rPr/>
        <w:t>/N</w:t>
      </w:r>
      <w:r>
        <w:rPr>
          <w:vertAlign w:val="subscript"/>
        </w:rPr>
        <w:t>f</w:t>
      </w:r>
      <w:r>
        <w:rPr/>
        <w:t>），免参考目标函数。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高斯–牛顿式：</w:t>
      </w:r>
      <w:r>
        <w:rPr/>
        <w:t>带 0.1I 阻尼的参数更新；雅可比有解析式。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(11)(12)：</w:t>
      </w:r>
      <w:r>
        <w:rPr/>
        <w:t>粗细一致性模型 g(θ)（≤ 12 阶）与 Huber/MAD 稳健权重。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(13)：</w:t>
      </w:r>
      <w:r>
        <w:rPr/>
        <w:t>参考误差模型 r</w:t>
      </w:r>
      <w:r>
        <w:rPr>
          <w:vertAlign w:val="subscript"/>
        </w:rPr>
        <w:t>ref</w:t>
      </w:r>
      <w:r>
        <w:rPr/>
        <w:t>（≤ 4 阶）。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式 (14)～(16)：</w:t>
      </w:r>
      <w:r>
        <w:rPr/>
        <w:t>e</w:t>
      </w:r>
      <w:r>
        <w:rPr>
          <w:vertAlign w:val="subscript"/>
        </w:rPr>
        <w:t>RMS</w:t>
      </w:r>
      <w:r>
        <w:rPr/>
        <w:t>、e</w:t>
      </w:r>
      <w:r>
        <w:rPr>
          <w:vertAlign w:val="subscript"/>
        </w:rPr>
        <w:t>pp</w:t>
      </w:r>
      <w:r>
        <w:rPr/>
        <w:t>、σ_θ(B)、重复性 s</w:t>
      </w:r>
      <w:r>
        <w:rPr>
          <w:vertAlign w:val="subscript"/>
        </w:rPr>
        <w:t>r</w:t>
      </w:r>
      <w:r>
        <w:rPr/>
        <w:t>、复现性 s</w:t>
      </w:r>
      <w:r>
        <w:rPr>
          <w:vertAlign w:val="subscript"/>
        </w:rPr>
        <w:t>R</w:t>
      </w:r>
      <w:r>
        <w:rPr/>
        <w:t xml:space="preserve"> 的定义。</w:t>
      </w:r>
    </w:p>
    <w:p>
      <w:pPr>
        <w:pStyle w:val="Heading2"/>
      </w:pPr>
      <w:r>
        <w:rPr/>
        <w:t>5. 测试项目与头条结果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已是实测——免参考标定（采集 A）：</w:t>
      </w:r>
      <w:r>
        <w:rPr/>
        <w:t>e</w:t>
      </w:r>
      <w:r>
        <w:rPr>
          <w:vertAlign w:val="subscript"/>
        </w:rPr>
        <w:t>eq</w:t>
      </w:r>
      <w:r>
        <w:rPr/>
        <w:t xml:space="preserve"> 132.6″ → 9.97″ → 7.86″ → 2.64″ RMS；裕度 1.0 → 6.5 → 8.6 → 21 倍；max|D| = 0.0235。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已是实测——参考校正（R1+R2，94 点）：</w:t>
      </w:r>
      <w:r>
        <w:rPr/>
        <w:t>59.7″ RMS / 246.9″ pp → 样本内 13.0″ / 68.7″；六扇区交叉验证 19.5～23.4″ RMS；1～4 次谐波降到 2.4～5.1″。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已是实测——模型验证：</w:t>
      </w:r>
      <w:r>
        <w:rPr/>
        <w:t>精测调幅 30.8% 反推偏心后盲预测粗测 0.8%；粗测失调 5.2%（预测）对 6.1%（实测）。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已填的不确定度分量：</w:t>
      </w:r>
      <w:r>
        <w:rPr/>
        <w:t>同步 0.58″，量化 0.09″。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仍为 {X} / 合成示例：</w:t>
      </w:r>
      <w:r>
        <w:rPr/>
        <w:t>独立验证 V1～V3、重复性、复现性、气隙/温度/转速鲁棒性（Fig. 11、12）；不确定度预算大部分分量与 U；Table VII 的 Error 列；摘要中的 ±{X}″。</w:t>
      </w:r>
    </w:p>
    <w:p>
      <w:pPr>
        <w:pStyle w:val="Heading2"/>
      </w:pPr>
      <w:r>
        <w:rPr/>
        <w:t>6. 当前未决问题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【未改】补数据：</w:t>
      </w:r>
      <w:r>
        <w:rPr/>
        <w:t>V1～V3（决定摘要结论）→ P1～P5、M1～M3 → G/T/S；替换 Fig. 3、Fig. 9 占位照片；补设备与溯源 [TODO]。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【未改】表述：</w:t>
      </w:r>
      <w:r>
        <w:rPr/>
        <w:t>式 (3) 对 o_α、o_β 归一化了两次；“6m ± 1 次谐波”缺“偶次可忽略”前提；摘要交叉验证只取下限 19.5″（应为 19.5～23.4″）；名义状态下 D = 0.4998 可能已跳周。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【新，相对 TCAS-I 更新】：</w:t>
      </w:r>
      <w:r>
        <w:rPr/>
        <w:t>写明 e</w:t>
      </w:r>
      <w:r>
        <w:rPr>
          <w:vertAlign w:val="subscript"/>
        </w:rPr>
        <w:t>eq</w:t>
      </w:r>
      <w:r>
        <w:rPr/>
        <w:t>（2.64″）与 TCAS-I 新 Fig. 15 粗细残差（33.9″）的 12.8 倍换算，以及 1.3 圈采集与采集 A 的关系；34.8% 与 TCAS-I“最大 36%”的口径。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【建议】</w:t>
      </w:r>
      <w:r>
        <w:rPr/>
        <w:t>说明高斯–牛顿中参数尺度（固定 0.1I 阻尼的前提）。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1"/>
    <w:lvlOverride w:ilvl="0">
      <w:startOverride w:val="1"/>
    </w:lvlOverride>
  </w:num>
  <w:num w:numId="51">
    <w:abstractNumId w:val="0"/>
  </w:num>
  <w:num w:numId="52">
    <w:abstractNumId w:val="0"/>
  </w:num>
  <w:num w:numId="53">
    <w:abstractNumId w:val="1"/>
    <w:lvlOverride w:ilvl="0">
      <w:startOverride w:val="1"/>
    </w:lvlOverride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hyperlink" Target="https://doi.org/10.1109/JSSC.2018.2832168" TargetMode="External"/><Relationship Id="rId21" Type="http://schemas.openxmlformats.org/officeDocument/2006/relationships/hyperlink" Target="https://doi.org/10.1109/TVLSI.2017.2651112" TargetMode="External"/><Relationship Id="rId22" Type="http://schemas.openxmlformats.org/officeDocument/2006/relationships/hyperlink" Target="https://doi.org/10.1109/TIM.2025.3557828" TargetMode="External"/><Relationship Id="rId23" Type="http://schemas.openxmlformats.org/officeDocument/2006/relationships/hyperlink" Target="https://doi.org/10.1109/TIM.2021.3101313" TargetMode="External"/><Relationship Id="rId24" Type="http://schemas.openxmlformats.org/officeDocument/2006/relationships/hyperlink" Target="https://doi.org/10.1109/TIE.2022.3148731" TargetMode="External"/><Relationship Id="rId25" Type="http://schemas.openxmlformats.org/officeDocument/2006/relationships/hyperlink" Target="https://doi.org/10.1109/TIM.2025.3548187" TargetMode="External"/><Relationship Id="rId26" Type="http://schemas.openxmlformats.org/officeDocument/2006/relationships/hyperlink" Target="https://doi.org/10.1109/JSEN.2025.3591807" TargetMode="External"/><Relationship Id="rId27" Type="http://schemas.openxmlformats.org/officeDocument/2006/relationships/hyperlink" Target="https://doi.org/10.1109/ISCAS66217.2026.11562609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TIM 稿件大纲</dc:title>
  <dc:description>Claude Docs node/a8a36e52-ca38@15 docx-w7</dc:description>
  <cp:revision>15</cp:revision>
</cp:coreProperties>
</file>