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153B" w14:textId="57B32B57" w:rsidR="0084164B" w:rsidRDefault="00C7172C" w:rsidP="00C7172C">
      <w:pPr>
        <w:jc w:val="center"/>
      </w:pPr>
      <w:bookmarkStart w:id="0" w:name="_Hlk130838102"/>
      <w:bookmarkEnd w:id="0"/>
      <w:r>
        <w:t xml:space="preserve">Lab </w:t>
      </w:r>
      <w:r w:rsidR="006B67C0">
        <w:t>2</w:t>
      </w:r>
      <w:r>
        <w:t xml:space="preserve"> Exercise </w:t>
      </w:r>
      <w:r w:rsidR="006B67C0">
        <w:t xml:space="preserve">– </w:t>
      </w:r>
      <w:proofErr w:type="spellStart"/>
      <w:r w:rsidR="006B67C0">
        <w:t>PyTorch</w:t>
      </w:r>
      <w:proofErr w:type="spellEnd"/>
      <w:r w:rsidR="006B67C0">
        <w:t xml:space="preserve"> </w:t>
      </w:r>
      <w:proofErr w:type="spellStart"/>
      <w:r w:rsidR="006B67C0">
        <w:t>AutoGrad</w:t>
      </w:r>
      <w:proofErr w:type="spellEnd"/>
    </w:p>
    <w:p w14:paraId="7152A104" w14:textId="10DA8D63" w:rsidR="00C7172C" w:rsidRPr="00C7172C" w:rsidRDefault="00C7172C" w:rsidP="00C7172C">
      <w:pPr>
        <w:jc w:val="center"/>
        <w:rPr>
          <w:sz w:val="20"/>
          <w:szCs w:val="20"/>
        </w:rPr>
      </w:pPr>
      <w:r w:rsidRPr="00C7172C">
        <w:rPr>
          <w:sz w:val="20"/>
          <w:szCs w:val="20"/>
        </w:rPr>
        <w:t>Justin Ugwudike (jknu1g19@soton.ac.uk)</w:t>
      </w:r>
    </w:p>
    <w:p w14:paraId="4A8DA5F6" w14:textId="2065F14C" w:rsidR="00C7172C" w:rsidRPr="00C7172C" w:rsidRDefault="00C7172C" w:rsidP="00C7172C">
      <w:pPr>
        <w:jc w:val="center"/>
        <w:rPr>
          <w:sz w:val="20"/>
          <w:szCs w:val="20"/>
        </w:rPr>
      </w:pPr>
      <w:r w:rsidRPr="00C7172C">
        <w:rPr>
          <w:sz w:val="20"/>
          <w:szCs w:val="20"/>
        </w:rPr>
        <w:t>Feb 2</w:t>
      </w:r>
      <w:r w:rsidR="006B67C0">
        <w:rPr>
          <w:sz w:val="20"/>
          <w:szCs w:val="20"/>
        </w:rPr>
        <w:t>7</w:t>
      </w:r>
      <w:r w:rsidRPr="00C7172C">
        <w:rPr>
          <w:sz w:val="20"/>
          <w:szCs w:val="20"/>
        </w:rPr>
        <w:t>, 2023</w:t>
      </w:r>
    </w:p>
    <w:p w14:paraId="1CB3C42F" w14:textId="3BFD882E" w:rsidR="00247D24" w:rsidRDefault="00247D24">
      <w:pPr>
        <w:rPr>
          <w:b/>
          <w:bCs/>
        </w:rPr>
        <w:sectPr w:rsidR="00247D24" w:rsidSect="002C04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600C2E" w14:textId="30256A35" w:rsidR="00884138" w:rsidRDefault="00C1778B">
      <w:pPr>
        <w:rPr>
          <w:b/>
          <w:bCs/>
        </w:rPr>
      </w:pPr>
      <w:r>
        <w:rPr>
          <w:b/>
          <w:bCs/>
        </w:rPr>
        <w:t>1</w:t>
      </w:r>
      <w:r w:rsidR="00C7172C" w:rsidRPr="00C7172C">
        <w:rPr>
          <w:b/>
          <w:bCs/>
        </w:rPr>
        <w:t xml:space="preserve">.1 Question </w:t>
      </w:r>
      <w:r w:rsidR="006B67C0">
        <w:rPr>
          <w:b/>
          <w:bCs/>
        </w:rPr>
        <w:t>1</w:t>
      </w:r>
      <w:r w:rsidR="00C43E14">
        <w:rPr>
          <w:b/>
          <w:bCs/>
        </w:rPr>
        <w:t>_1</w:t>
      </w:r>
    </w:p>
    <w:p w14:paraId="36C649BC" w14:textId="5A352499" w:rsidR="002C0427" w:rsidRDefault="00876F64" w:rsidP="002C042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C9EC81" wp14:editId="482ABB5E">
            <wp:extent cx="1287194" cy="320417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990" cy="32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9579" w14:textId="13444D3E" w:rsidR="002C0427" w:rsidRPr="00884138" w:rsidRDefault="002C0427" w:rsidP="002C0427">
      <w:pPr>
        <w:jc w:val="center"/>
        <w:rPr>
          <w:sz w:val="18"/>
          <w:szCs w:val="18"/>
        </w:rPr>
      </w:pPr>
      <w:r w:rsidRPr="00884138">
        <w:rPr>
          <w:sz w:val="18"/>
          <w:szCs w:val="18"/>
        </w:rPr>
        <w:t>Figure 1</w:t>
      </w:r>
      <w:r>
        <w:rPr>
          <w:sz w:val="18"/>
          <w:szCs w:val="18"/>
        </w:rPr>
        <w:t xml:space="preserve"> – The </w:t>
      </w:r>
      <w:r w:rsidR="00876F64">
        <w:rPr>
          <w:sz w:val="18"/>
          <w:szCs w:val="18"/>
        </w:rPr>
        <w:t>function to optimise.</w:t>
      </w:r>
    </w:p>
    <w:p w14:paraId="6DFE3D8A" w14:textId="037ABF10" w:rsidR="002C0427" w:rsidRDefault="002C0427" w:rsidP="002C042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Using the code shown in Appendix </w:t>
      </w:r>
      <w:r w:rsidR="006B0BC0">
        <w:rPr>
          <w:sz w:val="20"/>
          <w:szCs w:val="20"/>
        </w:rPr>
        <w:t>A</w:t>
      </w:r>
      <w:r>
        <w:rPr>
          <w:sz w:val="20"/>
          <w:szCs w:val="20"/>
        </w:rPr>
        <w:t xml:space="preserve">, the rank-2 factorisation of the matrix </w:t>
      </w:r>
      <w:r w:rsidR="00876F64">
        <w:rPr>
          <w:sz w:val="20"/>
          <w:szCs w:val="20"/>
        </w:rPr>
        <w:t>is achieved by minimising the function shown in Figure 1. The results</w:t>
      </w:r>
      <w:r>
        <w:rPr>
          <w:sz w:val="20"/>
          <w:szCs w:val="20"/>
        </w:rPr>
        <w:t xml:space="preserve"> </w:t>
      </w:r>
      <w:r w:rsidR="00876F64">
        <w:rPr>
          <w:sz w:val="20"/>
          <w:szCs w:val="20"/>
        </w:rPr>
        <w:t xml:space="preserve">are </w:t>
      </w:r>
      <w:r>
        <w:rPr>
          <w:sz w:val="20"/>
          <w:szCs w:val="20"/>
        </w:rPr>
        <w:t>shown in Figure 2.</w:t>
      </w:r>
    </w:p>
    <w:p w14:paraId="4D8BB744" w14:textId="60AE01EE" w:rsidR="002C0427" w:rsidRDefault="00C43E14" w:rsidP="002C0427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E8CF84E" wp14:editId="126ECA35">
            <wp:extent cx="2584754" cy="907366"/>
            <wp:effectExtent l="0" t="0" r="6350" b="762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587" cy="91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8758" w14:textId="5208FD58" w:rsidR="002C0427" w:rsidRDefault="002C0427" w:rsidP="002C0427">
      <w:pPr>
        <w:jc w:val="center"/>
        <w:rPr>
          <w:sz w:val="18"/>
          <w:szCs w:val="18"/>
        </w:rPr>
      </w:pPr>
      <w:r w:rsidRPr="00884138">
        <w:rPr>
          <w:sz w:val="18"/>
          <w:szCs w:val="18"/>
        </w:rPr>
        <w:t xml:space="preserve">Figure </w:t>
      </w:r>
      <w:r>
        <w:rPr>
          <w:sz w:val="18"/>
          <w:szCs w:val="18"/>
        </w:rPr>
        <w:t>2 – The reconstruction of the target matrix using U and V</w:t>
      </w:r>
      <w:r w:rsidR="00C43E14">
        <w:rPr>
          <w:sz w:val="18"/>
          <w:szCs w:val="18"/>
        </w:rPr>
        <w:t xml:space="preserve"> (obtained via gradient descent utilising automatic differentiation)</w:t>
      </w:r>
      <w:r>
        <w:rPr>
          <w:sz w:val="18"/>
          <w:szCs w:val="18"/>
        </w:rPr>
        <w:t>. The mean squared error loss is shown.</w:t>
      </w:r>
    </w:p>
    <w:p w14:paraId="035E4C68" w14:textId="20868D90" w:rsidR="00C43E14" w:rsidRPr="00C43E14" w:rsidRDefault="002C0427" w:rsidP="00C43E14">
      <w:pPr>
        <w:jc w:val="both"/>
        <w:rPr>
          <w:sz w:val="20"/>
          <w:szCs w:val="20"/>
        </w:rPr>
      </w:pPr>
      <w:r w:rsidRPr="00C43E14">
        <w:rPr>
          <w:sz w:val="20"/>
          <w:szCs w:val="20"/>
        </w:rPr>
        <w:t>The code produces and approximation of the target matrix with the MSE loss being 0.122</w:t>
      </w:r>
      <w:r w:rsidR="00C43E14" w:rsidRPr="00C43E14">
        <w:rPr>
          <w:sz w:val="20"/>
          <w:szCs w:val="20"/>
        </w:rPr>
        <w:t>4, this value differs by +0.0004 to the loss achieved using stochastic gradient descent with non-automatic gradients in Lab 1.</w:t>
      </w:r>
    </w:p>
    <w:p w14:paraId="09650906" w14:textId="7D2C64E6" w:rsidR="00C7172C" w:rsidRPr="00C7172C" w:rsidRDefault="00C1778B">
      <w:pPr>
        <w:rPr>
          <w:b/>
          <w:bCs/>
        </w:rPr>
      </w:pPr>
      <w:r>
        <w:rPr>
          <w:b/>
          <w:bCs/>
        </w:rPr>
        <w:t>1</w:t>
      </w:r>
      <w:r w:rsidR="00C7172C" w:rsidRPr="00C7172C">
        <w:rPr>
          <w:b/>
          <w:bCs/>
        </w:rPr>
        <w:t xml:space="preserve">.2 Question </w:t>
      </w:r>
      <w:r w:rsidR="00C43E14">
        <w:rPr>
          <w:b/>
          <w:bCs/>
        </w:rPr>
        <w:t>1_2</w:t>
      </w:r>
    </w:p>
    <w:p w14:paraId="4C480D69" w14:textId="4F98582C" w:rsidR="00BA3E95" w:rsidRDefault="006B0BC0" w:rsidP="006B67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With the code from Appendix A the rank-2 factorisation of the data from a dataset of 150 instances and 4 features was estimated using gradient descent. The function in Appendix B allowed me to </w:t>
      </w:r>
      <w:r w:rsidR="001E5999">
        <w:rPr>
          <w:sz w:val="20"/>
          <w:szCs w:val="20"/>
        </w:rPr>
        <w:t xml:space="preserve">reconstruct the data matrix using Singular Value decomposition (SVD), the losses achieved using both methods is shown in Figure 3. </w:t>
      </w:r>
    </w:p>
    <w:p w14:paraId="32CC775B" w14:textId="7E889798" w:rsidR="006B0BC0" w:rsidRDefault="006B0BC0" w:rsidP="001E5999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92C9D66" wp14:editId="1B2501EA">
            <wp:extent cx="2526824" cy="647114"/>
            <wp:effectExtent l="0" t="0" r="6985" b="635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089" cy="6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EAAB" w14:textId="4A675716" w:rsidR="001E5999" w:rsidRDefault="001E5999" w:rsidP="001E5999">
      <w:pPr>
        <w:jc w:val="center"/>
        <w:rPr>
          <w:sz w:val="18"/>
          <w:szCs w:val="18"/>
        </w:rPr>
      </w:pPr>
      <w:r w:rsidRPr="00884138">
        <w:rPr>
          <w:sz w:val="18"/>
          <w:szCs w:val="18"/>
        </w:rPr>
        <w:t xml:space="preserve">Figure </w:t>
      </w:r>
      <w:r>
        <w:rPr>
          <w:sz w:val="18"/>
          <w:szCs w:val="18"/>
        </w:rPr>
        <w:t xml:space="preserve">3 – The reconstruction loss of the data matrix through gradient descent and the </w:t>
      </w:r>
      <w:r w:rsidR="00CF0650">
        <w:rPr>
          <w:sz w:val="18"/>
          <w:szCs w:val="18"/>
        </w:rPr>
        <w:t xml:space="preserve">rank-2 </w:t>
      </w:r>
      <w:r>
        <w:rPr>
          <w:sz w:val="18"/>
          <w:szCs w:val="18"/>
        </w:rPr>
        <w:t>reconstruction loss through SVD.</w:t>
      </w:r>
    </w:p>
    <w:p w14:paraId="010EEA84" w14:textId="7FB4F64E" w:rsidR="006B0BC0" w:rsidRDefault="001E5999" w:rsidP="006B67C0">
      <w:pPr>
        <w:jc w:val="both"/>
        <w:rPr>
          <w:sz w:val="20"/>
          <w:szCs w:val="20"/>
        </w:rPr>
      </w:pPr>
      <w:r>
        <w:rPr>
          <w:sz w:val="20"/>
          <w:szCs w:val="20"/>
        </w:rPr>
        <w:t>The reconstruction loss of the data matrix using the function in Appendix A is 15.2292. The losses achieved when using each method are very close in value (0.0004 difference).</w:t>
      </w:r>
    </w:p>
    <w:p w14:paraId="05B8D836" w14:textId="5AA4E5D0" w:rsidR="001E5999" w:rsidRPr="00C7172C" w:rsidRDefault="001E5999" w:rsidP="001E5999">
      <w:pPr>
        <w:rPr>
          <w:b/>
          <w:bCs/>
        </w:rPr>
      </w:pPr>
      <w:r>
        <w:rPr>
          <w:b/>
          <w:bCs/>
        </w:rPr>
        <w:t>1</w:t>
      </w:r>
      <w:r w:rsidRPr="00C7172C">
        <w:rPr>
          <w:b/>
          <w:bCs/>
        </w:rPr>
        <w:t>.</w:t>
      </w:r>
      <w:r>
        <w:rPr>
          <w:b/>
          <w:bCs/>
        </w:rPr>
        <w:t>3</w:t>
      </w:r>
      <w:r w:rsidRPr="00C7172C">
        <w:rPr>
          <w:b/>
          <w:bCs/>
        </w:rPr>
        <w:t xml:space="preserve"> Question </w:t>
      </w:r>
      <w:r>
        <w:rPr>
          <w:b/>
          <w:bCs/>
        </w:rPr>
        <w:t>1_3</w:t>
      </w:r>
    </w:p>
    <w:p w14:paraId="5C5A0D30" w14:textId="4BE9EA2F" w:rsidR="001E5999" w:rsidRDefault="001E5999" w:rsidP="00CF065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B8464E7" wp14:editId="5EB67C11">
            <wp:extent cx="2299962" cy="1427870"/>
            <wp:effectExtent l="0" t="0" r="5715" b="127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302" cy="14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F8D2" w14:textId="4A19689D" w:rsidR="001E5999" w:rsidRDefault="001E5999" w:rsidP="00CF065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118FC40" wp14:editId="4556E03F">
            <wp:extent cx="2284719" cy="1392702"/>
            <wp:effectExtent l="0" t="0" r="1905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473" cy="13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1937" w14:textId="3ADE60F3" w:rsidR="00CF0650" w:rsidRPr="00CF0650" w:rsidRDefault="00CF0650" w:rsidP="00CF0650">
      <w:pPr>
        <w:jc w:val="center"/>
        <w:rPr>
          <w:sz w:val="18"/>
          <w:szCs w:val="18"/>
        </w:rPr>
      </w:pPr>
      <w:r w:rsidRPr="00CF0650">
        <w:rPr>
          <w:sz w:val="18"/>
          <w:szCs w:val="18"/>
        </w:rPr>
        <w:t>Figure 4 – The first graph represents the data in the U matrix computed by SVD and the second shows the data compute by gradient descent.</w:t>
      </w:r>
    </w:p>
    <w:p w14:paraId="003A1489" w14:textId="4D1E8365" w:rsidR="00CF0650" w:rsidRPr="00CF0650" w:rsidRDefault="00CF0650" w:rsidP="00CF0650">
      <w:pPr>
        <w:jc w:val="both"/>
        <w:rPr>
          <w:sz w:val="20"/>
          <w:szCs w:val="20"/>
        </w:rPr>
      </w:pPr>
      <w:r w:rsidRPr="00CF0650">
        <w:rPr>
          <w:sz w:val="20"/>
          <w:szCs w:val="20"/>
        </w:rPr>
        <w:t xml:space="preserve">By looking a Figure 4 both methods have grouped the data </w:t>
      </w:r>
      <w:r w:rsidR="00D14E67">
        <w:rPr>
          <w:sz w:val="20"/>
          <w:szCs w:val="20"/>
        </w:rPr>
        <w:t>in</w:t>
      </w:r>
      <w:r w:rsidRPr="00CF0650">
        <w:rPr>
          <w:sz w:val="20"/>
          <w:szCs w:val="20"/>
        </w:rPr>
        <w:t>to two classes</w:t>
      </w:r>
      <w:r w:rsidR="00D14E67">
        <w:rPr>
          <w:sz w:val="20"/>
          <w:szCs w:val="20"/>
        </w:rPr>
        <w:t xml:space="preserve">. The two pairs of classes retain similar shapes and sizes when using gradient descent and SVD </w:t>
      </w:r>
      <w:r w:rsidRPr="00CF0650">
        <w:rPr>
          <w:sz w:val="20"/>
          <w:szCs w:val="20"/>
        </w:rPr>
        <w:t>however</w:t>
      </w:r>
      <w:r w:rsidR="00D14E67">
        <w:rPr>
          <w:sz w:val="20"/>
          <w:szCs w:val="20"/>
        </w:rPr>
        <w:t>,</w:t>
      </w:r>
      <w:r w:rsidRPr="00CF0650">
        <w:rPr>
          <w:sz w:val="20"/>
          <w:szCs w:val="20"/>
        </w:rPr>
        <w:t xml:space="preserve"> the orientation</w:t>
      </w:r>
      <w:r w:rsidR="00C2510E">
        <w:rPr>
          <w:sz w:val="20"/>
          <w:szCs w:val="20"/>
        </w:rPr>
        <w:t>s</w:t>
      </w:r>
      <w:r w:rsidRPr="00CF0650">
        <w:rPr>
          <w:sz w:val="20"/>
          <w:szCs w:val="20"/>
        </w:rPr>
        <w:t xml:space="preserve"> of the </w:t>
      </w:r>
      <w:r w:rsidR="00C2510E">
        <w:rPr>
          <w:sz w:val="20"/>
          <w:szCs w:val="20"/>
        </w:rPr>
        <w:t xml:space="preserve">two pairs of </w:t>
      </w:r>
      <w:r w:rsidRPr="00CF0650">
        <w:rPr>
          <w:sz w:val="20"/>
          <w:szCs w:val="20"/>
        </w:rPr>
        <w:t>data groups are different</w:t>
      </w:r>
      <w:r w:rsidR="00107537">
        <w:rPr>
          <w:sz w:val="20"/>
          <w:szCs w:val="20"/>
        </w:rPr>
        <w:t>.</w:t>
      </w:r>
    </w:p>
    <w:p w14:paraId="4ACA8C44" w14:textId="4B6578E7" w:rsidR="001E5999" w:rsidRDefault="001E5999" w:rsidP="001E5999">
      <w:pPr>
        <w:rPr>
          <w:b/>
          <w:bCs/>
        </w:rPr>
      </w:pPr>
      <w:r>
        <w:rPr>
          <w:b/>
          <w:bCs/>
        </w:rPr>
        <w:t>1</w:t>
      </w:r>
      <w:r w:rsidRPr="00C7172C">
        <w:rPr>
          <w:b/>
          <w:bCs/>
        </w:rPr>
        <w:t>.</w:t>
      </w:r>
      <w:r>
        <w:rPr>
          <w:b/>
          <w:bCs/>
        </w:rPr>
        <w:t>4</w:t>
      </w:r>
      <w:r w:rsidRPr="00C7172C">
        <w:rPr>
          <w:b/>
          <w:bCs/>
        </w:rPr>
        <w:t xml:space="preserve"> Question </w:t>
      </w:r>
      <w:r>
        <w:rPr>
          <w:b/>
          <w:bCs/>
        </w:rPr>
        <w:t>2_1</w:t>
      </w:r>
    </w:p>
    <w:p w14:paraId="2CB87702" w14:textId="7984BC68" w:rsidR="00CF0650" w:rsidRPr="00CF0650" w:rsidRDefault="00CF0650" w:rsidP="00CF0650">
      <w:pPr>
        <w:jc w:val="both"/>
        <w:rPr>
          <w:sz w:val="20"/>
          <w:szCs w:val="20"/>
        </w:rPr>
      </w:pPr>
      <w:r>
        <w:rPr>
          <w:sz w:val="20"/>
          <w:szCs w:val="20"/>
        </w:rPr>
        <w:t>The function used to train an MLP through gradient descent is shown in Appendix C.</w:t>
      </w:r>
    </w:p>
    <w:p w14:paraId="5773DDC7" w14:textId="22C8B38E" w:rsidR="001E5999" w:rsidRPr="00C7172C" w:rsidRDefault="001E5999" w:rsidP="001E5999">
      <w:pPr>
        <w:rPr>
          <w:b/>
          <w:bCs/>
        </w:rPr>
      </w:pPr>
      <w:r>
        <w:rPr>
          <w:b/>
          <w:bCs/>
        </w:rPr>
        <w:t>1</w:t>
      </w:r>
      <w:r w:rsidRPr="00C7172C">
        <w:rPr>
          <w:b/>
          <w:bCs/>
        </w:rPr>
        <w:t>.</w:t>
      </w:r>
      <w:r>
        <w:rPr>
          <w:b/>
          <w:bCs/>
        </w:rPr>
        <w:t>5</w:t>
      </w:r>
      <w:r w:rsidRPr="00C7172C">
        <w:rPr>
          <w:b/>
          <w:bCs/>
        </w:rPr>
        <w:t xml:space="preserve"> Question </w:t>
      </w:r>
      <w:r>
        <w:rPr>
          <w:b/>
          <w:bCs/>
        </w:rPr>
        <w:t>2_2</w:t>
      </w:r>
    </w:p>
    <w:p w14:paraId="0E932413" w14:textId="77777777" w:rsidR="0016561F" w:rsidRDefault="00891CA9" w:rsidP="00C1778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From Appendix D I can see that either increasing the learning rate and maximum iterations leads to a </w:t>
      </w:r>
      <w:r w:rsidR="005D0B47">
        <w:rPr>
          <w:sz w:val="20"/>
          <w:szCs w:val="20"/>
        </w:rPr>
        <w:t>higher</w:t>
      </w:r>
      <w:r>
        <w:rPr>
          <w:sz w:val="20"/>
          <w:szCs w:val="20"/>
        </w:rPr>
        <w:t xml:space="preserve"> </w:t>
      </w:r>
      <w:r w:rsidR="005D0B47">
        <w:rPr>
          <w:sz w:val="20"/>
          <w:szCs w:val="20"/>
        </w:rPr>
        <w:t>prediction accuracy</w:t>
      </w:r>
      <w:r w:rsidR="00C060E9">
        <w:rPr>
          <w:sz w:val="20"/>
          <w:szCs w:val="20"/>
        </w:rPr>
        <w:t xml:space="preserve"> in both the training and validation data.</w:t>
      </w:r>
      <w:r w:rsidR="005D0B47">
        <w:rPr>
          <w:sz w:val="20"/>
          <w:szCs w:val="20"/>
        </w:rPr>
        <w:t xml:space="preserve"> In every experiment, the accuracy </w:t>
      </w:r>
      <w:r w:rsidR="0016561F">
        <w:rPr>
          <w:sz w:val="20"/>
          <w:szCs w:val="20"/>
        </w:rPr>
        <w:t>when using the training</w:t>
      </w:r>
      <w:r w:rsidR="005D0B47">
        <w:rPr>
          <w:sz w:val="20"/>
          <w:szCs w:val="20"/>
        </w:rPr>
        <w:t xml:space="preserve"> data is much greater tha</w:t>
      </w:r>
      <w:r w:rsidR="0016561F">
        <w:rPr>
          <w:sz w:val="20"/>
          <w:szCs w:val="20"/>
        </w:rPr>
        <w:t xml:space="preserve">n </w:t>
      </w:r>
      <w:r w:rsidR="005D0B47">
        <w:rPr>
          <w:sz w:val="20"/>
          <w:szCs w:val="20"/>
        </w:rPr>
        <w:t>the accuracy when using the validation data</w:t>
      </w:r>
      <w:r w:rsidR="0016561F">
        <w:rPr>
          <w:sz w:val="20"/>
          <w:szCs w:val="20"/>
        </w:rPr>
        <w:t xml:space="preserve">. From these results I can infer that using </w:t>
      </w:r>
      <w:proofErr w:type="gramStart"/>
      <w:r w:rsidR="0016561F">
        <w:rPr>
          <w:sz w:val="20"/>
          <w:szCs w:val="20"/>
        </w:rPr>
        <w:t>a</w:t>
      </w:r>
      <w:proofErr w:type="gramEnd"/>
      <w:r w:rsidR="0016561F">
        <w:rPr>
          <w:sz w:val="20"/>
          <w:szCs w:val="20"/>
        </w:rPr>
        <w:t xml:space="preserve"> iteration count of 1000 and learning rate of 0.01 (to avoid overfitting when using a learning rate of 0.1) would be the best parameters to use in this example as the accuracies for both the training and validation data reach 99% and above.</w:t>
      </w:r>
    </w:p>
    <w:p w14:paraId="3C081253" w14:textId="5C74F977" w:rsidR="0016561F" w:rsidRPr="00C1778B" w:rsidRDefault="0016561F" w:rsidP="00C1778B">
      <w:pPr>
        <w:jc w:val="both"/>
        <w:rPr>
          <w:sz w:val="20"/>
          <w:szCs w:val="20"/>
        </w:rPr>
        <w:sectPr w:rsidR="0016561F" w:rsidRPr="00C1778B" w:rsidSect="00155AB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A779E91" w14:textId="19D40E35" w:rsidR="00884138" w:rsidRDefault="00884138" w:rsidP="002C0427">
      <w:pPr>
        <w:rPr>
          <w:b/>
          <w:bCs/>
        </w:rPr>
      </w:pPr>
    </w:p>
    <w:p w14:paraId="29DD3E69" w14:textId="49D9A0DF" w:rsidR="00884138" w:rsidRDefault="00C1778B" w:rsidP="00884138">
      <w:pPr>
        <w:jc w:val="center"/>
        <w:rPr>
          <w:b/>
          <w:bCs/>
        </w:rPr>
      </w:pPr>
      <w:r>
        <w:rPr>
          <w:b/>
          <w:bCs/>
        </w:rPr>
        <w:t>2</w:t>
      </w:r>
      <w:r w:rsidR="00884138" w:rsidRPr="00884138">
        <w:rPr>
          <w:b/>
          <w:bCs/>
        </w:rPr>
        <w:t xml:space="preserve"> Appendi</w:t>
      </w:r>
      <w:r>
        <w:rPr>
          <w:b/>
          <w:bCs/>
        </w:rPr>
        <w:t>x</w:t>
      </w:r>
    </w:p>
    <w:p w14:paraId="57F9D69F" w14:textId="07AA4033" w:rsidR="00C7172C" w:rsidRDefault="00884138" w:rsidP="006B67C0">
      <w:pPr>
        <w:jc w:val="center"/>
        <w:rPr>
          <w:sz w:val="20"/>
          <w:szCs w:val="20"/>
        </w:rPr>
      </w:pPr>
      <w:r w:rsidRPr="00247D24">
        <w:rPr>
          <w:sz w:val="20"/>
          <w:szCs w:val="20"/>
        </w:rPr>
        <w:t xml:space="preserve">Appendix A - </w:t>
      </w:r>
      <w:r w:rsidR="002C0427" w:rsidRPr="00247D24">
        <w:rPr>
          <w:sz w:val="20"/>
          <w:szCs w:val="20"/>
        </w:rPr>
        <w:t>C</w:t>
      </w:r>
      <w:r w:rsidRPr="00247D24">
        <w:rPr>
          <w:sz w:val="20"/>
          <w:szCs w:val="20"/>
        </w:rPr>
        <w:t xml:space="preserve">ompleted </w:t>
      </w:r>
      <w:proofErr w:type="spellStart"/>
      <w:r w:rsidR="00876F64">
        <w:rPr>
          <w:sz w:val="20"/>
          <w:szCs w:val="20"/>
        </w:rPr>
        <w:t>g</w:t>
      </w:r>
      <w:r w:rsidRPr="00247D24">
        <w:rPr>
          <w:sz w:val="20"/>
          <w:szCs w:val="20"/>
        </w:rPr>
        <w:t>d_factorise</w:t>
      </w:r>
      <w:r w:rsidR="00876F64">
        <w:rPr>
          <w:sz w:val="20"/>
          <w:szCs w:val="20"/>
        </w:rPr>
        <w:t>_</w:t>
      </w:r>
      <w:proofErr w:type="gramStart"/>
      <w:r w:rsidR="00876F64">
        <w:rPr>
          <w:sz w:val="20"/>
          <w:szCs w:val="20"/>
        </w:rPr>
        <w:t>ad</w:t>
      </w:r>
      <w:proofErr w:type="spellEnd"/>
      <w:r w:rsidRPr="00247D24">
        <w:rPr>
          <w:sz w:val="20"/>
          <w:szCs w:val="20"/>
        </w:rPr>
        <w:t>(</w:t>
      </w:r>
      <w:proofErr w:type="gramEnd"/>
      <w:r w:rsidRPr="00247D24">
        <w:rPr>
          <w:sz w:val="20"/>
          <w:szCs w:val="20"/>
        </w:rPr>
        <w:t>) function.</w:t>
      </w:r>
    </w:p>
    <w:p w14:paraId="3C4BCAAC" w14:textId="4D9E926B" w:rsidR="00876F64" w:rsidRDefault="00876F64" w:rsidP="006B67C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BC1DE51" wp14:editId="03E9AAEB">
            <wp:extent cx="5155809" cy="2439098"/>
            <wp:effectExtent l="0" t="0" r="698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4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E5E4" w14:textId="37ACB418" w:rsidR="006B0BC0" w:rsidRDefault="006B0BC0" w:rsidP="006B0BC0">
      <w:pPr>
        <w:jc w:val="center"/>
        <w:rPr>
          <w:sz w:val="20"/>
          <w:szCs w:val="20"/>
        </w:rPr>
      </w:pPr>
      <w:r w:rsidRPr="00247D24">
        <w:rPr>
          <w:sz w:val="20"/>
          <w:szCs w:val="20"/>
        </w:rPr>
        <w:t xml:space="preserve">Appendix </w:t>
      </w:r>
      <w:r>
        <w:rPr>
          <w:sz w:val="20"/>
          <w:szCs w:val="20"/>
        </w:rPr>
        <w:t>B</w:t>
      </w:r>
      <w:r w:rsidRPr="00247D24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47D24">
        <w:rPr>
          <w:sz w:val="20"/>
          <w:szCs w:val="20"/>
        </w:rPr>
        <w:t xml:space="preserve"> </w:t>
      </w:r>
      <w:r>
        <w:rPr>
          <w:sz w:val="20"/>
          <w:szCs w:val="20"/>
        </w:rPr>
        <w:t>Singular Value Decomposition and reconstruction</w:t>
      </w:r>
      <w:r w:rsidRPr="00247D24">
        <w:rPr>
          <w:sz w:val="20"/>
          <w:szCs w:val="20"/>
        </w:rPr>
        <w:t xml:space="preserve"> function.</w:t>
      </w:r>
    </w:p>
    <w:p w14:paraId="11F088B5" w14:textId="162C9227" w:rsidR="006B0BC0" w:rsidRDefault="006B0BC0" w:rsidP="006B67C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716B7F7" wp14:editId="245CAEF8">
            <wp:extent cx="5134707" cy="1514926"/>
            <wp:effectExtent l="0" t="0" r="0" b="952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862" cy="151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6845" w14:textId="576544D7" w:rsidR="00CF0650" w:rsidRDefault="00CF0650" w:rsidP="00CF0650">
      <w:pPr>
        <w:jc w:val="center"/>
        <w:rPr>
          <w:sz w:val="20"/>
          <w:szCs w:val="20"/>
        </w:rPr>
      </w:pPr>
      <w:r w:rsidRPr="00247D24">
        <w:rPr>
          <w:sz w:val="20"/>
          <w:szCs w:val="20"/>
        </w:rPr>
        <w:t xml:space="preserve">Appendix </w:t>
      </w:r>
      <w:r w:rsidR="005F4967">
        <w:rPr>
          <w:sz w:val="20"/>
          <w:szCs w:val="20"/>
        </w:rPr>
        <w:t>C</w:t>
      </w:r>
      <w:r w:rsidRPr="00247D24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47D24">
        <w:rPr>
          <w:sz w:val="20"/>
          <w:szCs w:val="20"/>
        </w:rPr>
        <w:t xml:space="preserve"> </w:t>
      </w:r>
      <w:r w:rsidR="005F4967">
        <w:rPr>
          <w:sz w:val="20"/>
          <w:szCs w:val="20"/>
        </w:rPr>
        <w:t>Function to perform MLP gradient descent using automatic differentiation</w:t>
      </w:r>
      <w:r w:rsidRPr="00247D24">
        <w:rPr>
          <w:sz w:val="20"/>
          <w:szCs w:val="20"/>
        </w:rPr>
        <w:t>.</w:t>
      </w:r>
    </w:p>
    <w:p w14:paraId="46EFAAB3" w14:textId="47A3B6A4" w:rsidR="00CF0650" w:rsidRDefault="00B9184E" w:rsidP="006B67C0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EA28977" wp14:editId="6EEA3319">
            <wp:extent cx="5008098" cy="3276404"/>
            <wp:effectExtent l="0" t="0" r="2540" b="63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677" cy="328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5295" w14:textId="1C458445" w:rsidR="005F4967" w:rsidRDefault="005F4967" w:rsidP="005F4967">
      <w:pPr>
        <w:jc w:val="center"/>
        <w:rPr>
          <w:sz w:val="20"/>
          <w:szCs w:val="20"/>
        </w:rPr>
      </w:pPr>
      <w:r w:rsidRPr="00247D24">
        <w:rPr>
          <w:sz w:val="20"/>
          <w:szCs w:val="20"/>
        </w:rPr>
        <w:lastRenderedPageBreak/>
        <w:t xml:space="preserve">Appendix </w:t>
      </w:r>
      <w:r w:rsidR="00891CA9">
        <w:rPr>
          <w:sz w:val="20"/>
          <w:szCs w:val="20"/>
        </w:rPr>
        <w:t>D</w:t>
      </w:r>
      <w:r w:rsidRPr="00247D24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47D24">
        <w:rPr>
          <w:sz w:val="20"/>
          <w:szCs w:val="20"/>
        </w:rPr>
        <w:t xml:space="preserve"> </w:t>
      </w:r>
      <w:r w:rsidR="005D0B47">
        <w:rPr>
          <w:sz w:val="20"/>
          <w:szCs w:val="20"/>
        </w:rPr>
        <w:t>Three sets of accuracies</w:t>
      </w:r>
      <w:r w:rsidR="00891CA9">
        <w:rPr>
          <w:sz w:val="20"/>
          <w:szCs w:val="20"/>
        </w:rPr>
        <w:t xml:space="preserve"> </w:t>
      </w:r>
      <w:r w:rsidR="005D0B47">
        <w:rPr>
          <w:sz w:val="20"/>
          <w:szCs w:val="20"/>
        </w:rPr>
        <w:t>recorded</w:t>
      </w:r>
      <w:r w:rsidR="00891CA9">
        <w:rPr>
          <w:sz w:val="20"/>
          <w:szCs w:val="20"/>
        </w:rPr>
        <w:t xml:space="preserve"> from </w:t>
      </w:r>
      <w:r w:rsidR="005D0B47">
        <w:rPr>
          <w:sz w:val="20"/>
          <w:szCs w:val="20"/>
        </w:rPr>
        <w:t xml:space="preserve">an </w:t>
      </w:r>
      <w:r w:rsidR="00891CA9">
        <w:rPr>
          <w:sz w:val="20"/>
          <w:szCs w:val="20"/>
        </w:rPr>
        <w:t>MLP when using different learning rates and maximum iterations</w:t>
      </w:r>
      <w:r w:rsidRPr="00247D24">
        <w:rPr>
          <w:sz w:val="20"/>
          <w:szCs w:val="20"/>
        </w:rPr>
        <w:t>.</w:t>
      </w:r>
    </w:p>
    <w:p w14:paraId="09DCFB85" w14:textId="4637848B" w:rsidR="00891CA9" w:rsidRDefault="005D0B47" w:rsidP="005F4967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9871E1" wp14:editId="33E46D43">
            <wp:extent cx="1771741" cy="3708591"/>
            <wp:effectExtent l="0" t="0" r="0" b="6350"/>
            <wp:docPr id="27" name="Picture 2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37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401B9EA6" wp14:editId="353CCAB4">
            <wp:extent cx="1746340" cy="3714941"/>
            <wp:effectExtent l="0" t="0" r="6350" b="0"/>
            <wp:docPr id="28" name="Picture 2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5AE4B092" wp14:editId="6BA0037B">
            <wp:extent cx="1722120" cy="3715336"/>
            <wp:effectExtent l="0" t="0" r="0" b="0"/>
            <wp:docPr id="29" name="Picture 2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644" cy="375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D05D" w14:textId="77777777" w:rsidR="005F4967" w:rsidRPr="00C7172C" w:rsidRDefault="005F4967" w:rsidP="006B67C0">
      <w:pPr>
        <w:jc w:val="center"/>
        <w:rPr>
          <w:sz w:val="20"/>
          <w:szCs w:val="20"/>
        </w:rPr>
      </w:pPr>
    </w:p>
    <w:sectPr w:rsidR="005F4967" w:rsidRPr="00C7172C" w:rsidSect="0088413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4B"/>
    <w:rsid w:val="00090382"/>
    <w:rsid w:val="000A281C"/>
    <w:rsid w:val="000E2993"/>
    <w:rsid w:val="00107537"/>
    <w:rsid w:val="00155793"/>
    <w:rsid w:val="00155AB3"/>
    <w:rsid w:val="0016561F"/>
    <w:rsid w:val="001E5999"/>
    <w:rsid w:val="00247D24"/>
    <w:rsid w:val="002C0427"/>
    <w:rsid w:val="005D0B47"/>
    <w:rsid w:val="005F4967"/>
    <w:rsid w:val="006B0BC0"/>
    <w:rsid w:val="006B67C0"/>
    <w:rsid w:val="0084164B"/>
    <w:rsid w:val="00876F64"/>
    <w:rsid w:val="00884138"/>
    <w:rsid w:val="00891CA9"/>
    <w:rsid w:val="00B80981"/>
    <w:rsid w:val="00B9184E"/>
    <w:rsid w:val="00B9488F"/>
    <w:rsid w:val="00BA3E95"/>
    <w:rsid w:val="00C060E9"/>
    <w:rsid w:val="00C072A5"/>
    <w:rsid w:val="00C1778B"/>
    <w:rsid w:val="00C2510E"/>
    <w:rsid w:val="00C43E14"/>
    <w:rsid w:val="00C7172C"/>
    <w:rsid w:val="00CF0650"/>
    <w:rsid w:val="00D14E67"/>
    <w:rsid w:val="00DA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7EC6"/>
  <w15:chartTrackingRefBased/>
  <w15:docId w15:val="{AD443243-5842-4A8F-8C15-B45365DB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Ugwudike</dc:creator>
  <cp:keywords/>
  <dc:description/>
  <cp:lastModifiedBy>Justin Ugwudike</cp:lastModifiedBy>
  <cp:revision>12</cp:revision>
  <cp:lastPrinted>2023-03-27T20:05:00Z</cp:lastPrinted>
  <dcterms:created xsi:type="dcterms:W3CDTF">2023-03-27T18:22:00Z</dcterms:created>
  <dcterms:modified xsi:type="dcterms:W3CDTF">2023-03-29T18:54:00Z</dcterms:modified>
</cp:coreProperties>
</file>