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0b54df13d0eecdce05ae85f372da82e9848dbec"/>
    <w:p>
      <w:pPr>
        <w:pStyle w:val="Heading1"/>
      </w:pPr>
      <w:r>
        <w:t xml:space="preserve">Historical Context for Expanding the Ukraine Focus Tree (Pass 1)</w:t>
      </w:r>
    </w:p>
    <w:p>
      <w:pPr>
        <w:pStyle w:val="FirstParagraph"/>
      </w:pPr>
      <w:r>
        <w:t xml:space="preserve">This document summarizes key real‑world events in Ukraine since independence that could inspire new branches in the Millennium Dawn focus tree. Each entry includes a citation to an authoritative source.</w:t>
      </w:r>
    </w:p>
    <w:bookmarkStart w:id="24" w:name="X6e48619580ef52a2780a3e48bd5a8662bdebca9"/>
    <w:p>
      <w:pPr>
        <w:pStyle w:val="Heading2"/>
      </w:pPr>
      <w:r>
        <w:t xml:space="preserve">Early independence and nation‑building (1991‑1996)</w:t>
      </w:r>
    </w:p>
    <w:p>
      <w:pPr>
        <w:numPr>
          <w:ilvl w:val="0"/>
          <w:numId w:val="1001"/>
        </w:numPr>
      </w:pPr>
      <w:r>
        <w:rPr>
          <w:b/>
          <w:bCs/>
        </w:rPr>
        <w:t xml:space="preserve">Independence and first elections (1991)</w:t>
      </w:r>
      <w:r>
        <w:t xml:space="preserve"> </w:t>
      </w:r>
      <w:r>
        <w:t xml:space="preserve">– On</w:t>
      </w:r>
      <w:r>
        <w:t xml:space="preserve"> </w:t>
      </w:r>
      <w:r>
        <w:rPr>
          <w:b/>
          <w:bCs/>
        </w:rPr>
        <w:t xml:space="preserve">24 August 1991</w:t>
      </w:r>
      <w:r>
        <w:t xml:space="preserve"> </w:t>
      </w:r>
      <w:r>
        <w:t xml:space="preserve">the Ukrainian parliament declared independence from the Soviet Union. In a December referendum, more than 90 percent of voters endorsed independence and elected</w:t>
      </w:r>
      <w:r>
        <w:t xml:space="preserve"> </w:t>
      </w:r>
      <w:r>
        <w:rPr>
          <w:b/>
          <w:bCs/>
        </w:rPr>
        <w:t xml:space="preserve">Leonid Kravchuk</w:t>
      </w:r>
      <w:r>
        <w:t xml:space="preserve"> </w:t>
      </w:r>
      <w:r>
        <w:t xml:space="preserve">as the country’s first president. These events could be represented by a low‑cost focus granting stability and political power, marking Ukraine’s emergence as a sovereign state.</w:t>
      </w:r>
    </w:p>
    <w:p>
      <w:pPr>
        <w:numPr>
          <w:ilvl w:val="0"/>
          <w:numId w:val="1001"/>
        </w:numPr>
      </w:pPr>
      <w:r>
        <w:rPr>
          <w:b/>
          <w:bCs/>
        </w:rPr>
        <w:t xml:space="preserve">Nuclear disarmament and security assurances (1992‑1996)</w:t>
      </w:r>
      <w:r>
        <w:t xml:space="preserve"> </w:t>
      </w:r>
      <w:r>
        <w:t xml:space="preserve">– Ukraine inherited roughly</w:t>
      </w:r>
      <w:r>
        <w:t xml:space="preserve"> </w:t>
      </w:r>
      <w:r>
        <w:rPr>
          <w:b/>
          <w:bCs/>
        </w:rPr>
        <w:t xml:space="preserve">1,900 nuclear warheads and over 100 ICBMs</w:t>
      </w:r>
      <w:r>
        <w:t xml:space="preserve">, making it the world’s third‑largest nuclear arsenal. Under the</w:t>
      </w:r>
      <w:r>
        <w:t xml:space="preserve"> </w:t>
      </w:r>
      <w:r>
        <w:rPr>
          <w:b/>
          <w:bCs/>
        </w:rPr>
        <w:t xml:space="preserve">Lisbon Protocol</w:t>
      </w:r>
      <w:r>
        <w:t xml:space="preserve"> </w:t>
      </w:r>
      <w:r>
        <w:t xml:space="preserve">(1992) and subsequent agreements, Ukraine agreed to transfer its nuclear weapons to Russia. By</w:t>
      </w:r>
      <w:r>
        <w:t xml:space="preserve"> </w:t>
      </w:r>
      <w:r>
        <w:rPr>
          <w:b/>
          <w:bCs/>
        </w:rPr>
        <w:t xml:space="preserve">1996</w:t>
      </w:r>
      <w:r>
        <w:t xml:space="preserve"> </w:t>
      </w:r>
      <w:r>
        <w:t xml:space="preserve">all warheads had been removed in exchange for aid and international</w:t>
      </w:r>
      <w:r>
        <w:t xml:space="preserve"> </w:t>
      </w:r>
      <w:r>
        <w:rPr>
          <w:b/>
          <w:bCs/>
        </w:rPr>
        <w:t xml:space="preserve">security assurances</w:t>
      </w:r>
      <w:r>
        <w:t xml:space="preserve">, including the</w:t>
      </w:r>
      <w:r>
        <w:t xml:space="preserve"> </w:t>
      </w:r>
      <w:r>
        <w:rPr>
          <w:b/>
          <w:bCs/>
        </w:rPr>
        <w:t xml:space="preserve">Budapest Memorandum</w:t>
      </w:r>
      <w:r>
        <w:t xml:space="preserve"> </w:t>
      </w:r>
      <w:r>
        <w:t xml:space="preserve">signed on</w:t>
      </w:r>
      <w:r>
        <w:t xml:space="preserve"> </w:t>
      </w:r>
      <w:r>
        <w:rPr>
          <w:b/>
          <w:bCs/>
        </w:rPr>
        <w:t xml:space="preserve">5 December 1994</w:t>
      </w:r>
      <w:r>
        <w:t xml:space="preserve"> </w:t>
      </w:r>
      <w:r>
        <w:t xml:space="preserve">which pledged that Russia, the United States and the United Kingdom would respect Ukraine’s sovereignty and borders</w:t>
      </w:r>
      <w:hyperlink r:id="rId21">
        <w:r>
          <w:rPr>
            <w:rStyle w:val="Hyperlink"/>
          </w:rPr>
          <w:t xml:space="preserve">[1]</w:t>
        </w:r>
      </w:hyperlink>
      <w:hyperlink r:id="rId22">
        <w:r>
          <w:rPr>
            <w:rStyle w:val="Hyperlink"/>
          </w:rPr>
          <w:t xml:space="preserve">[2]</w:t>
        </w:r>
      </w:hyperlink>
      <w:r>
        <w:t xml:space="preserve">. A focus could reflect denuclearisation with modest stability and international-relations bonuses.</w:t>
      </w:r>
    </w:p>
    <w:p>
      <w:pPr>
        <w:numPr>
          <w:ilvl w:val="0"/>
          <w:numId w:val="1001"/>
        </w:numPr>
      </w:pPr>
      <w:r>
        <w:rPr>
          <w:b/>
          <w:bCs/>
        </w:rPr>
        <w:t xml:space="preserve">Constitutional state‑building (1996)</w:t>
      </w:r>
      <w:r>
        <w:t xml:space="preserve"> </w:t>
      </w:r>
      <w:r>
        <w:t xml:space="preserve">– A new constitution adopted on</w:t>
      </w:r>
      <w:r>
        <w:t xml:space="preserve"> </w:t>
      </w:r>
      <w:r>
        <w:rPr>
          <w:b/>
          <w:bCs/>
        </w:rPr>
        <w:t xml:space="preserve">28 June 1996</w:t>
      </w:r>
      <w:r>
        <w:t xml:space="preserve"> </w:t>
      </w:r>
      <w:r>
        <w:t xml:space="preserve">established a semi‑presidential system giving the president significant powers</w:t>
      </w:r>
      <w:hyperlink r:id="rId23">
        <w:r>
          <w:rPr>
            <w:rStyle w:val="Hyperlink"/>
          </w:rPr>
          <w:t xml:space="preserve">[3]</w:t>
        </w:r>
      </w:hyperlink>
      <w:r>
        <w:t xml:space="preserve">. The existing focus tree already includes a</w:t>
      </w:r>
      <w:r>
        <w:t xml:space="preserve"> </w:t>
      </w:r>
      <w:r>
        <w:rPr>
          <w:i/>
          <w:iCs/>
        </w:rPr>
        <w:t xml:space="preserve">Constitutional Reform</w:t>
      </w:r>
      <w:r>
        <w:t xml:space="preserve"> </w:t>
      </w:r>
      <w:r>
        <w:t xml:space="preserve">focus; further branches might explore balancing executive and legislative authority or creating the Constitutional Court.</w:t>
      </w:r>
    </w:p>
    <w:bookmarkEnd w:id="24"/>
    <w:bookmarkStart w:id="25" w:name="X8ecaa8a3e64c4ebb6f7ff0cc6c468040ec26afd"/>
    <w:p>
      <w:pPr>
        <w:pStyle w:val="Heading2"/>
      </w:pPr>
      <w:r>
        <w:t xml:space="preserve">Political turbulence and the Orange Revolution (2000‑2005)</w:t>
      </w:r>
    </w:p>
    <w:p>
      <w:pPr>
        <w:numPr>
          <w:ilvl w:val="0"/>
          <w:numId w:val="1002"/>
        </w:numPr>
      </w:pPr>
      <w:r>
        <w:rPr>
          <w:b/>
          <w:bCs/>
        </w:rPr>
        <w:t xml:space="preserve">Kuchma era and contested 2004 election</w:t>
      </w:r>
      <w:r>
        <w:t xml:space="preserve"> </w:t>
      </w:r>
      <w:r>
        <w:t xml:space="preserve">– After Kravchuk,</w:t>
      </w:r>
      <w:r>
        <w:t xml:space="preserve"> </w:t>
      </w:r>
      <w:r>
        <w:rPr>
          <w:b/>
          <w:bCs/>
        </w:rPr>
        <w:t xml:space="preserve">Leonid Kuchma</w:t>
      </w:r>
      <w:r>
        <w:t xml:space="preserve"> </w:t>
      </w:r>
      <w:r>
        <w:t xml:space="preserve">served as president from 1994 and was re‑elected in 1999. In 2004 his ally</w:t>
      </w:r>
      <w:r>
        <w:t xml:space="preserve"> </w:t>
      </w:r>
      <w:r>
        <w:rPr>
          <w:b/>
          <w:bCs/>
        </w:rPr>
        <w:t xml:space="preserve">Viktor Yanukovych</w:t>
      </w:r>
      <w:r>
        <w:t xml:space="preserve"> </w:t>
      </w:r>
      <w:r>
        <w:t xml:space="preserve">was declared winner of a presidential election, but allegations of vote‑rigging sparked mass protests known as the</w:t>
      </w:r>
      <w:r>
        <w:t xml:space="preserve"> </w:t>
      </w:r>
      <w:r>
        <w:rPr>
          <w:b/>
          <w:bCs/>
        </w:rPr>
        <w:t xml:space="preserve">Orange Revolution</w:t>
      </w:r>
      <w:r>
        <w:t xml:space="preserve">. Demonstrators forced a new vote in which pro‑Western candidate</w:t>
      </w:r>
      <w:r>
        <w:t xml:space="preserve"> </w:t>
      </w:r>
      <w:r>
        <w:rPr>
          <w:b/>
          <w:bCs/>
        </w:rPr>
        <w:t xml:space="preserve">Viktor Yushchenko</w:t>
      </w:r>
      <w:r>
        <w:t xml:space="preserve"> </w:t>
      </w:r>
      <w:r>
        <w:t xml:space="preserve">prevailed. A focus chain here could represent “Contested Election,” “Mass Protests,” and a split between pro‑Western reform and continued alignment with Moscow.</w:t>
      </w:r>
    </w:p>
    <w:p>
      <w:pPr>
        <w:numPr>
          <w:ilvl w:val="0"/>
          <w:numId w:val="1002"/>
        </w:numPr>
      </w:pPr>
      <w:r>
        <w:rPr>
          <w:b/>
          <w:bCs/>
        </w:rPr>
        <w:t xml:space="preserve">Democratic reform vs. authoritarian consolidation</w:t>
      </w:r>
      <w:r>
        <w:t xml:space="preserve"> </w:t>
      </w:r>
      <w:r>
        <w:t xml:space="preserve">– Yushchenko’s victory opened a brief period of liberalisation, while pro‑Russian forces sought to regain influence. A branch might offer mutually exclusive focuses: one favouring democratic reforms, anti‑corruption measures and Euro‑Atlantic integration; the other emphasising authoritarian stability and closer ties with Russia.</w:t>
      </w:r>
    </w:p>
    <w:bookmarkEnd w:id="25"/>
    <w:bookmarkStart w:id="26" w:name="euromaidan-and-the-2014-crisis"/>
    <w:p>
      <w:pPr>
        <w:pStyle w:val="Heading2"/>
      </w:pPr>
      <w:r>
        <w:t xml:space="preserve">Euromaidan and the 2014 crisis</w:t>
      </w:r>
    </w:p>
    <w:p>
      <w:pPr>
        <w:numPr>
          <w:ilvl w:val="0"/>
          <w:numId w:val="1003"/>
        </w:numPr>
      </w:pPr>
      <w:r>
        <w:rPr>
          <w:b/>
          <w:bCs/>
        </w:rPr>
        <w:t xml:space="preserve">Suspension of EU talks triggers protests (November 2013)</w:t>
      </w:r>
      <w:r>
        <w:t xml:space="preserve"> </w:t>
      </w:r>
      <w:r>
        <w:t xml:space="preserve">– Yanukovych’s government abruptly suspended an association and free‑trade agreement with the EU and opted for closer economic ties with Moscow, sparking the</w:t>
      </w:r>
      <w:r>
        <w:t xml:space="preserve"> </w:t>
      </w:r>
      <w:r>
        <w:rPr>
          <w:b/>
          <w:bCs/>
        </w:rPr>
        <w:t xml:space="preserve">Euromaidan</w:t>
      </w:r>
      <w:r>
        <w:t xml:space="preserve"> </w:t>
      </w:r>
      <w:r>
        <w:t xml:space="preserve">protest movement in Kyiv. The focus tree could include “Suspend EU Agreement” (negative stability/war‑support) followed by a choice between suppressing protests (authoritarian path) or supporting them (democratic path).</w:t>
      </w:r>
    </w:p>
    <w:p>
      <w:pPr>
        <w:numPr>
          <w:ilvl w:val="0"/>
          <w:numId w:val="1003"/>
        </w:numPr>
      </w:pPr>
      <w:r>
        <w:rPr>
          <w:b/>
          <w:bCs/>
        </w:rPr>
        <w:t xml:space="preserve">Maidan protests and Yanukovych’s removal (February 2014)</w:t>
      </w:r>
      <w:r>
        <w:t xml:space="preserve"> </w:t>
      </w:r>
      <w:r>
        <w:t xml:space="preserve">– Demonstrations turned violent; dozens of protesters were killed. In February 2014 parliament removed Yanukovych, who fled to Russia. Soon afterward, armed men seized Crimea’s parliament and raised the Russian flag; Moscow annexed the peninsula after a 16 March referendum. Separatists in Donbas declared independence and fighting erupted in eastern Ukraine. Potential focuses could cover “Occupy the Maidan,” “Remove the President,” and “Defend Crimea/Donbas,” adding war support and army experience.</w:t>
      </w:r>
    </w:p>
    <w:bookmarkEnd w:id="26"/>
    <w:bookmarkStart w:id="30" w:name="Xe6eb82bb7caabeb5420c5512a3535c8ee687f8f"/>
    <w:p>
      <w:pPr>
        <w:pStyle w:val="Heading2"/>
      </w:pPr>
      <w:r>
        <w:t xml:space="preserve">European integration and reforms (2014‑2019)</w:t>
      </w:r>
    </w:p>
    <w:p>
      <w:pPr>
        <w:numPr>
          <w:ilvl w:val="0"/>
          <w:numId w:val="1004"/>
        </w:numPr>
      </w:pPr>
      <w:r>
        <w:rPr>
          <w:b/>
          <w:bCs/>
        </w:rPr>
        <w:t xml:space="preserve">Association Agreement and visa‑free travel</w:t>
      </w:r>
      <w:r>
        <w:t xml:space="preserve"> </w:t>
      </w:r>
      <w:r>
        <w:t xml:space="preserve">– After Euromaidan, President</w:t>
      </w:r>
      <w:r>
        <w:t xml:space="preserve"> </w:t>
      </w:r>
      <w:r>
        <w:rPr>
          <w:b/>
          <w:bCs/>
        </w:rPr>
        <w:t xml:space="preserve">Petro Poroshenko</w:t>
      </w:r>
      <w:r>
        <w:t xml:space="preserve"> </w:t>
      </w:r>
      <w:r>
        <w:t xml:space="preserve">signed an EU association agreement in June 2014, including a Deep and Comprehensive Free Trade Area. The agreement fully entered into force in</w:t>
      </w:r>
      <w:r>
        <w:t xml:space="preserve"> </w:t>
      </w:r>
      <w:r>
        <w:rPr>
          <w:b/>
          <w:bCs/>
        </w:rPr>
        <w:t xml:space="preserve">September 2017</w:t>
      </w:r>
      <w:r>
        <w:t xml:space="preserve">. In</w:t>
      </w:r>
      <w:r>
        <w:t xml:space="preserve"> </w:t>
      </w:r>
      <w:r>
        <w:rPr>
          <w:b/>
          <w:bCs/>
        </w:rPr>
        <w:t xml:space="preserve">June 2017</w:t>
      </w:r>
      <w:r>
        <w:t xml:space="preserve"> </w:t>
      </w:r>
      <w:r>
        <w:t xml:space="preserve">the EU introduced a</w:t>
      </w:r>
      <w:r>
        <w:t xml:space="preserve"> </w:t>
      </w:r>
      <w:r>
        <w:rPr>
          <w:b/>
          <w:bCs/>
        </w:rPr>
        <w:t xml:space="preserve">visa‑free regime</w:t>
      </w:r>
      <w:r>
        <w:t xml:space="preserve"> </w:t>
      </w:r>
      <w:r>
        <w:t xml:space="preserve">for Ukrainians with biometric passports</w:t>
      </w:r>
      <w:hyperlink r:id="rId27">
        <w:r>
          <w:rPr>
            <w:rStyle w:val="Hyperlink"/>
          </w:rPr>
          <w:t xml:space="preserve">[4]</w:t>
        </w:r>
      </w:hyperlink>
      <w:hyperlink r:id="rId28">
        <w:r>
          <w:rPr>
            <w:rStyle w:val="Hyperlink"/>
          </w:rPr>
          <w:t xml:space="preserve">[5]</w:t>
        </w:r>
      </w:hyperlink>
      <w:r>
        <w:t xml:space="preserve">. Focuses such as “Sign EU Association Agreement,” “Implement Anti‑corruption Reforms,” and “Visa‑Free Travel” could grant stability, political power and improved trade.</w:t>
      </w:r>
    </w:p>
    <w:p>
      <w:pPr>
        <w:numPr>
          <w:ilvl w:val="0"/>
          <w:numId w:val="1004"/>
        </w:numPr>
      </w:pPr>
      <w:r>
        <w:rPr>
          <w:b/>
          <w:bCs/>
        </w:rPr>
        <w:t xml:space="preserve">Church autonomy and national identity (2019)</w:t>
      </w:r>
      <w:r>
        <w:t xml:space="preserve"> </w:t>
      </w:r>
      <w:r>
        <w:t xml:space="preserve">– The Ecumenical Patriarchate of Constantinople granted independence to a</w:t>
      </w:r>
      <w:r>
        <w:t xml:space="preserve"> </w:t>
      </w:r>
      <w:r>
        <w:rPr>
          <w:b/>
          <w:bCs/>
        </w:rPr>
        <w:t xml:space="preserve">new Ukrainian Orthodox Church</w:t>
      </w:r>
      <w:r>
        <w:t xml:space="preserve"> </w:t>
      </w:r>
      <w:r>
        <w:t xml:space="preserve">in 2019, breaking centuries of ecclesiastical control by Moscow. That same year, comedian</w:t>
      </w:r>
      <w:r>
        <w:t xml:space="preserve"> </w:t>
      </w:r>
      <w:r>
        <w:rPr>
          <w:b/>
          <w:bCs/>
        </w:rPr>
        <w:t xml:space="preserve">Volodymyr Zelenskyy</w:t>
      </w:r>
      <w:r>
        <w:t xml:space="preserve"> </w:t>
      </w:r>
      <w:r>
        <w:t xml:space="preserve">won the presidential election on anti‑corruption promises, and his party later secured a parliamentary majority</w:t>
      </w:r>
      <w:hyperlink r:id="rId29">
        <w:r>
          <w:rPr>
            <w:rStyle w:val="Hyperlink"/>
          </w:rPr>
          <w:t xml:space="preserve">[6]</w:t>
        </w:r>
      </w:hyperlink>
      <w:r>
        <w:t xml:space="preserve">. A focus branch might tie national identity (church independence, language policies) to political stability and Western support.</w:t>
      </w:r>
    </w:p>
    <w:bookmarkEnd w:id="30"/>
    <w:bookmarkStart w:id="34" w:name="Xbe09e85ba011ed2511ef2a14219dcec99f216f0"/>
    <w:p>
      <w:pPr>
        <w:pStyle w:val="Heading2"/>
      </w:pPr>
      <w:r>
        <w:t xml:space="preserve">Modern challenges and the 2022 invasion (2020‑2022)</w:t>
      </w:r>
    </w:p>
    <w:p>
      <w:pPr>
        <w:numPr>
          <w:ilvl w:val="0"/>
          <w:numId w:val="1005"/>
        </w:numPr>
      </w:pPr>
      <w:r>
        <w:rPr>
          <w:b/>
          <w:bCs/>
        </w:rPr>
        <w:t xml:space="preserve">Pandemic and economic hardship (2020)</w:t>
      </w:r>
      <w:r>
        <w:t xml:space="preserve"> </w:t>
      </w:r>
      <w:r>
        <w:t xml:space="preserve">– Ukraine imposed its first COVID‑19 lockdown in March 2020 and secured a</w:t>
      </w:r>
      <w:r>
        <w:t xml:space="preserve"> </w:t>
      </w:r>
      <w:r>
        <w:rPr>
          <w:b/>
          <w:bCs/>
        </w:rPr>
        <w:t xml:space="preserve">$5 billion IMF loan</w:t>
      </w:r>
      <w:r>
        <w:t xml:space="preserve"> </w:t>
      </w:r>
      <w:r>
        <w:t xml:space="preserve">in June to mitigate the recession</w:t>
      </w:r>
      <w:hyperlink r:id="rId31">
        <w:r>
          <w:rPr>
            <w:rStyle w:val="Hyperlink"/>
          </w:rPr>
          <w:t xml:space="preserve">[7]</w:t>
        </w:r>
      </w:hyperlink>
      <w:r>
        <w:t xml:space="preserve">. This period could be represented by focuses that increase debt or reduce stability while providing political power or resources.</w:t>
      </w:r>
    </w:p>
    <w:p>
      <w:pPr>
        <w:numPr>
          <w:ilvl w:val="0"/>
          <w:numId w:val="1005"/>
        </w:numPr>
      </w:pPr>
      <w:r>
        <w:rPr>
          <w:b/>
          <w:bCs/>
        </w:rPr>
        <w:t xml:space="preserve">NATO ambitions and Russian escalation (2021)</w:t>
      </w:r>
      <w:r>
        <w:t xml:space="preserve"> </w:t>
      </w:r>
      <w:r>
        <w:t xml:space="preserve">– In January 2021 President Zelenskyy appealed to U.S. president Joe Biden for NATO membership, while Russia began massing troops near Ukraine’s borders in spring and autumn 2021 and issued sweeping security demands in December</w:t>
      </w:r>
      <w:hyperlink r:id="rId32">
        <w:r>
          <w:rPr>
            <w:rStyle w:val="Hyperlink"/>
          </w:rPr>
          <w:t xml:space="preserve">[8]</w:t>
        </w:r>
      </w:hyperlink>
      <w:hyperlink r:id="rId33">
        <w:r>
          <w:rPr>
            <w:rStyle w:val="Hyperlink"/>
          </w:rPr>
          <w:t xml:space="preserve">[9]</w:t>
        </w:r>
      </w:hyperlink>
      <w:r>
        <w:t xml:space="preserve">. Focuses here might include “Seek NATO Membership,” “Strengthen Border Defences,” and “Appeal to Western Allies.”</w:t>
      </w:r>
    </w:p>
    <w:p>
      <w:pPr>
        <w:numPr>
          <w:ilvl w:val="0"/>
          <w:numId w:val="1005"/>
        </w:numPr>
      </w:pPr>
      <w:r>
        <w:rPr>
          <w:b/>
          <w:bCs/>
        </w:rPr>
        <w:t xml:space="preserve">Full‑scale invasion (February 2022)</w:t>
      </w:r>
      <w:r>
        <w:t xml:space="preserve"> </w:t>
      </w:r>
      <w:r>
        <w:t xml:space="preserve">– On</w:t>
      </w:r>
      <w:r>
        <w:t xml:space="preserve"> </w:t>
      </w:r>
      <w:r>
        <w:rPr>
          <w:b/>
          <w:bCs/>
        </w:rPr>
        <w:t xml:space="preserve">24 February 2022</w:t>
      </w:r>
      <w:r>
        <w:t xml:space="preserve"> </w:t>
      </w:r>
      <w:r>
        <w:t xml:space="preserve">Russia launched a multi‑front invasion of Ukraine after recognising the Donbas separatist regions. Ukraine declared general mobilisation to resist the onslaught. A final branch could centre on national survival: “Mobilise the Nation,” “Secure Western Lend‑Lease,” and “Liberate Occupied Territories,” granting war support, manpower and army experience.</w:t>
      </w:r>
    </w:p>
    <w:bookmarkEnd w:id="34"/>
    <w:bookmarkStart w:id="35" w:name="Xed33ec07bab65a805336e34a66b11765c476ccb"/>
    <w:p>
      <w:pPr>
        <w:pStyle w:val="Heading2"/>
      </w:pPr>
      <w:r>
        <w:t xml:space="preserve">Suggested structure for focus tree expansion</w:t>
      </w:r>
    </w:p>
    <w:p>
      <w:pPr>
        <w:pStyle w:val="FirstParagraph"/>
      </w:pPr>
      <w:r>
        <w:t xml:space="preserve">Based on the above events, the Ukraine focus tree could be extended beyond its current skeletal form by adding new branches after the</w:t>
      </w:r>
      <w:r>
        <w:t xml:space="preserve"> </w:t>
      </w:r>
      <w:r>
        <w:rPr>
          <w:i/>
          <w:iCs/>
        </w:rPr>
        <w:t xml:space="preserve">Rebuild Industry</w:t>
      </w:r>
      <w:r>
        <w:t xml:space="preserve"> </w:t>
      </w:r>
      <w:r>
        <w:t xml:space="preserve">focus or as parallel pathways. Possible branches include:</w:t>
      </w:r>
    </w:p>
    <w:p>
      <w:pPr>
        <w:pStyle w:val="Compact"/>
        <w:numPr>
          <w:ilvl w:val="0"/>
          <w:numId w:val="1006"/>
        </w:numPr>
      </w:pPr>
      <w:r>
        <w:rPr>
          <w:b/>
          <w:bCs/>
        </w:rPr>
        <w:t xml:space="preserve">Statehood and nuclear disarmament</w:t>
      </w:r>
      <w:r>
        <w:t xml:space="preserve"> </w:t>
      </w:r>
      <w:r>
        <w:t xml:space="preserve">– Focuses on independence, early state‑building and denuclearisation, offering stability and international recognition.</w:t>
      </w:r>
    </w:p>
    <w:p>
      <w:pPr>
        <w:pStyle w:val="Compact"/>
        <w:numPr>
          <w:ilvl w:val="0"/>
          <w:numId w:val="1006"/>
        </w:numPr>
      </w:pPr>
      <w:r>
        <w:rPr>
          <w:b/>
          <w:bCs/>
        </w:rPr>
        <w:t xml:space="preserve">Orange Revolution</w:t>
      </w:r>
      <w:r>
        <w:t xml:space="preserve"> </w:t>
      </w:r>
      <w:r>
        <w:t xml:space="preserve">– A chain representing the contested 2004 election, mass protests and a choice between democratic reform and authoritarian consolidation.</w:t>
      </w:r>
    </w:p>
    <w:p>
      <w:pPr>
        <w:pStyle w:val="Compact"/>
        <w:numPr>
          <w:ilvl w:val="0"/>
          <w:numId w:val="1006"/>
        </w:numPr>
      </w:pPr>
      <w:r>
        <w:rPr>
          <w:b/>
          <w:bCs/>
        </w:rPr>
        <w:t xml:space="preserve">Euromaidan</w:t>
      </w:r>
      <w:r>
        <w:t xml:space="preserve"> </w:t>
      </w:r>
      <w:r>
        <w:t xml:space="preserve">– A branch that reenacts the 2013‑14 protests, leading to either suppression and Russian alignment or European integration and defensive preparations.</w:t>
      </w:r>
    </w:p>
    <w:p>
      <w:pPr>
        <w:pStyle w:val="Compact"/>
        <w:numPr>
          <w:ilvl w:val="0"/>
          <w:numId w:val="1006"/>
        </w:numPr>
      </w:pPr>
      <w:r>
        <w:rPr>
          <w:b/>
          <w:bCs/>
        </w:rPr>
        <w:t xml:space="preserve">EU integration and national identity</w:t>
      </w:r>
      <w:r>
        <w:t xml:space="preserve"> </w:t>
      </w:r>
      <w:r>
        <w:t xml:space="preserve">– Focuses on signing the EU association agreement, implementing reforms, achieving visa‑free travel and asserting church autonomy, culminating in political stability and improved foreign relations.</w:t>
      </w:r>
    </w:p>
    <w:p>
      <w:pPr>
        <w:pStyle w:val="Compact"/>
        <w:numPr>
          <w:ilvl w:val="0"/>
          <w:numId w:val="1006"/>
        </w:numPr>
      </w:pPr>
      <w:r>
        <w:rPr>
          <w:b/>
          <w:bCs/>
        </w:rPr>
        <w:t xml:space="preserve">Modern defence and survival</w:t>
      </w:r>
      <w:r>
        <w:t xml:space="preserve"> </w:t>
      </w:r>
      <w:r>
        <w:t xml:space="preserve">– A late‑game branch covering NATO membership aspirations, border fortifications, national mobilisation and the fight against the 2022 invasion.</w:t>
      </w:r>
    </w:p>
    <w:p>
      <w:pPr>
        <w:pStyle w:val="FirstParagraph"/>
      </w:pPr>
      <w:r>
        <w:t xml:space="preserve">These additions would give players a historically grounded narrative path from independence through the Orange and Euromaidan revolutions to modern challenges, while offering meaningful choices between reform and reaction.</w:t>
      </w:r>
    </w:p>
    <w:bookmarkEnd w:id="35"/>
    <w:bookmarkEnd w:id="36"/>
    <w:bookmarkEnd w:id="37"/>
    <w:p>
      <w:r>
        <w:pict>
          <v:rect style="width:0;height:1.5pt" o:hralign="center" o:hrstd="t" o:hr="t"/>
        </w:pict>
      </w:r>
    </w:p>
    <w:bookmarkStart w:id="4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Ukraine, Nuclear Weapons, and Security Assurances at a Glance | Arms Control Association</w:t>
      </w:r>
    </w:p>
    <w:p>
      <w:pPr>
        <w:pStyle w:val="BodyText"/>
      </w:pPr>
      <w:hyperlink r:id="rId38">
        <w:r>
          <w:rPr>
            <w:rStyle w:val="Hyperlink"/>
          </w:rPr>
          <w:t xml:space="preserve">https://www.armscontrol.org/factsheets/ukraine-nuclear-weapons-and-security-assurances-glance</w:t>
        </w:r>
      </w:hyperlink>
    </w:p>
    <w:p>
      <w:pPr>
        <w:pStyle w:val="BodyText"/>
      </w:pPr>
      <w:hyperlink r:id="rId23">
        <w:r>
          <w:rPr>
            <w:rStyle w:val="Hyperlink"/>
          </w:rPr>
          <w:t xml:space="preserve">[3]</w:t>
        </w:r>
      </w:hyperlink>
      <w:r>
        <w:t xml:space="preserve"> </w:t>
      </w:r>
      <w:r>
        <w:t xml:space="preserve">64fb1f2d9cf65.pdf</w:t>
      </w:r>
    </w:p>
    <w:p>
      <w:pPr>
        <w:pStyle w:val="BodyText"/>
      </w:pPr>
      <w:hyperlink r:id="rId39">
        <w:r>
          <w:rPr>
            <w:rStyle w:val="Hyperlink"/>
          </w:rPr>
          <w:t xml:space="preserve">https://ppr.lse.ac.uk/articles/96/files/64fb1f2d9cf65.pdf</w:t>
        </w:r>
      </w:hyperlink>
    </w:p>
    <w:p>
      <w:pPr>
        <w:pStyle w:val="BodyText"/>
      </w:pPr>
      <w:hyperlink r:id="rId27">
        <w:r>
          <w:rPr>
            <w:rStyle w:val="Hyperlink"/>
          </w:rPr>
          <w:t xml:space="preserve">[4]</w:t>
        </w:r>
      </w:hyperlink>
      <w:r>
        <w:t xml:space="preserve"> </w:t>
      </w:r>
      <w:hyperlink r:id="rId28">
        <w:r>
          <w:rPr>
            <w:rStyle w:val="Hyperlink"/>
          </w:rPr>
          <w:t xml:space="preserve">[5]</w:t>
        </w:r>
      </w:hyperlink>
      <w:r>
        <w:t xml:space="preserve"> </w:t>
      </w:r>
      <w:r>
        <w:t xml:space="preserve">Ukrainians Travel Visa Free | Carnegie Endowment for International Peace</w:t>
      </w:r>
    </w:p>
    <w:p>
      <w:pPr>
        <w:pStyle w:val="BodyText"/>
      </w:pPr>
      <w:hyperlink r:id="rId40">
        <w:r>
          <w:rPr>
            <w:rStyle w:val="Hyperlink"/>
          </w:rPr>
          <w:t xml:space="preserve">https://carnegieendowment.org/europe/strategic-europe/2017/06/ukrainians-travel-visa-free</w:t>
        </w:r>
      </w:hyperlink>
    </w:p>
    <w:p>
      <w:pPr>
        <w:pStyle w:val="BodyText"/>
      </w:pPr>
      <w:hyperlink r:id="rId29">
        <w:r>
          <w:rPr>
            <w:rStyle w:val="Hyperlink"/>
          </w:rPr>
          <w:t xml:space="preserve">[6]</w:t>
        </w:r>
      </w:hyperlink>
      <w:r>
        <w:t xml:space="preserve"> </w:t>
      </w:r>
      <w:hyperlink r:id="rId31">
        <w:r>
          <w:rPr>
            <w:rStyle w:val="Hyperlink"/>
          </w:rPr>
          <w:t xml:space="preserve">[7]</w:t>
        </w:r>
      </w:hyperlink>
      <w:r>
        <w:t xml:space="preserve"> </w:t>
      </w:r>
      <w:hyperlink r:id="rId32">
        <w:r>
          <w:rPr>
            <w:rStyle w:val="Hyperlink"/>
          </w:rPr>
          <w:t xml:space="preserve">[8]</w:t>
        </w:r>
      </w:hyperlink>
      <w:r>
        <w:t xml:space="preserve"> </w:t>
      </w:r>
      <w:hyperlink r:id="rId33">
        <w:r>
          <w:rPr>
            <w:rStyle w:val="Hyperlink"/>
          </w:rPr>
          <w:t xml:space="preserve">[9]</w:t>
        </w:r>
      </w:hyperlink>
      <w:r>
        <w:t xml:space="preserve"> </w:t>
      </w:r>
      <w:r>
        <w:t xml:space="preserve">Timeline: Ukraine’s turbulent history since independence in 1991 | Russia-Ukraine war News | Al Jazeera</w:t>
      </w:r>
    </w:p>
    <w:p>
      <w:pPr>
        <w:pStyle w:val="BodyText"/>
      </w:pPr>
      <w:hyperlink r:id="rId41">
        <w:r>
          <w:rPr>
            <w:rStyle w:val="Hyperlink"/>
          </w:rPr>
          <w:t xml:space="preserve">https://www.aljazeera.com/news/2022/2/2/timeline-ukraines-turbulent-history-since-independence-in-1991</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carnegieendowment.org/europe/strategic-europe/2017/06/ukrainians-travel-visa-free" TargetMode="External" /><Relationship Type="http://schemas.openxmlformats.org/officeDocument/2006/relationships/hyperlink" Id="rId27" Target="https://carnegieendowment.org/europe/strategic-europe/2017/06/ukrainians-travel-visa-free#:~:text=On%20June%2011%2C%202017%2C%20visa,seekers%20or%20people%20working%20illegally" TargetMode="External" /><Relationship Type="http://schemas.openxmlformats.org/officeDocument/2006/relationships/hyperlink" Id="rId28" Target="https://carnegieendowment.org/europe/strategic-europe/2017/06/ukrainians-travel-visa-free#:~:text=The%20arrival%20of%20the%20visa,Association%20Agreement%20with%20the%20EU" TargetMode="External" /><Relationship Type="http://schemas.openxmlformats.org/officeDocument/2006/relationships/hyperlink" Id="rId39" Target="https://ppr.lse.ac.uk/articles/96/files/64fb1f2d9cf65.pdf" TargetMode="External" /><Relationship Type="http://schemas.openxmlformats.org/officeDocument/2006/relationships/hyperlink" Id="rId23" Target="https://ppr.lse.ac.uk/articles/96/files/64fb1f2d9cf65.pdf#:~:text=May%201996%3A%20Ukraine%20sees%20the,Cooperation%2C%20and%20Partnership%20signed%20between" TargetMode="External" /><Relationship Type="http://schemas.openxmlformats.org/officeDocument/2006/relationships/hyperlink" Id="rId41" Target="https://www.aljazeera.com/news/2022/2/2/timeline-ukraines-turbulent-history-since-independence-in-1991" TargetMode="External" /><Relationship Type="http://schemas.openxmlformats.org/officeDocument/2006/relationships/hyperlink" Id="rId29" Target="https://www.aljazeera.com/news/2022/2/2/timeline-ukraines-turbulent-history-since-independence-in-1991#:~:text=A%20new%20Ukrainian%20Orthodox%20church,formal%20recognition%2C%20angering%20the%20Kremlin" TargetMode="External" /><Relationship Type="http://schemas.openxmlformats.org/officeDocument/2006/relationships/hyperlink" Id="rId33" Target="https://www.aljazeera.com/news/2022/2/2/timeline-ukraines-turbulent-history-since-independence-in-1991#:~:text=Autumn%202021" TargetMode="External" /><Relationship Type="http://schemas.openxmlformats.org/officeDocument/2006/relationships/hyperlink" Id="rId32" Target="https://www.aljazeera.com/news/2022/2/2/timeline-ukraines-turbulent-history-since-independence-in-1991#:~:text=January%202021" TargetMode="External" /><Relationship Type="http://schemas.openxmlformats.org/officeDocument/2006/relationships/hyperlink" Id="rId31" Target="https://www.aljazeera.com/news/2022/2/2/timeline-ukraines-turbulent-history-since-independence-in-1991#:~:text=March%202020" TargetMode="External" /><Relationship Type="http://schemas.openxmlformats.org/officeDocument/2006/relationships/hyperlink" Id="rId38" Target="https://www.armscontrol.org/factsheets/ukraine-nuclear-weapons-and-security-assurances-glance" TargetMode="External" /><Relationship Type="http://schemas.openxmlformats.org/officeDocument/2006/relationships/hyperlink" Id="rId22" Target="https://www.armscontrol.org/factsheets/ukraine-nuclear-weapons-and-security-assurances-glance#:~:text=1994%20Budapest%20Memorandum%20on%20Security,Assurances" TargetMode="External" /><Relationship Type="http://schemas.openxmlformats.org/officeDocument/2006/relationships/hyperlink" Id="rId21" Target="https://www.armscontrol.org/factsheets/ukraine-nuclear-weapons-and-security-assurances-glance#:~:text=At%20the%20time%20of%20Ukraine%E2%80%99s,and%20nuclear%20infrastructure%20from%20Ukraine" TargetMode="External" /></Relationships>
</file>

<file path=word/_rels/footnotes.xml.rels><?xml version="1.0" encoding="UTF-8"?><Relationships xmlns="http://schemas.openxmlformats.org/package/2006/relationships"><Relationship Type="http://schemas.openxmlformats.org/officeDocument/2006/relationships/hyperlink" Id="rId40" Target="https://carnegieendowment.org/europe/strategic-europe/2017/06/ukrainians-travel-visa-free" TargetMode="External" /><Relationship Type="http://schemas.openxmlformats.org/officeDocument/2006/relationships/hyperlink" Id="rId27" Target="https://carnegieendowment.org/europe/strategic-europe/2017/06/ukrainians-travel-visa-free#:~:text=On%20June%2011%2C%202017%2C%20visa,seekers%20or%20people%20working%20illegally" TargetMode="External" /><Relationship Type="http://schemas.openxmlformats.org/officeDocument/2006/relationships/hyperlink" Id="rId28" Target="https://carnegieendowment.org/europe/strategic-europe/2017/06/ukrainians-travel-visa-free#:~:text=The%20arrival%20of%20the%20visa,Association%20Agreement%20with%20the%20EU" TargetMode="External" /><Relationship Type="http://schemas.openxmlformats.org/officeDocument/2006/relationships/hyperlink" Id="rId39" Target="https://ppr.lse.ac.uk/articles/96/files/64fb1f2d9cf65.pdf" TargetMode="External" /><Relationship Type="http://schemas.openxmlformats.org/officeDocument/2006/relationships/hyperlink" Id="rId23" Target="https://ppr.lse.ac.uk/articles/96/files/64fb1f2d9cf65.pdf#:~:text=May%201996%3A%20Ukraine%20sees%20the,Cooperation%2C%20and%20Partnership%20signed%20between" TargetMode="External" /><Relationship Type="http://schemas.openxmlformats.org/officeDocument/2006/relationships/hyperlink" Id="rId41" Target="https://www.aljazeera.com/news/2022/2/2/timeline-ukraines-turbulent-history-since-independence-in-1991" TargetMode="External" /><Relationship Type="http://schemas.openxmlformats.org/officeDocument/2006/relationships/hyperlink" Id="rId29" Target="https://www.aljazeera.com/news/2022/2/2/timeline-ukraines-turbulent-history-since-independence-in-1991#:~:text=A%20new%20Ukrainian%20Orthodox%20church,formal%20recognition%2C%20angering%20the%20Kremlin" TargetMode="External" /><Relationship Type="http://schemas.openxmlformats.org/officeDocument/2006/relationships/hyperlink" Id="rId33" Target="https://www.aljazeera.com/news/2022/2/2/timeline-ukraines-turbulent-history-since-independence-in-1991#:~:text=Autumn%202021" TargetMode="External" /><Relationship Type="http://schemas.openxmlformats.org/officeDocument/2006/relationships/hyperlink" Id="rId32" Target="https://www.aljazeera.com/news/2022/2/2/timeline-ukraines-turbulent-history-since-independence-in-1991#:~:text=January%202021" TargetMode="External" /><Relationship Type="http://schemas.openxmlformats.org/officeDocument/2006/relationships/hyperlink" Id="rId31" Target="https://www.aljazeera.com/news/2022/2/2/timeline-ukraines-turbulent-history-since-independence-in-1991#:~:text=March%202020" TargetMode="External" /><Relationship Type="http://schemas.openxmlformats.org/officeDocument/2006/relationships/hyperlink" Id="rId38" Target="https://www.armscontrol.org/factsheets/ukraine-nuclear-weapons-and-security-assurances-glance" TargetMode="External" /><Relationship Type="http://schemas.openxmlformats.org/officeDocument/2006/relationships/hyperlink" Id="rId22" Target="https://www.armscontrol.org/factsheets/ukraine-nuclear-weapons-and-security-assurances-glance#:~:text=1994%20Budapest%20Memorandum%20on%20Security,Assurances" TargetMode="External" /><Relationship Type="http://schemas.openxmlformats.org/officeDocument/2006/relationships/hyperlink" Id="rId21" Target="https://www.armscontrol.org/factsheets/ukraine-nuclear-weapons-and-security-assurances-glance#:~:text=At%20the%20time%20of%20Ukraine%E2%80%99s,and%20nuclear%20infrastructure%20from%20Ukra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2026-04-25T00:40:28Z</dcterms:created>
  <dcterms:modified xsi:type="dcterms:W3CDTF">2026-04-25T00:40:28Z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