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4FF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Collective Resonance Dynamics (CRD): A Neurocognitive Model of Synchronized Group Coherence and Shared Intentional Fields</w:t>
      </w:r>
    </w:p>
    <w:p w14:paraId="4E6E500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Jason Brisart</w:t>
      </w:r>
    </w:p>
    <w:p w14:paraId="4E6E500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Independent Researcher</w:t>
      </w:r>
    </w:p>
    <w:p w14:paraId="4E6E5002"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5933D6">
          <w:rPr>
            <w:rStyle w:val="Hyperlink0"/>
            <w:rFonts w:ascii="Aptos" w:hAnsi="Aptos"/>
          </w:rPr>
          <w:t>jason@brisartresearcharchive.com</w:t>
        </w:r>
      </w:hyperlink>
    </w:p>
    <w:p w14:paraId="4E6E5003"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5933D6">
          <w:rPr>
            <w:rStyle w:val="Hyperlink0"/>
            <w:rFonts w:ascii="Aptos" w:hAnsi="Aptos"/>
          </w:rPr>
          <w:t>www.brisartresearcharchive.com</w:t>
        </w:r>
      </w:hyperlink>
    </w:p>
    <w:p w14:paraId="4E6E5005"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4E6E5006"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4E6E500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Abstract</w:t>
      </w:r>
    </w:p>
    <w:p w14:paraId="4E6E500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Collective Resonance Dynamics (CRD) proposes that groups, teams, and institutions achieve higher-order coherence when individual processing streams align through shared vibrational and intentional frequencies. Rather than treating collective behavior as mere social coordination, CRD models it as an emergent resonant field in which personal rhythms, emotional tones, and goal vectors entrain across participants to produce synchronized awareness, decision-making, and creative output. Central to the framework is the Collective Resonance Node (CRN), a distributed interpersonal hub that continuously tunes cross-individual frequencies to minimize group dissonance and maximize shared intentional stability. CRD explains phenomena such as team flow states, institutional alignment, rapid consensus formation, and collective insight while generating clear, testable predictions for multi-person EEG, physiological synchrony, and behavioral coordination studies. The model offers a precise, falsifiable account of how vibration and intention scale from individual minds to coherent group intelligence.</w:t>
      </w:r>
    </w:p>
    <w:p w14:paraId="4E6E500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lang w:val="fr-FR"/>
        </w:rPr>
        <w:lastRenderedPageBreak/>
        <w:t>1.0 Introduction</w:t>
      </w:r>
    </w:p>
    <w:p w14:paraId="4E6E500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Human groups often function as more than the sum of their parts. Teams enter states of effortless collaboration, institutions develop a recognizable </w:t>
      </w:r>
      <w:r w:rsidRPr="005933D6">
        <w:rPr>
          <w:rFonts w:ascii="Aptos" w:hAnsi="Aptos"/>
          <w:rtl/>
          <w:lang w:val="ar-SA"/>
        </w:rPr>
        <w:t>“</w:t>
      </w:r>
      <w:r w:rsidRPr="005933D6">
        <w:rPr>
          <w:rFonts w:ascii="Aptos" w:hAnsi="Aptos"/>
          <w:lang w:val="fr-FR"/>
        </w:rPr>
        <w:t>culture,</w:t>
      </w:r>
      <w:r w:rsidRPr="005933D6">
        <w:rPr>
          <w:rFonts w:ascii="Aptos" w:hAnsi="Aptos"/>
        </w:rPr>
        <w:t>” and creative collectives produce insights no single member could reach alone. Existing models of group dynamics emphasize communication, leadership, or shared norms but rarely address the underlying neurodynamic mechanism that allows separate brains to function as a unified system. Collective Resonance Dynamics (CRD) addresses this gap by proposing that collective intelligence emerges when individual vibrational and intentional frequencies achieve real-time entrainment across participants.</w:t>
      </w:r>
    </w:p>
    <w:p w14:paraId="4E6E500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This framework treats the group not as a loose collection of agents but as a higher-order resonant field capable of self-organization. When alignment occurs, the collective experiences heightened coherence, faster decision-making, and emergent creativity. When misalignment persists, the group fragments into conflict, inefficiency, or stagnation. CRD provides a unified, empirically grounded account of how vibration and intention scale from the individual to the collective level.</w:t>
      </w:r>
    </w:p>
    <w:p w14:paraId="4E6E500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2.0 Core Mechanism</w:t>
      </w:r>
    </w:p>
    <w:p w14:paraId="4E6E500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At the heart of CRD is the Collective Resonance Node (CRN), a distributed interpersonal network formed through synchronized neural and physiological signals across group members. The CRN acts as a real-time tuning system that detects and corrects frequency mismatches in shared emotional tone, attentional rhythm, and intentional vectors.</w:t>
      </w:r>
    </w:p>
    <w:p w14:paraId="4E6E500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core components are:</w:t>
      </w:r>
    </w:p>
    <w:p w14:paraId="4E6E500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 </w:t>
      </w:r>
      <w:r w:rsidRPr="005933D6">
        <w:rPr>
          <w:rFonts w:ascii="Aptos" w:hAnsi="Aptos"/>
          <w:b/>
          <w:bCs/>
        </w:rPr>
        <w:t>Individual Streams</w:t>
      </w:r>
      <w:r w:rsidRPr="005933D6">
        <w:rPr>
          <w:rFonts w:ascii="Aptos" w:hAnsi="Aptos"/>
        </w:rPr>
        <w:t>: Each participant contributes personal vibrational signatures (neural oscillations, emotional valence, goal-directed intention).</w:t>
      </w:r>
    </w:p>
    <w:p w14:paraId="4E6E501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lastRenderedPageBreak/>
        <w:t xml:space="preserve">• </w:t>
      </w:r>
      <w:r w:rsidRPr="005933D6">
        <w:rPr>
          <w:rFonts w:ascii="Aptos" w:hAnsi="Aptos"/>
          <w:b/>
          <w:bCs/>
        </w:rPr>
        <w:t>Cross-Person Coupling</w:t>
      </w:r>
      <w:r w:rsidRPr="005933D6">
        <w:rPr>
          <w:rFonts w:ascii="Aptos" w:hAnsi="Aptos"/>
        </w:rPr>
        <w:t>: Signals propagate through verbal, nonverbal, and physiological channels, creating measurable interpersonal entrainment.</w:t>
      </w:r>
    </w:p>
    <w:p w14:paraId="4E6E501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 </w:t>
      </w:r>
      <w:r w:rsidRPr="005933D6">
        <w:rPr>
          <w:rFonts w:ascii="Aptos" w:hAnsi="Aptos"/>
          <w:b/>
          <w:bCs/>
          <w:lang w:val="fr-FR"/>
        </w:rPr>
        <w:t>Collective Resonance Node (CRN)</w:t>
      </w:r>
      <w:r w:rsidRPr="005933D6">
        <w:rPr>
          <w:rFonts w:ascii="Aptos" w:hAnsi="Aptos"/>
        </w:rPr>
        <w:t>: The emergent hub that computes group-level mismatch and drives corrective alignment.</w:t>
      </w:r>
    </w:p>
    <w:p w14:paraId="4E6E501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symbolic model of collective coherence is expressed as:</w:t>
      </w:r>
    </w:p>
    <w:p w14:paraId="4E6E501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Collective Coherence (CC) = (Average Phase Alignment × Emotional Valence Matching × Intentional Vector Overlap)</w:t>
      </w:r>
    </w:p>
    <w:p w14:paraId="4E6E501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When CC exceeds a dynamic group threshold, the collective enters a stable resonant state characterized by shared flow, rapid consensus, and amplified creative output.</w:t>
      </w:r>
    </w:p>
    <w:p w14:paraId="4E6E501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3.0 Internal Processing Dynamics</w:t>
      </w:r>
    </w:p>
    <w:p w14:paraId="4E6E501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operates through a continuous four-phase cycle that scales individual resonance to group-level stability.</w:t>
      </w:r>
    </w:p>
    <w:p w14:paraId="4E6E501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3.1 Individual Frequency Emission</w:t>
      </w:r>
    </w:p>
    <w:p w14:paraId="4E6E501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Each participant naturally emits characteristic rhythms (theta–alpha for emotional tone, beta–gamma for focused intention, infra-slow for physiological state). These signals are broadcast through speech, gesture, posture, and autonomic activity.</w:t>
      </w:r>
    </w:p>
    <w:p w14:paraId="4E6E501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3.2 Mismatch Detection</w:t>
      </w:r>
    </w:p>
    <w:p w14:paraId="4E6E501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CRN continuously monitors interpersonal desynchronization. Mismatch appears as phase drift, emotional discord, or conflicting goal vectors across members.</w:t>
      </w:r>
    </w:p>
    <w:p w14:paraId="4E6E501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3.3 Entrainment and Field Tuning</w:t>
      </w:r>
    </w:p>
    <w:p w14:paraId="4E6E501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lastRenderedPageBreak/>
        <w:t>The CRN broadcasts corrective signals (via shared language, rhythmic cues, or emotional contagion) that adjust lagging participants. Successful entrainment produces cross-person locking, experienced as collective clarity and momentum.</w:t>
      </w:r>
    </w:p>
    <w:p w14:paraId="4E6E501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3.4 Resonance Stabilization and Adaptive Feedback</w:t>
      </w:r>
    </w:p>
    <w:p w14:paraId="4E6E501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Once alignment is achieved, the resonant field stabilizes through positive feedback. The group then monitors for new external or internal perturbations and repeats the cycle, maintaining adaptive coherence over time.</w:t>
      </w:r>
    </w:p>
    <w:p w14:paraId="4E6E501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4.0 Applications and Predictions</w:t>
      </w:r>
    </w:p>
    <w:p w14:paraId="4E6E502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yields immediately testable predictions suitable for team, lab, and institutional settings.</w:t>
      </w:r>
    </w:p>
    <w:p w14:paraId="4E6E502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4.1 Team Flow and Creative Output</w:t>
      </w:r>
    </w:p>
    <w:p w14:paraId="4E6E502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High-performing creative teams will show elevated interpersonal phase-locking (measurable via simultaneous EEG) and correlated heart-rate variability. Groups in flow tasks will exhibit higher collective coherence scores and faster problem resolution.</w:t>
      </w:r>
    </w:p>
    <w:p w14:paraId="4E6E502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4.2 Institutional Decision Speed</w:t>
      </w:r>
    </w:p>
    <w:p w14:paraId="4E6E502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Aligned leadership teams will demonstrate stronger intentional vector overlap, leading to measurably faster consensus and fewer decision reversals compared to misaligned groups.</w:t>
      </w:r>
    </w:p>
    <w:p w14:paraId="4E6E502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4.3 Conflict Resolution</w:t>
      </w:r>
    </w:p>
    <w:p w14:paraId="4E6E502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Interventions that restore emotional valence matching (structured rhythmic dialogue or shared physiological cues) will rapidly increase collective coherence and reduce group conflict.</w:t>
      </w:r>
    </w:p>
    <w:p w14:paraId="4E6E502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lang w:val="fr-FR"/>
        </w:rPr>
        <w:lastRenderedPageBreak/>
        <w:t>4.4 Organizational Culture Formation</w:t>
      </w:r>
    </w:p>
    <w:p w14:paraId="4E6E502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Long-term institutional alignment will correlate with stable infra-slow rhythm coupling across members, observable in repeated physiological synchrony during meetings.</w:t>
      </w:r>
    </w:p>
    <w:p w14:paraId="4E6E502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These predictions are directly evaluable using multi-person EEG, wearable HRV, behavioral coordination tasks, and real-time group performance metrics.</w:t>
      </w:r>
    </w:p>
    <w:p w14:paraId="4E6E502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5.0 Limitations and Future Work</w:t>
      </w:r>
    </w:p>
    <w:p w14:paraId="4E6E502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is currently a high-level interpersonal neurodynamic model. Precise mapping of the CRN across larger groups and the exact mathematics of multi-person entrainment require further refinement. Cultural and technological variations in communication channels are not yet fully modeled.</w:t>
      </w:r>
    </w:p>
    <w:p w14:paraId="4E6E502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Future directions include:</w:t>
      </w:r>
    </w:p>
    <w:p w14:paraId="4E6E502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Large-scale multi-person neuroimaging studies of team and institutional resonance.</w:t>
      </w:r>
    </w:p>
    <w:p w14:paraId="4E6E502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Computational simulations of the collective coherence equation.</w:t>
      </w:r>
    </w:p>
    <w:p w14:paraId="4E6E502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Applied interventions in corporate, academic, and clinical settings to enhance group alignment.</w:t>
      </w:r>
    </w:p>
    <w:p w14:paraId="4E6E503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Extension to hybrid human–AI collective systems.</w:t>
      </w:r>
    </w:p>
    <w:p w14:paraId="4E6E503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6.0 Final Synthesis</w:t>
      </w:r>
    </w:p>
    <w:p w14:paraId="4E6E503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Collective Resonance Dynamics offers a coherent, mechanistically precise account of how groups achieve higher-order intelligence through vibrational and intentional entrainment. By centering collective behavior on the Collective Resonance Node and </w:t>
      </w:r>
      <w:r w:rsidRPr="005933D6">
        <w:rPr>
          <w:rFonts w:ascii="Aptos" w:hAnsi="Aptos"/>
        </w:rPr>
        <w:lastRenderedPageBreak/>
        <w:t>dynamic cross-person alignment, CRD explains not only everyday team performance but also the emergence of shared flow, rapid consensus, and institutional creativity.</w:t>
      </w:r>
    </w:p>
    <w:p w14:paraId="4E6E503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inclusion of a formal collective coherence metric, clear entrainment phases, and directly testable predictions positions CRD as a practical and falsifiable lens for understanding how individual minds scale into coherent group systems. CRD stands ready for experimental validation and real-world application in teams, laboratories, and institutions.</w:t>
      </w:r>
    </w:p>
    <w:p w14:paraId="4E6E503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lang w:val="fr-FR"/>
        </w:rPr>
        <w:t>References</w:t>
      </w:r>
    </w:p>
    <w:p w14:paraId="4E6E503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lang w:val="de-DE"/>
        </w:rPr>
        <w:t xml:space="preserve">Brisart, J. (2025). The Brisart Format: A Standardized Template for Theoretical, Conceptual, and Methodological Manuscripts (Version v2). Zenodo. </w:t>
      </w:r>
      <w:hyperlink r:id="rId11" w:history="1">
        <w:r w:rsidRPr="005933D6">
          <w:rPr>
            <w:rStyle w:val="Hyperlink0"/>
            <w:rFonts w:ascii="Aptos" w:hAnsi="Aptos"/>
          </w:rPr>
          <w:t>https://doi.org/10.5281/zenodo.15725824</w:t>
        </w:r>
      </w:hyperlink>
    </w:p>
    <w:p w14:paraId="4E6E503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Buzsáki, G. (2006). Rhythms of the Brain. Oxford University Press.</w:t>
      </w:r>
    </w:p>
    <w:p w14:paraId="4E6E503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Friston, K. (2010). The free-energy principle: A unified brain theory? Nature Reviews Neuroscience, 11(2), 127–138. </w:t>
      </w:r>
      <w:hyperlink r:id="rId12" w:history="1">
        <w:r w:rsidR="00FE06E9" w:rsidRPr="005933D6">
          <w:rPr>
            <w:rStyle w:val="Hyperlink0"/>
            <w:rFonts w:ascii="Aptos" w:hAnsi="Aptos"/>
          </w:rPr>
          <w:t>https://doi.org/10.1038/nrn2787</w:t>
        </w:r>
      </w:hyperlink>
    </w:p>
    <w:p w14:paraId="4E6E503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Lakatos, P., et al. (2008). Entrainment of neuronal oscillations as a mechanism of attentional selection. Science, 320(5872), 110–113. </w:t>
      </w:r>
      <w:hyperlink r:id="rId13" w:history="1">
        <w:r w:rsidR="00FE06E9" w:rsidRPr="005933D6">
          <w:rPr>
            <w:rStyle w:val="Hyperlink0"/>
            <w:rFonts w:ascii="Aptos" w:hAnsi="Aptos"/>
          </w:rPr>
          <w:t>https://doi.org/10.1126/science.1154735</w:t>
        </w:r>
      </w:hyperlink>
    </w:p>
    <w:p w14:paraId="4E6E503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5933D6">
        <w:rPr>
          <w:rFonts w:ascii="Aptos" w:hAnsi="Aptos"/>
        </w:rPr>
        <w:t xml:space="preserve">Thut, G., et al. (2011). Entrainment of perceptually relevant brain oscillations by non-invasive rhythmic stimulation. Frontiers in Psychology, 2, 170. </w:t>
      </w:r>
      <w:hyperlink r:id="rId14" w:history="1">
        <w:r w:rsidR="00FE06E9" w:rsidRPr="005933D6">
          <w:rPr>
            <w:rStyle w:val="Hyperlink0"/>
            <w:rFonts w:ascii="Aptos" w:hAnsi="Aptos"/>
          </w:rPr>
          <w:t>https://doi.org/10.3389/fpsyg.2011.00170</w:t>
        </w:r>
      </w:hyperlink>
    </w:p>
    <w:sectPr w:rsidR="00FE06E9" w:rsidRPr="005933D6">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F252" w14:textId="77777777" w:rsidR="00DD2536" w:rsidRDefault="00DD2536">
      <w:r>
        <w:separator/>
      </w:r>
    </w:p>
  </w:endnote>
  <w:endnote w:type="continuationSeparator" w:id="0">
    <w:p w14:paraId="3FD468D5" w14:textId="77777777" w:rsidR="00DD2536" w:rsidRDefault="00DD2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503B" w14:textId="77777777" w:rsidR="00FE06E9" w:rsidRDefault="00FE06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7120" w14:textId="77777777" w:rsidR="00DD2536" w:rsidRDefault="00DD2536">
      <w:r>
        <w:separator/>
      </w:r>
    </w:p>
  </w:footnote>
  <w:footnote w:type="continuationSeparator" w:id="0">
    <w:p w14:paraId="471BA3C9" w14:textId="77777777" w:rsidR="00DD2536" w:rsidRDefault="00DD2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503A" w14:textId="77777777" w:rsidR="00FE06E9" w:rsidRDefault="00FE06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E9"/>
    <w:rsid w:val="005933D6"/>
    <w:rsid w:val="007641B5"/>
    <w:rsid w:val="009A02F6"/>
    <w:rsid w:val="009C1748"/>
    <w:rsid w:val="00B27149"/>
    <w:rsid w:val="00DD2536"/>
    <w:rsid w:val="00FE0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4FFF"/>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26/science.115473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8/nrn2787"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brisartresearcharchive.com"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3389/fpsyg.2011.00170"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212128-0343-4E70-BF2E-BD1972B45FB4}">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065519A2-F9C6-4A01-A7A7-044C409E8111}">
  <ds:schemaRefs>
    <ds:schemaRef ds:uri="http://schemas.microsoft.com/sharepoint/v3/contenttype/forms"/>
  </ds:schemaRefs>
</ds:datastoreItem>
</file>

<file path=customXml/itemProps3.xml><?xml version="1.0" encoding="utf-8"?>
<ds:datastoreItem xmlns:ds="http://schemas.openxmlformats.org/officeDocument/2006/customXml" ds:itemID="{C0540A01-46A6-4AE8-983A-C575E407B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1274</Words>
  <Characters>7262</Characters>
  <Application>Microsoft Office Word</Application>
  <DocSecurity>0</DocSecurity>
  <Lines>60</Lines>
  <Paragraphs>17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