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75C84"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b/>
          <w:bCs/>
        </w:rPr>
        <w:t>Reality Interface Theory (RIT): An Enactive Model of Mind-World Co-Creation</w:t>
      </w:r>
    </w:p>
    <w:p w14:paraId="08A75C85"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Jason Brisart</w:t>
      </w:r>
    </w:p>
    <w:p w14:paraId="08A75C86"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Independent Researcher</w:t>
      </w:r>
    </w:p>
    <w:p w14:paraId="08A75C87" w14:textId="77777777" w:rsidR="00944925" w:rsidRPr="00B90524" w:rsidRDefault="00944925">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hyperlink r:id="rId9" w:history="1">
        <w:r w:rsidRPr="00B90524">
          <w:rPr>
            <w:rStyle w:val="Hyperlink0"/>
            <w:rFonts w:ascii="Aptos" w:hAnsi="Aptos"/>
          </w:rPr>
          <w:t>jason@brisartresearcharchive.com</w:t>
        </w:r>
      </w:hyperlink>
    </w:p>
    <w:p w14:paraId="08A75C88" w14:textId="77777777" w:rsidR="00944925" w:rsidRPr="00B90524" w:rsidRDefault="00944925">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hyperlink r:id="rId10" w:history="1">
        <w:r w:rsidRPr="00B90524">
          <w:rPr>
            <w:rStyle w:val="Hyperlink0"/>
            <w:rFonts w:ascii="Aptos" w:hAnsi="Aptos"/>
          </w:rPr>
          <w:t>www.brisartresearcharchive.com</w:t>
        </w:r>
      </w:hyperlink>
    </w:p>
    <w:p w14:paraId="08A75C8A" w14:textId="77777777" w:rsidR="00944925" w:rsidRPr="00B90524" w:rsidRDefault="00944925">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b/>
          <w:bCs/>
        </w:rPr>
      </w:pPr>
    </w:p>
    <w:p w14:paraId="08A75C8B" w14:textId="77777777" w:rsidR="00944925" w:rsidRPr="00B90524" w:rsidRDefault="00944925">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b/>
          <w:bCs/>
        </w:rPr>
      </w:pPr>
    </w:p>
    <w:p w14:paraId="08A75C8C"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b/>
          <w:bCs/>
        </w:rPr>
        <w:t>Abstract</w:t>
      </w:r>
    </w:p>
    <w:p w14:paraId="08A75C8D"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Reality Interface Theory (RIT) proposes that the experienced external world is not a passive backdrop but an actively co-created interface arising from the continuous, enactive interaction between internal cognitive-affective processes and the physical environment. Rather than treating reality as an independent external domain or a mere projection of the mind, RIT models the perceived world as a dynamic interface field that emerges when internal integration streams (perception, intention, emotion, memory, anticipation, and narrative) couple with environmental affordances through recursive perception-action loops. This interface field generates the stable, lawful, and personally meaningful external reality we inhabit. RIT explains why the world feels solid and continuous, how it can shift dramatically in altered states or trauma, and how deliberate action reshapes both self and environment. The framework generates testable predictions for neuroimaging, behavioral ecology, virtual reality experiments, and clinical interventions, offering a precise, falsifiable account of how the mind and world mutually construct the lived reality we inhabit.</w:t>
      </w:r>
    </w:p>
    <w:p w14:paraId="08A75C8E"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b/>
          <w:bCs/>
          <w:lang w:val="fr-FR"/>
        </w:rPr>
        <w:t>1.0 Introduction</w:t>
      </w:r>
    </w:p>
    <w:p w14:paraId="08A75C8F"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lastRenderedPageBreak/>
        <w:t>The world we experience is not a static, independent physical domain waiting to be perceived. It feels solid, continuous, and personally meaningful — a stable stage upon which our lives unfold. Yet how does this coherent external reality arise from the flux of neural activity inside the skull? Traditional models either treat the world as purely objective (independent of mind) or as a mere projection of internal processes. Neither fully accounts for the bidirectional, enactive nature of lived experience: the way our actions reshape the environment, and the way the environment in turn reshapes our minds.</w:t>
      </w:r>
    </w:p>
    <w:p w14:paraId="08A75C90"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Reality Interface Theory (RIT) addresses this foundational gap by proposing that the experienced external world is an active, co-created interface field generated through continuous coupling between internal cognitive-affective streams and environmental affordances. When internal integration (perception, intention, emotion, memory, anticipation, and narrative) reaches sufficient coherence and loops with the physical world through perception-action cycles, a higher-order reality interface field emerges. This field produces the stable, lawful, and personally meaningful external reality we inhabit — the solid ground beneath our feet, the social world we navigate, and the future we anticipate.</w:t>
      </w:r>
    </w:p>
    <w:p w14:paraId="08A75C91"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RIT treats reality not as something we passively observe or invent, but as something we co-create in real time. It explains why the world feels consistent and continuous for most people, why it can shatter or transform in trauma or altered states, and how deliberate action can reshape both self and environment. By positioning the reality interface as the final integrative layer, RIT completes the scientific account of how the mind and world mutually construct the lived universe.</w:t>
      </w:r>
    </w:p>
    <w:p w14:paraId="08A75C92"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b/>
          <w:bCs/>
        </w:rPr>
        <w:t>2.0 Core Mechanism</w:t>
      </w:r>
    </w:p>
    <w:p w14:paraId="08A75C93"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 xml:space="preserve">At the heart of RIT lies the Reality Interface Field — a higher-order emergent structure that arises when internal integration streams couple with environmental affordances through </w:t>
      </w:r>
      <w:r w:rsidRPr="00B90524">
        <w:rPr>
          <w:rFonts w:ascii="Aptos" w:hAnsi="Aptos"/>
        </w:rPr>
        <w:lastRenderedPageBreak/>
        <w:t>recursive perception-action loops. This field is not a passive representation or a pure projection; it is a dynamic, bidirectional interface that stabilizes the experienced world while remaining open to transformation.</w:t>
      </w:r>
    </w:p>
    <w:p w14:paraId="08A75C94"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The core components are:</w:t>
      </w:r>
    </w:p>
    <w:p w14:paraId="08A75C95"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 xml:space="preserve">• </w:t>
      </w:r>
      <w:r w:rsidRPr="00B90524">
        <w:rPr>
          <w:rFonts w:ascii="Aptos" w:hAnsi="Aptos"/>
          <w:b/>
          <w:bCs/>
        </w:rPr>
        <w:t>Integration Streams</w:t>
      </w:r>
      <w:r w:rsidRPr="00B90524">
        <w:rPr>
          <w:rFonts w:ascii="Aptos" w:hAnsi="Aptos"/>
        </w:rPr>
        <w:t>: Internal channels of perception, intention, emotion, memory, anticipation, and narrative.</w:t>
      </w:r>
    </w:p>
    <w:p w14:paraId="08A75C96"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 xml:space="preserve">• </w:t>
      </w:r>
      <w:r w:rsidRPr="00B90524">
        <w:rPr>
          <w:rFonts w:ascii="Aptos" w:hAnsi="Aptos"/>
          <w:b/>
          <w:bCs/>
        </w:rPr>
        <w:t>Environmental Affordances</w:t>
      </w:r>
      <w:r w:rsidRPr="00B90524">
        <w:rPr>
          <w:rFonts w:ascii="Aptos" w:hAnsi="Aptos"/>
        </w:rPr>
        <w:t>: Opportunities for action and feedback offered by the physical and social world.</w:t>
      </w:r>
    </w:p>
    <w:p w14:paraId="08A75C97"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 xml:space="preserve">• </w:t>
      </w:r>
      <w:r w:rsidRPr="00B90524">
        <w:rPr>
          <w:rFonts w:ascii="Aptos" w:hAnsi="Aptos"/>
          <w:b/>
          <w:bCs/>
        </w:rPr>
        <w:t>Coupling Threshold</w:t>
      </w:r>
      <w:r w:rsidRPr="00B90524">
        <w:rPr>
          <w:rFonts w:ascii="Aptos" w:hAnsi="Aptos"/>
        </w:rPr>
        <w:t>: The minimum level of synchronization and reciprocal influence required for the interface field to stabilize.</w:t>
      </w:r>
    </w:p>
    <w:p w14:paraId="08A75C98"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 xml:space="preserve">• </w:t>
      </w:r>
      <w:r w:rsidRPr="00B90524">
        <w:rPr>
          <w:rFonts w:ascii="Aptos" w:hAnsi="Aptos"/>
          <w:b/>
          <w:bCs/>
        </w:rPr>
        <w:t>Interface Amplification Loop</w:t>
      </w:r>
      <w:r w:rsidRPr="00B90524">
        <w:rPr>
          <w:rFonts w:ascii="Aptos" w:hAnsi="Aptos"/>
        </w:rPr>
        <w:t>: Once the threshold is crossed, a positive feedback cycle amplifies and sustains the co-created reality, making the world feel solid, lawful, and personally meaningful.</w:t>
      </w:r>
    </w:p>
    <w:p w14:paraId="08A75C99"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 xml:space="preserve">• </w:t>
      </w:r>
      <w:r w:rsidRPr="00B90524">
        <w:rPr>
          <w:rFonts w:ascii="Aptos" w:hAnsi="Aptos"/>
          <w:b/>
          <w:bCs/>
        </w:rPr>
        <w:t>Interface Plasticity</w:t>
      </w:r>
      <w:r w:rsidRPr="00B90524">
        <w:rPr>
          <w:rFonts w:ascii="Aptos" w:hAnsi="Aptos"/>
        </w:rPr>
        <w:t>: The field remains open to reshaping through new actions, emotional shifts, or environmental changes.</w:t>
      </w:r>
    </w:p>
    <w:p w14:paraId="08A75C9A"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When internal streams and environmental affordances couple at the threshold, the reality interface field emerges, transforming raw physical input and internal computation into a stable, lived world.</w:t>
      </w:r>
    </w:p>
    <w:p w14:paraId="08A75C9B"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b/>
          <w:bCs/>
        </w:rPr>
        <w:t>3.0 Internal Processing Dynamics</w:t>
      </w:r>
    </w:p>
    <w:p w14:paraId="08A75C9C"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RIT unfolds through four recursive phases that govern the emergence, stabilization, modulation, and transformation of the reality interface field.</w:t>
      </w:r>
    </w:p>
    <w:p w14:paraId="08A75C9D"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b/>
          <w:bCs/>
        </w:rPr>
        <w:t>3.1 Stream-Affordance Coupling</w:t>
      </w:r>
    </w:p>
    <w:p w14:paraId="08A75C9E"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lastRenderedPageBreak/>
        <w:t>Internal integration streams (perception, intention, emotion, memory, anticipation, narrative) begin to align with environmental affordances. Reciprocal loops form as actions probe the world and the world feeds back sensory and social consequences.</w:t>
      </w:r>
    </w:p>
    <w:p w14:paraId="08A75C9F"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b/>
          <w:bCs/>
        </w:rPr>
        <w:t>3.2 Threshold Crossing</w:t>
      </w:r>
    </w:p>
    <w:p w14:paraId="08A75CA0"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When coupling and reciprocal influence surpass the interface threshold, the reality interface field ignites. This crossing produces a sudden stabilization in which the external world feels solid, continuous, and personally meaningful.</w:t>
      </w:r>
    </w:p>
    <w:p w14:paraId="08A75CA1"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b/>
          <w:bCs/>
        </w:rPr>
        <w:t>3.3 Interface Amplification and Dynamic Stabilization</w:t>
      </w:r>
    </w:p>
    <w:p w14:paraId="08A75CA2"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 xml:space="preserve">Once ignited, the field enters a self-reinforcing loop. Emotional valence, intentional direction, and narrative coherence all feed back into the interface, modulating its stability, emotional tone, and perceived solidity moment to moment. The world feels increasingly </w:t>
      </w:r>
      <w:r w:rsidRPr="00B90524">
        <w:rPr>
          <w:rFonts w:ascii="Aptos" w:hAnsi="Aptos"/>
          <w:rtl/>
          <w:lang w:val="ar-SA"/>
        </w:rPr>
        <w:t>“</w:t>
      </w:r>
      <w:r w:rsidRPr="00B90524">
        <w:rPr>
          <w:rFonts w:ascii="Aptos" w:hAnsi="Aptos"/>
        </w:rPr>
        <w:t>real” and lawful.</w:t>
      </w:r>
    </w:p>
    <w:p w14:paraId="08A75CA3"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b/>
          <w:bCs/>
        </w:rPr>
        <w:t>3.4 Interface Transformation and Reconfiguration</w:t>
      </w:r>
    </w:p>
    <w:p w14:paraId="08A75CA4"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When coupling weakens (trauma, major life change, altered states, or deliberate practice), the interface field can destabilize or reconfigure. New actions, emotional shifts, or environmental changes trigger revision loops that reshape the experienced reality itself.</w:t>
      </w:r>
    </w:p>
    <w:p w14:paraId="08A75CA5"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b/>
          <w:bCs/>
        </w:rPr>
        <w:t>4.0 Applications and Predictions</w:t>
      </w:r>
    </w:p>
    <w:p w14:paraId="08A75CA6"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RIT generates rich, testable predictions across consciousness science, behavioral ecology, virtual reality, and clinical domains.</w:t>
      </w:r>
    </w:p>
    <w:p w14:paraId="08A75CA7"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b/>
          <w:bCs/>
        </w:rPr>
        <w:t>4.1 Neural Correlates of Interface Stabilization</w:t>
      </w:r>
    </w:p>
    <w:p w14:paraId="08A75CA8"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lastRenderedPageBreak/>
        <w:t>Prediction: The transition from unstable to stable experienced reality will be marked by sudden increases in global integration between sensory, motor, prefrontal, and default-mode networks.</w:t>
      </w:r>
    </w:p>
    <w:p w14:paraId="08A75CA9"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b/>
          <w:bCs/>
        </w:rPr>
        <w:t>4.2 Action-Driven Reality Reshaping</w:t>
      </w:r>
    </w:p>
    <w:p w14:paraId="08A75CAA"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Prediction: Deliberate, repeated actions that alter environmental affordances will produce measurable changes in perceived reality stability, visible in fMRI connectivity and behavioral persistence measures.</w:t>
      </w:r>
    </w:p>
    <w:p w14:paraId="08A75CAB"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b/>
          <w:bCs/>
        </w:rPr>
        <w:t>4.3 Dissolution in Altered and Pathological States</w:t>
      </w:r>
    </w:p>
    <w:p w14:paraId="08A75CAC"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Prediction: Anesthesia, severe dissociation, or profound trauma will drop coupling below threshold, producing measurable collapses in global integration and subjective reports of unreality or derealization.</w:t>
      </w:r>
    </w:p>
    <w:p w14:paraId="08A75CAD"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b/>
          <w:bCs/>
          <w:lang w:val="fr-FR"/>
        </w:rPr>
        <w:t xml:space="preserve">4.4 </w:t>
      </w:r>
      <w:proofErr w:type="spellStart"/>
      <w:r w:rsidRPr="00B90524">
        <w:rPr>
          <w:rFonts w:ascii="Aptos" w:hAnsi="Aptos"/>
          <w:b/>
          <w:bCs/>
          <w:lang w:val="fr-FR"/>
        </w:rPr>
        <w:t>Therapeutic</w:t>
      </w:r>
      <w:proofErr w:type="spellEnd"/>
      <w:r w:rsidRPr="00B90524">
        <w:rPr>
          <w:rFonts w:ascii="Aptos" w:hAnsi="Aptos"/>
          <w:b/>
          <w:bCs/>
          <w:lang w:val="fr-FR"/>
        </w:rPr>
        <w:t xml:space="preserve"> Interface Reconstruction</w:t>
      </w:r>
    </w:p>
    <w:p w14:paraId="08A75CAE"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Prediction: Interventions that strengthen perception-action coupling (exposure therapy, VR-based re-enactment, or mindfulness in natural environments) will restore interface stability and reduce derealization symptoms.</w:t>
      </w:r>
    </w:p>
    <w:p w14:paraId="08A75CAF"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b/>
          <w:bCs/>
        </w:rPr>
        <w:t>4.5 Virtual Reality as Interface Probe</w:t>
      </w:r>
    </w:p>
    <w:p w14:paraId="08A75CB0"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Prediction: In immersive VR environments, manipulating affordance coupling will produce predictable shifts in the felt reality of the virtual world, measurable through presence scales and physiological markers.</w:t>
      </w:r>
    </w:p>
    <w:p w14:paraId="08A75CB1"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These predictions are directly evaluable through fMRI connectivity, EEG synchrony, behavioral ecology tasks, virtual reality experiments, and clinical outcome tracking.</w:t>
      </w:r>
    </w:p>
    <w:p w14:paraId="08A75CB2"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b/>
          <w:bCs/>
        </w:rPr>
        <w:t>5.0 Limitations and Future Work</w:t>
      </w:r>
    </w:p>
    <w:p w14:paraId="08A75CB3"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lastRenderedPageBreak/>
        <w:t>RIT is currently conceptual and integrative. The reality interface field requires further operationalization for precise measurement. The model assumes coupling thresholds operate similarly across individuals and does not yet fully address cultural, technological, or ecological variations in how reality is co-created.</w:t>
      </w:r>
    </w:p>
    <w:p w14:paraId="08A75CB4"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Future directions include:</w:t>
      </w:r>
    </w:p>
    <w:p w14:paraId="08A75CB5"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 Developing computational simulations of interface coupling dynamics and threshold crossing.</w:t>
      </w:r>
    </w:p>
    <w:p w14:paraId="08A75CB6"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 High-density neuroimaging studies mapping the emergence of the reality interface in real time.</w:t>
      </w:r>
    </w:p>
    <w:p w14:paraId="08A75CB7"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 Clinical trials testing interface-strengthening interventions for derealization, trauma, and dissociative disorders.</w:t>
      </w:r>
    </w:p>
    <w:p w14:paraId="08A75CB8"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 Virtual reality and ecological studies exploring how technology and environment reshape the experienced world.</w:t>
      </w:r>
    </w:p>
    <w:p w14:paraId="08A75CB9"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b/>
          <w:bCs/>
        </w:rPr>
        <w:t>6.0 Final Synthesis</w:t>
      </w:r>
    </w:p>
    <w:p w14:paraId="08A75CBA"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Reality Interface Theory offers a coherent, mechanistically precise account of how the experienced external world emerges as a dynamic, co-created interface between internal cognitive-affective processes and environmental affordances. By centering reality on the Reality Interface Field and its recursive coupling dynamics, RIT explains not only why the world feels solid and continuous but also how it can be reshaped through action, disrupted by trauma, or deliberately reconstructed.</w:t>
      </w:r>
    </w:p>
    <w:p w14:paraId="08A75CBB"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 xml:space="preserve">The framework provides an integrated account of how the mind and world mutually construct the lived universe we inhabit. The inclusion of clear coupling streams, interface thresholds, and directly testable predictions positions RIT as a practical and falsifiable </w:t>
      </w:r>
      <w:r w:rsidRPr="00B90524">
        <w:rPr>
          <w:rFonts w:ascii="Aptos" w:hAnsi="Aptos"/>
        </w:rPr>
        <w:lastRenderedPageBreak/>
        <w:t>lens for understanding the ultimate relationship between consciousness and the physical world. RIT stands ready for experimental validation, clinical application, and interdisciplinary extension.</w:t>
      </w:r>
    </w:p>
    <w:p w14:paraId="08A75CBC"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proofErr w:type="spellStart"/>
      <w:r w:rsidRPr="00B90524">
        <w:rPr>
          <w:rFonts w:ascii="Aptos" w:hAnsi="Aptos"/>
          <w:b/>
          <w:bCs/>
          <w:lang w:val="fr-FR"/>
        </w:rPr>
        <w:t>References</w:t>
      </w:r>
      <w:proofErr w:type="spellEnd"/>
    </w:p>
    <w:p w14:paraId="08A75CBD"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 xml:space="preserve">Brisart, J. (2025). The Brisart Format: A Standardized Template for Theoretical, Conceptual, and Methodological Manuscripts (Version v2). </w:t>
      </w:r>
      <w:proofErr w:type="spellStart"/>
      <w:r w:rsidRPr="00B90524">
        <w:rPr>
          <w:rFonts w:ascii="Aptos" w:hAnsi="Aptos"/>
        </w:rPr>
        <w:t>Zenodo</w:t>
      </w:r>
      <w:proofErr w:type="spellEnd"/>
      <w:r w:rsidRPr="00B90524">
        <w:rPr>
          <w:rFonts w:ascii="Aptos" w:hAnsi="Aptos"/>
        </w:rPr>
        <w:t xml:space="preserve">. </w:t>
      </w:r>
      <w:hyperlink r:id="rId11" w:history="1">
        <w:r w:rsidR="00944925" w:rsidRPr="00B90524">
          <w:rPr>
            <w:rStyle w:val="Hyperlink0"/>
            <w:rFonts w:ascii="Aptos" w:hAnsi="Aptos"/>
          </w:rPr>
          <w:t>https://doi.org/10.5281/zenodo.15725824</w:t>
        </w:r>
      </w:hyperlink>
    </w:p>
    <w:p w14:paraId="08A75CBE"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 xml:space="preserve">Clark, A. (2016). </w:t>
      </w:r>
      <w:r w:rsidRPr="00B90524">
        <w:rPr>
          <w:rFonts w:ascii="Aptos" w:hAnsi="Aptos"/>
          <w:i/>
          <w:iCs/>
        </w:rPr>
        <w:t>Surfing uncertainty: Prediction, action, and the embodied mind</w:t>
      </w:r>
      <w:r w:rsidRPr="00B90524">
        <w:rPr>
          <w:rFonts w:ascii="Aptos" w:hAnsi="Aptos"/>
        </w:rPr>
        <w:t>. Oxford University Press.</w:t>
      </w:r>
    </w:p>
    <w:p w14:paraId="08A75CBF"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lang w:val="it-IT"/>
        </w:rPr>
        <w:t xml:space="preserve">Di Paolo, E. A., Buhrmann, T., &amp; Barandiaran, X. E. (2017). </w:t>
      </w:r>
      <w:r w:rsidRPr="00B90524">
        <w:rPr>
          <w:rFonts w:ascii="Aptos" w:hAnsi="Aptos"/>
          <w:i/>
          <w:iCs/>
        </w:rPr>
        <w:t>Sensorimotor life: An enactive proposal</w:t>
      </w:r>
      <w:r w:rsidRPr="00B90524">
        <w:rPr>
          <w:rFonts w:ascii="Aptos" w:hAnsi="Aptos"/>
        </w:rPr>
        <w:t>. Oxford University Press.</w:t>
      </w:r>
    </w:p>
    <w:p w14:paraId="08A75CC0"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 xml:space="preserve">Friston, K. (2010). The free-energy principle: A unified brain theory? </w:t>
      </w:r>
      <w:r w:rsidRPr="00B90524">
        <w:rPr>
          <w:rFonts w:ascii="Aptos" w:hAnsi="Aptos"/>
          <w:i/>
          <w:iCs/>
        </w:rPr>
        <w:t>Nature Reviews Neuroscience</w:t>
      </w:r>
      <w:r w:rsidRPr="00B90524">
        <w:rPr>
          <w:rFonts w:ascii="Aptos" w:hAnsi="Aptos"/>
        </w:rPr>
        <w:t xml:space="preserve">, 11(2), 127–138. </w:t>
      </w:r>
      <w:hyperlink r:id="rId12" w:history="1">
        <w:r w:rsidR="00944925" w:rsidRPr="00B90524">
          <w:rPr>
            <w:rStyle w:val="Hyperlink0"/>
            <w:rFonts w:ascii="Aptos" w:hAnsi="Aptos"/>
          </w:rPr>
          <w:t>https://doi.org/10.1038/nrn2787</w:t>
        </w:r>
      </w:hyperlink>
    </w:p>
    <w:p w14:paraId="08A75CC1"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 xml:space="preserve">Gallagher, S. (2017). </w:t>
      </w:r>
      <w:proofErr w:type="spellStart"/>
      <w:r w:rsidRPr="00B90524">
        <w:rPr>
          <w:rFonts w:ascii="Aptos" w:hAnsi="Aptos"/>
          <w:i/>
          <w:iCs/>
        </w:rPr>
        <w:t>Enactivist</w:t>
      </w:r>
      <w:proofErr w:type="spellEnd"/>
      <w:r w:rsidRPr="00B90524">
        <w:rPr>
          <w:rFonts w:ascii="Aptos" w:hAnsi="Aptos"/>
          <w:i/>
          <w:iCs/>
        </w:rPr>
        <w:t xml:space="preserve"> interventions: Rethinking the mind</w:t>
      </w:r>
      <w:r w:rsidRPr="00B90524">
        <w:rPr>
          <w:rFonts w:ascii="Aptos" w:hAnsi="Aptos"/>
        </w:rPr>
        <w:t>. Oxford University Press.</w:t>
      </w:r>
    </w:p>
    <w:p w14:paraId="08A75CC2"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 xml:space="preserve">Maturana, H. R., &amp; Varela, F. J. (1987). </w:t>
      </w:r>
      <w:r w:rsidRPr="00B90524">
        <w:rPr>
          <w:rFonts w:ascii="Aptos" w:hAnsi="Aptos"/>
          <w:i/>
          <w:iCs/>
        </w:rPr>
        <w:t>The tree of knowledge: The biological roots of human understanding</w:t>
      </w:r>
      <w:r w:rsidRPr="00B90524">
        <w:rPr>
          <w:rFonts w:ascii="Aptos" w:hAnsi="Aptos"/>
          <w:lang w:val="de-DE"/>
        </w:rPr>
        <w:t>. Shambhala.</w:t>
      </w:r>
    </w:p>
    <w:p w14:paraId="08A75CC3"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No</w:t>
      </w:r>
      <w:r w:rsidRPr="00B90524">
        <w:rPr>
          <w:rFonts w:ascii="Aptos" w:hAnsi="Aptos"/>
          <w:lang w:val="nl-NL"/>
        </w:rPr>
        <w:t>ë</w:t>
      </w:r>
      <w:r w:rsidRPr="00B90524">
        <w:rPr>
          <w:rFonts w:ascii="Aptos" w:hAnsi="Aptos"/>
        </w:rPr>
        <w:t xml:space="preserve">, A. (2004). </w:t>
      </w:r>
      <w:r w:rsidRPr="00B90524">
        <w:rPr>
          <w:rFonts w:ascii="Aptos" w:hAnsi="Aptos"/>
          <w:i/>
          <w:iCs/>
        </w:rPr>
        <w:t>Action in perception</w:t>
      </w:r>
      <w:r w:rsidRPr="00B90524">
        <w:rPr>
          <w:rFonts w:ascii="Aptos" w:hAnsi="Aptos"/>
          <w:lang w:val="pt-PT"/>
        </w:rPr>
        <w:t>. MIT Press.</w:t>
      </w:r>
    </w:p>
    <w:p w14:paraId="08A75CC4"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 xml:space="preserve">Thompson, E. (2007). </w:t>
      </w:r>
      <w:r w:rsidRPr="00B90524">
        <w:rPr>
          <w:rFonts w:ascii="Aptos" w:hAnsi="Aptos"/>
          <w:i/>
          <w:iCs/>
        </w:rPr>
        <w:t>Mind in life: Biology, phenomenology, and the sciences of mind</w:t>
      </w:r>
      <w:r w:rsidRPr="00B90524">
        <w:rPr>
          <w:rFonts w:ascii="Aptos" w:hAnsi="Aptos"/>
        </w:rPr>
        <w:t>. Harvard University Press.</w:t>
      </w:r>
    </w:p>
    <w:p w14:paraId="08A75CC5"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hAnsi="Aptos"/>
        </w:rPr>
      </w:pPr>
      <w:r w:rsidRPr="00B90524">
        <w:rPr>
          <w:rFonts w:ascii="Aptos" w:hAnsi="Aptos"/>
          <w:lang w:val="it-IT"/>
        </w:rPr>
        <w:t xml:space="preserve">Varela, F. J., Thompson, E., &amp; Rosch, E. (1991). </w:t>
      </w:r>
      <w:r w:rsidRPr="00B90524">
        <w:rPr>
          <w:rFonts w:ascii="Aptos" w:hAnsi="Aptos"/>
          <w:i/>
          <w:iCs/>
        </w:rPr>
        <w:t>The embodied mind: Cognitive science and human experience</w:t>
      </w:r>
      <w:r w:rsidRPr="00B90524">
        <w:rPr>
          <w:rFonts w:ascii="Aptos" w:hAnsi="Aptos"/>
          <w:lang w:val="pt-PT"/>
        </w:rPr>
        <w:t xml:space="preserve">. MIT Press. </w:t>
      </w:r>
      <w:hyperlink r:id="rId13" w:history="1">
        <w:r w:rsidR="00944925" w:rsidRPr="00B90524">
          <w:rPr>
            <w:rStyle w:val="Hyperlink0"/>
            <w:rFonts w:ascii="Aptos" w:hAnsi="Aptos"/>
          </w:rPr>
          <w:t>https://doi.org/10.7551/mitpress/6730.001.0001</w:t>
        </w:r>
      </w:hyperlink>
    </w:p>
    <w:sectPr w:rsidR="00944925" w:rsidRPr="00B90524">
      <w:headerReference w:type="default" r:id="rId14"/>
      <w:footerReference w:type="default" r:id="rId15"/>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009E2" w14:textId="77777777" w:rsidR="00F728BF" w:rsidRDefault="00F728BF">
      <w:r>
        <w:separator/>
      </w:r>
    </w:p>
  </w:endnote>
  <w:endnote w:type="continuationSeparator" w:id="0">
    <w:p w14:paraId="7EDCBA8E" w14:textId="77777777" w:rsidR="00F728BF" w:rsidRDefault="00F728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75CC7" w14:textId="77777777" w:rsidR="00944925" w:rsidRDefault="0094492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F339E" w14:textId="77777777" w:rsidR="00F728BF" w:rsidRDefault="00F728BF">
      <w:r>
        <w:separator/>
      </w:r>
    </w:p>
  </w:footnote>
  <w:footnote w:type="continuationSeparator" w:id="0">
    <w:p w14:paraId="4EAAF0E0" w14:textId="77777777" w:rsidR="00F728BF" w:rsidRDefault="00F728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75CC6" w14:textId="77777777" w:rsidR="00944925" w:rsidRDefault="0094492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925"/>
    <w:rsid w:val="0011153E"/>
    <w:rsid w:val="007641B5"/>
    <w:rsid w:val="00944925"/>
    <w:rsid w:val="00B27149"/>
    <w:rsid w:val="00B90524"/>
    <w:rsid w:val="00CD007B"/>
    <w:rsid w:val="00F728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75C84"/>
  <w15:docId w15:val="{6808C991-B9DC-46D8-9882-2259DFF49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Hyperlink0">
    <w:name w:val="Hyperlink.0"/>
    <w:basedOn w:val="Hyperlink"/>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i.org/10.7551/mitpress/6730.001.0001" TargetMode="Externa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yperlink" Target="https://doi.org/10.1038/nrn2787"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i.org/10.5281/zenodo.15725824"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http://www.brisartresearcharchive.com" TargetMode="External"/><Relationship Id="rId4" Type="http://schemas.openxmlformats.org/officeDocument/2006/relationships/styles" Target="styles.xml"/><Relationship Id="rId9" Type="http://schemas.openxmlformats.org/officeDocument/2006/relationships/hyperlink" Target="mailto:jason@brisartresearcharchive.com" TargetMode="External"/><Relationship Id="rId14" Type="http://schemas.openxmlformats.org/officeDocument/2006/relationships/header" Target="header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e5264cd-2933-4f1d-9ccf-564f0c8f34c0" xsi:nil="true"/>
    <lcf76f155ced4ddcb4097134ff3c332f xmlns="40915466-697b-4597-97a8-8ce3ba18083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A19EDAD6CC8A44BADBF5390A7549DBA" ma:contentTypeVersion="11" ma:contentTypeDescription="Create a new document." ma:contentTypeScope="" ma:versionID="ab6f55c28e73582c465e71dd7b1e612b">
  <xsd:schema xmlns:xsd="http://www.w3.org/2001/XMLSchema" xmlns:xs="http://www.w3.org/2001/XMLSchema" xmlns:p="http://schemas.microsoft.com/office/2006/metadata/properties" xmlns:ns2="40915466-697b-4597-97a8-8ce3ba18083c" xmlns:ns3="ce5264cd-2933-4f1d-9ccf-564f0c8f34c0" targetNamespace="http://schemas.microsoft.com/office/2006/metadata/properties" ma:root="true" ma:fieldsID="9843b965ebdc657e2ca15c09c806933b" ns2:_="" ns3:_="">
    <xsd:import namespace="40915466-697b-4597-97a8-8ce3ba18083c"/>
    <xsd:import namespace="ce5264cd-2933-4f1d-9ccf-564f0c8f34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915466-697b-4597-97a8-8ce3ba1808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de88d5-d8e1-4db5-b2e0-2f2e38be31f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e5264cd-2933-4f1d-9ccf-564f0c8f34c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9862f93-8d66-448f-9c6f-a9e8d49d7fc9}" ma:internalName="TaxCatchAll" ma:showField="CatchAllData" ma:web="ce5264cd-2933-4f1d-9ccf-564f0c8f34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0FF44D-E535-428F-B5EC-0165B239CDBE}">
  <ds:schemaRefs>
    <ds:schemaRef ds:uri="http://schemas.microsoft.com/office/2006/metadata/properties"/>
    <ds:schemaRef ds:uri="http://schemas.microsoft.com/office/infopath/2007/PartnerControls"/>
    <ds:schemaRef ds:uri="ce5264cd-2933-4f1d-9ccf-564f0c8f34c0"/>
    <ds:schemaRef ds:uri="40915466-697b-4597-97a8-8ce3ba18083c"/>
  </ds:schemaRefs>
</ds:datastoreItem>
</file>

<file path=customXml/itemProps2.xml><?xml version="1.0" encoding="utf-8"?>
<ds:datastoreItem xmlns:ds="http://schemas.openxmlformats.org/officeDocument/2006/customXml" ds:itemID="{3F99D6BF-3E19-4688-B337-5DF24CED05AE}">
  <ds:schemaRefs>
    <ds:schemaRef ds:uri="http://schemas.microsoft.com/sharepoint/v3/contenttype/forms"/>
  </ds:schemaRefs>
</ds:datastoreItem>
</file>

<file path=customXml/itemProps3.xml><?xml version="1.0" encoding="utf-8"?>
<ds:datastoreItem xmlns:ds="http://schemas.openxmlformats.org/officeDocument/2006/customXml" ds:itemID="{A85B272A-CFF6-4859-9A82-0CFB330A50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915466-697b-4597-97a8-8ce3ba18083c"/>
    <ds:schemaRef ds:uri="ce5264cd-2933-4f1d-9ccf-564f0c8f34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1581</Words>
  <Characters>9013</Characters>
  <Application>Microsoft Office Word</Application>
  <DocSecurity>0</DocSecurity>
  <Lines>75</Lines>
  <Paragraphs>21</Paragraphs>
  <ScaleCrop>false</ScaleCrop>
  <Company/>
  <LinksUpToDate>false</LinksUpToDate>
  <CharactersWithSpaces>10573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Jason Brisart</cp:lastModifiedBy>
  <cp:revision>3</cp:revision>
  <dcterms:created xsi:type="dcterms:W3CDTF">2026-06-22T00:02:00Z</dcterms:created>
  <dcterms:modified xsi:type="dcterms:W3CDTF">2026-09-17T19:27:00Z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0x010100CA19EDAD6CC8A44BADBF5390A7549DBA</vt:lpwstr>
  </property>
</Properties>
</file>