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BD198"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Developmental Resonance Trajectory (DRT): A Lifespan Model of Resonance Maturation and Self-Organization</w:t>
      </w:r>
    </w:p>
    <w:p w14:paraId="6BCBD199"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Jason Brisart</w:t>
      </w:r>
    </w:p>
    <w:p w14:paraId="6BCBD19A"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Independent Researcher</w:t>
      </w:r>
    </w:p>
    <w:p w14:paraId="6BCBD19B" w14:textId="77777777" w:rsidR="00344DB5" w:rsidRPr="002E75AF" w:rsidRDefault="00344DB5">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9" w:history="1">
        <w:r w:rsidRPr="002E75AF">
          <w:rPr>
            <w:rStyle w:val="Hyperlink0"/>
            <w:rFonts w:ascii="Aptos" w:hAnsi="Aptos"/>
          </w:rPr>
          <w:t>jason@brisartresearcharchive.com</w:t>
        </w:r>
      </w:hyperlink>
    </w:p>
    <w:p w14:paraId="6BCBD19C" w14:textId="77777777" w:rsidR="00344DB5" w:rsidRPr="002E75AF" w:rsidRDefault="00344DB5">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10" w:history="1">
        <w:r w:rsidRPr="002E75AF">
          <w:rPr>
            <w:rStyle w:val="Hyperlink0"/>
            <w:rFonts w:ascii="Aptos" w:hAnsi="Aptos"/>
          </w:rPr>
          <w:t>www.brisartresearcharchive.com</w:t>
        </w:r>
      </w:hyperlink>
    </w:p>
    <w:p w14:paraId="6BCBD19E"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Abstract</w:t>
      </w:r>
    </w:p>
    <w:p w14:paraId="6BCBD19F"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Developmental Resonance Trajectory (DRT) proposes that the human cognitive system self-organizes across the entire lifespan through progressive maturation of vibrational resonance capacities. Rather than treating development as a sequence of domain-specific milestones or fixed stages, DRT models it as a single, continuous trajectory in which resonance thresholds, entrainment efficiency, and cross-stream coherence gradually expand and stabilize. Central to the framework is the Developmental Resonance Engine (DRE), a distributed neurodynamic system that continuously recalibrates frequency alignment, affective gating, and generative-model integration as the brain and body mature. DRT explains core phenomena such as the emergence of coherent perception in infancy, narrative self-formation in childhood, creative flexibility in adolescence, adaptive stabilization in adulthood, and graceful coherence maintenance in later life, while generating clear, testable predictions for longitudinal EEG, behavioral synchrony, and lifespan neuroimaging studies. The model offers a precise, falsifiable account of how vibration and intention scale from early sensory entrainment to lifelong adaptive coherence.</w:t>
      </w:r>
    </w:p>
    <w:p w14:paraId="6BCBD1A0"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lang w:val="fr-FR"/>
        </w:rPr>
        <w:t>1.0 Introduction</w:t>
      </w:r>
    </w:p>
    <w:p w14:paraId="6BCBD1A1"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lastRenderedPageBreak/>
        <w:t>Human cognition changes dramatically from infancy to old age, yet most theories describe development as a patchwork of separate abilities rather than a unified, self-organizing process. Developmental Resonance Trajectory (DRT) addresses this gap by proposing that the entire cognitive system matures through the progressive expansion and refinement of vibrational resonance mechanisms.</w:t>
      </w:r>
    </w:p>
    <w:p w14:paraId="6BCBD1A2"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This framework treats development not as the addition of new modules but as the continuous tuning of a single resonant architecture. When resonance capacities mature smoothly, the individual experiences increasing coherence, agency, and adaptability; when maturation is disrupted, fragmentation or rigidity can occur. DRT provides a unified, empirically grounded account of how vibration and symbolic intention scale across the entire human lifespan.</w:t>
      </w:r>
    </w:p>
    <w:p w14:paraId="6BCBD1A3"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2.0 Core Mechanism</w:t>
      </w:r>
    </w:p>
    <w:p w14:paraId="6BCBD1A4"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At the heart of DRT is the Developmental Resonance Engine (DRE), a distributed neurodynamic system (spanning thalamocortical loops, prefrontal networks, and limbic structures) that continuously recalibrates resonance thresholds, entrainment efficiency, and cross-stream coherence as the organism ages.</w:t>
      </w:r>
    </w:p>
    <w:p w14:paraId="6BCBD1A5"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The core components are:</w:t>
      </w:r>
    </w:p>
    <w:p w14:paraId="6BCBD1A6"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 </w:t>
      </w:r>
      <w:r w:rsidRPr="002E75AF">
        <w:rPr>
          <w:rFonts w:ascii="Aptos" w:hAnsi="Aptos"/>
          <w:b/>
          <w:bCs/>
        </w:rPr>
        <w:t>Maturing Streams</w:t>
      </w:r>
      <w:r w:rsidRPr="002E75AF">
        <w:rPr>
          <w:rFonts w:ascii="Aptos" w:hAnsi="Aptos"/>
        </w:rPr>
        <w:t>: Parallel channels of perception, emotion, intention, memory, and narrative that evolve in characteristic frequency bands across life stages.</w:t>
      </w:r>
    </w:p>
    <w:p w14:paraId="6BCBD1A7"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 </w:t>
      </w:r>
      <w:r w:rsidRPr="002E75AF">
        <w:rPr>
          <w:rFonts w:ascii="Aptos" w:hAnsi="Aptos"/>
          <w:b/>
          <w:bCs/>
        </w:rPr>
        <w:t>Threshold Calibration</w:t>
      </w:r>
      <w:r w:rsidRPr="002E75AF">
        <w:rPr>
          <w:rFonts w:ascii="Aptos" w:hAnsi="Aptos"/>
        </w:rPr>
        <w:t>: Dynamic adjustment of coherence thresholds based on neural maturation, experience, and environmental demands.</w:t>
      </w:r>
    </w:p>
    <w:p w14:paraId="6BCBD1A8"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 </w:t>
      </w:r>
      <w:r w:rsidRPr="002E75AF">
        <w:rPr>
          <w:rFonts w:ascii="Aptos" w:hAnsi="Aptos"/>
          <w:b/>
          <w:bCs/>
        </w:rPr>
        <w:t>Developmental Resonance Engine (DRE)</w:t>
      </w:r>
      <w:r w:rsidRPr="002E75AF">
        <w:rPr>
          <w:rFonts w:ascii="Aptos" w:hAnsi="Aptos"/>
        </w:rPr>
        <w:t>: The emergent hub that detects developmental mismatch and drives corrective alignment.</w:t>
      </w:r>
    </w:p>
    <w:p w14:paraId="6BCBD1A9"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lastRenderedPageBreak/>
        <w:t>The symbolic model of developmental coherence is expressed as:</w:t>
      </w:r>
    </w:p>
    <w:p w14:paraId="6BCBD1AA"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Developmental Coherence (DC) = (Stream Maturation Rate × Entrainment Efficiency × Affective Gating Strength)</w:t>
      </w:r>
    </w:p>
    <w:p w14:paraId="6BCBD1AB"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When DC exceeds a stage-specific threshold, the system advances to a new stable resonant configuration, experienced as expanded cognitive and emotional capacities.</w:t>
      </w:r>
    </w:p>
    <w:p w14:paraId="6BCBD1AC"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3.0 Internal Processing Dynamics</w:t>
      </w:r>
    </w:p>
    <w:p w14:paraId="6BCBD1AD"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DRT operates through a continuous four-phase cycle that unfolds across the entire lifespan.</w:t>
      </w:r>
    </w:p>
    <w:p w14:paraId="6BCBD1AE"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3.1 Stream Emergence and Initial Tuning</w:t>
      </w:r>
    </w:p>
    <w:p w14:paraId="6BCBD1AF"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Early in life, basic sensory and motor streams activate and begin emitting characteristic rhythms; the DRE tunes initial phase relationships to establish foundational coherence.</w:t>
      </w:r>
    </w:p>
    <w:p w14:paraId="6BCBD1B0"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3.2 Threshold Expansion and Mismatch Detection</w:t>
      </w:r>
    </w:p>
    <w:p w14:paraId="6BCBD1B1"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As neural architecture matures, the DRE continuously monitors developmental mismatch (e.g., new environmental demands outpacing current resonance capacity) and raises or lowers coherence thresholds accordingly.</w:t>
      </w:r>
    </w:p>
    <w:p w14:paraId="6BCBD1B2"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3.3 Entrainment Cascade and Reconfiguration</w:t>
      </w:r>
    </w:p>
    <w:p w14:paraId="6BCBD1B3"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The DRE broadcasts corrective signals that force maturing streams into tighter alignment, producing rapid cross-stream locking experienced as qualitative leaps in cognition, emotion, and self-understanding.</w:t>
      </w:r>
    </w:p>
    <w:p w14:paraId="6BCBD1B4"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3.4 Stabilization and Adaptive Maintenance</w:t>
      </w:r>
    </w:p>
    <w:p w14:paraId="6BCBD1B5"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lastRenderedPageBreak/>
        <w:t>Once a new resonant configuration is achieved, the system stabilizes through positive feedback, then monitors for future maturational or environmental perturbations and repeats the cycle, ensuring lifelong adaptive coherence.</w:t>
      </w:r>
    </w:p>
    <w:p w14:paraId="6BCBD1B6"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4.0 Applications and Predictions</w:t>
      </w:r>
    </w:p>
    <w:p w14:paraId="6BCBD1B7"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DRT yields immediately testable predictions suitable for developmental neuroscience, education, and clinical lifespan studies.</w:t>
      </w:r>
    </w:p>
    <w:p w14:paraId="6BCBD1B8"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4.1 Emergence of Coherent Perception and Language</w:t>
      </w:r>
    </w:p>
    <w:p w14:paraId="6BCBD1B9"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Prediction: Infants will show progressive increases in gamma–theta phase-locking during joint attention and proto-conversational episodes; interventions that support rhythmic entrainment will accelerate language and social milestones.</w:t>
      </w:r>
    </w:p>
    <w:p w14:paraId="6BCBD1BA"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4.2 Narrative Self-Formation in Childhood and Adolescence</w:t>
      </w:r>
    </w:p>
    <w:p w14:paraId="6BCBD1BB"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Prediction: Longitudinal EEG will reveal stepwise increases in infra-slow–cortical coupling during life-story tasks; adolescents with higher baseline resonance efficiency will demonstrate greater identity stability and creative flexibility.</w:t>
      </w:r>
    </w:p>
    <w:p w14:paraId="6BCBD1BC"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4.3 Adaptive Stabilization in Adulthood and Aging</w:t>
      </w:r>
    </w:p>
    <w:p w14:paraId="6BCBD1BD"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Prediction: Healthy aging will correlate with maintained or enhanced cross-network phase-locking during complex tasks; targeted resonance-training protocols (e.g., rhythmic movement or narrative reflection) will slow age-related coherence decline.</w:t>
      </w:r>
    </w:p>
    <w:p w14:paraId="6BCBD1BE"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4.4 Clinical Developmental Interventions</w:t>
      </w:r>
    </w:p>
    <w:p w14:paraId="6BCBD1BF"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Prediction: Resonance-based therapies for neurodevelopmental conditions will produce measurable gains in cross-stream entrainment and functional outcomes within 8–</w:t>
      </w:r>
      <w:r w:rsidRPr="002E75AF">
        <w:rPr>
          <w:rFonts w:ascii="Aptos" w:hAnsi="Aptos"/>
          <w:lang w:val="nl-NL"/>
        </w:rPr>
        <w:t>12 weeks.</w:t>
      </w:r>
    </w:p>
    <w:p w14:paraId="6BCBD1C0"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lastRenderedPageBreak/>
        <w:t>These predictions are directly evaluable using longitudinal high-density EEG, wearable synchrony devices, behavioral batteries, and lifespan neuroimaging.</w:t>
      </w:r>
    </w:p>
    <w:p w14:paraId="6BCBD1C1"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5.0 Limitations and Future Work</w:t>
      </w:r>
    </w:p>
    <w:p w14:paraId="6BCBD1C2"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DRT is currently a high-level neurodynamic model. Precise mapping of DRE maturation trajectories across diverse populations and the exact mathematics of lifespan threshold dynamics require further refinement. Cultural and socioeconomic variations in resonance calibration are not yet fully modeled.</w:t>
      </w:r>
    </w:p>
    <w:p w14:paraId="6BCBD1C3"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Future directions include:</w:t>
      </w:r>
    </w:p>
    <w:p w14:paraId="6BCBD1C4"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Large-scale longitudinal multi-modal neuroimaging of resonance maturation.</w:t>
      </w:r>
    </w:p>
    <w:p w14:paraId="6BCBD1C5"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Computational simulations of the DC equation across simulated lifespans.</w:t>
      </w:r>
    </w:p>
    <w:p w14:paraId="6BCBD1C6"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Applied interventions in education, clinical developmental support, and healthy aging programs.</w:t>
      </w:r>
    </w:p>
    <w:p w14:paraId="6BCBD1C7"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rPr>
        <w:t>6.0 Final Synthesis</w:t>
      </w:r>
    </w:p>
    <w:p w14:paraId="6BCBD1C8"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Developmental Resonance Trajectory offers a coherent, mechanistically precise account of how the human cognitive system self-organizes across the entire lifespan through progressive maturation of vibrational resonance capacities. By centering development on the Developmental Resonance Engine and dynamic threshold recalibration, DRT explains not only the emergence of core cognitive abilities but also the maintenance of adaptive coherence into later life.</w:t>
      </w:r>
    </w:p>
    <w:p w14:paraId="6BCBD1C9"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The inclusion of a formal developmental coherence metric, clear entrainment phases, and directly testable predictions positions DRT as a practical and falsifiable lens for understanding how vibration and intention scale from infancy to old age. DRT stands ready </w:t>
      </w:r>
      <w:r w:rsidRPr="002E75AF">
        <w:rPr>
          <w:rFonts w:ascii="Aptos" w:hAnsi="Aptos"/>
        </w:rPr>
        <w:lastRenderedPageBreak/>
        <w:t>for experimental validation and real-world application in developmental science, education, and clinical practice.</w:t>
      </w:r>
    </w:p>
    <w:p w14:paraId="6BCBD1CA"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b/>
          <w:bCs/>
          <w:lang w:val="fr-FR"/>
        </w:rPr>
        <w:t>References</w:t>
      </w:r>
    </w:p>
    <w:p w14:paraId="6BCBD1CB"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Brisart, J. (2025). The Brisart Format: A Standardized Template for Theoretical, Conceptual, and Methodological Manuscripts (Version v2). Zenodo. </w:t>
      </w:r>
      <w:hyperlink r:id="rId11" w:history="1">
        <w:r w:rsidR="00344DB5" w:rsidRPr="002E75AF">
          <w:rPr>
            <w:rStyle w:val="Hyperlink0"/>
            <w:rFonts w:ascii="Aptos" w:hAnsi="Aptos"/>
          </w:rPr>
          <w:t>https://doi.org/10.5281/zenodo.15725824</w:t>
        </w:r>
      </w:hyperlink>
    </w:p>
    <w:p w14:paraId="6BCBD1CC"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Buzsáki, G. (2006). </w:t>
      </w:r>
      <w:r w:rsidRPr="002E75AF">
        <w:rPr>
          <w:rFonts w:ascii="Aptos" w:hAnsi="Aptos"/>
          <w:i/>
          <w:iCs/>
        </w:rPr>
        <w:t>Rhythms of the Brain</w:t>
      </w:r>
      <w:r w:rsidRPr="002E75AF">
        <w:rPr>
          <w:rFonts w:ascii="Aptos" w:hAnsi="Aptos"/>
        </w:rPr>
        <w:t>. Oxford University Press.</w:t>
      </w:r>
    </w:p>
    <w:p w14:paraId="6BCBD1CD"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2E75AF">
        <w:rPr>
          <w:rFonts w:ascii="Aptos" w:hAnsi="Aptos"/>
        </w:rPr>
        <w:t xml:space="preserve">Friston, K. (2010). The free-energy principle: A unified brain theory? </w:t>
      </w:r>
      <w:r w:rsidRPr="002E75AF">
        <w:rPr>
          <w:rFonts w:ascii="Aptos" w:hAnsi="Aptos"/>
          <w:i/>
          <w:iCs/>
        </w:rPr>
        <w:t>Nature Reviews Neuroscience</w:t>
      </w:r>
      <w:r w:rsidRPr="002E75AF">
        <w:rPr>
          <w:rFonts w:ascii="Aptos" w:hAnsi="Aptos"/>
        </w:rPr>
        <w:t xml:space="preserve">, 11(2), 127–138. </w:t>
      </w:r>
      <w:hyperlink r:id="rId12" w:history="1">
        <w:r w:rsidR="00344DB5" w:rsidRPr="002E75AF">
          <w:rPr>
            <w:rStyle w:val="Hyperlink0"/>
            <w:rFonts w:ascii="Aptos" w:hAnsi="Aptos"/>
          </w:rPr>
          <w:t>https://doi.org/10.1038/nrn2787</w:t>
        </w:r>
      </w:hyperlink>
    </w:p>
    <w:p w14:paraId="6BCBD1CE" w14:textId="77777777" w:rsidR="00344DB5" w:rsidRPr="002E75AF"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hAnsi="Aptos"/>
        </w:rPr>
      </w:pPr>
      <w:r w:rsidRPr="002E75AF">
        <w:rPr>
          <w:rFonts w:ascii="Aptos" w:hAnsi="Aptos"/>
        </w:rPr>
        <w:t xml:space="preserve">Lakatos, P., et al. (2008). Entrainment of neuronal oscillations as a mechanism of attentional selection. </w:t>
      </w:r>
      <w:r w:rsidRPr="002E75AF">
        <w:rPr>
          <w:rFonts w:ascii="Aptos" w:hAnsi="Aptos"/>
          <w:i/>
          <w:iCs/>
        </w:rPr>
        <w:t>Science</w:t>
      </w:r>
      <w:r w:rsidRPr="002E75AF">
        <w:rPr>
          <w:rFonts w:ascii="Aptos" w:hAnsi="Aptos"/>
        </w:rPr>
        <w:t xml:space="preserve">, 320(5872), 110–113. </w:t>
      </w:r>
      <w:hyperlink r:id="rId13" w:history="1">
        <w:r w:rsidR="00344DB5" w:rsidRPr="002E75AF">
          <w:rPr>
            <w:rStyle w:val="Hyperlink0"/>
            <w:rFonts w:ascii="Aptos" w:hAnsi="Aptos"/>
          </w:rPr>
          <w:t>https://doi.org/10.1126/science.1154735</w:t>
        </w:r>
      </w:hyperlink>
    </w:p>
    <w:sectPr w:rsidR="00344DB5" w:rsidRPr="002E75AF">
      <w:headerReference w:type="default" r:id="rId14"/>
      <w:footerReference w:type="default" r:id="rId15"/>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3F4A2" w14:textId="77777777" w:rsidR="005122AF" w:rsidRDefault="005122AF">
      <w:r>
        <w:separator/>
      </w:r>
    </w:p>
  </w:endnote>
  <w:endnote w:type="continuationSeparator" w:id="0">
    <w:p w14:paraId="596F14C4" w14:textId="77777777" w:rsidR="005122AF" w:rsidRDefault="005122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BD1D0" w14:textId="77777777" w:rsidR="00344DB5" w:rsidRDefault="00344DB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41656" w14:textId="77777777" w:rsidR="005122AF" w:rsidRDefault="005122AF">
      <w:r>
        <w:separator/>
      </w:r>
    </w:p>
  </w:footnote>
  <w:footnote w:type="continuationSeparator" w:id="0">
    <w:p w14:paraId="4627F5E0" w14:textId="77777777" w:rsidR="005122AF" w:rsidRDefault="005122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BD1CF" w14:textId="77777777" w:rsidR="00344DB5" w:rsidRDefault="00344DB5"/>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DB5"/>
    <w:rsid w:val="002E75AF"/>
    <w:rsid w:val="00344DB5"/>
    <w:rsid w:val="00432885"/>
    <w:rsid w:val="005122AF"/>
    <w:rsid w:val="007641B5"/>
    <w:rsid w:val="00AB5698"/>
    <w:rsid w:val="00B271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BD198"/>
  <w15:docId w15:val="{6808C991-B9DC-46D8-9882-2259DFF49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26/science.1154735" TargetMode="Externa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yperlink" Target="https://doi.org/10.1038/nrn2787"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5281/zenodo.15725824"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www.brisartresearcharchive.com" TargetMode="External"/><Relationship Id="rId4" Type="http://schemas.openxmlformats.org/officeDocument/2006/relationships/styles" Target="styles.xml"/><Relationship Id="rId9" Type="http://schemas.openxmlformats.org/officeDocument/2006/relationships/hyperlink" Target="mailto:jason@brisartresearcharchive.com" TargetMode="External"/><Relationship Id="rId14"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48791D0-E1F5-488E-819E-4AF49B8FF0C6}">
  <ds:schemaRefs>
    <ds:schemaRef ds:uri="http://schemas.microsoft.com/office/2006/metadata/properties"/>
    <ds:schemaRef ds:uri="http://schemas.microsoft.com/office/infopath/2007/PartnerControls"/>
    <ds:schemaRef ds:uri="ce5264cd-2933-4f1d-9ccf-564f0c8f34c0"/>
    <ds:schemaRef ds:uri="40915466-697b-4597-97a8-8ce3ba18083c"/>
  </ds:schemaRefs>
</ds:datastoreItem>
</file>

<file path=customXml/itemProps2.xml><?xml version="1.0" encoding="utf-8"?>
<ds:datastoreItem xmlns:ds="http://schemas.openxmlformats.org/officeDocument/2006/customXml" ds:itemID="{086D18F7-ED1A-4D42-958F-6AD5BD58BC2A}">
  <ds:schemaRefs>
    <ds:schemaRef ds:uri="http://schemas.microsoft.com/sharepoint/v3/contenttype/forms"/>
  </ds:schemaRefs>
</ds:datastoreItem>
</file>

<file path=customXml/itemProps3.xml><?xml version="1.0" encoding="utf-8"?>
<ds:datastoreItem xmlns:ds="http://schemas.openxmlformats.org/officeDocument/2006/customXml" ds:itemID="{9AB475DC-EB65-434C-9646-01ABCE7CB1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915466-697b-4597-97a8-8ce3ba18083c"/>
    <ds:schemaRef ds:uri="ce5264cd-2933-4f1d-9ccf-564f0c8f34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6</Pages>
  <Words>1227</Words>
  <Characters>6999</Characters>
  <Application>Microsoft Office Word</Application>
  <DocSecurity>0</DocSecurity>
  <Lines>58</Lines>
  <Paragraphs>16</Paragraphs>
  <ScaleCrop>false</ScaleCrop>
  <Company/>
  <LinksUpToDate>false</LinksUpToDate>
  <CharactersWithSpaces>8210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Brisart</cp:lastModifiedBy>
  <cp:revision>3</cp:revision>
  <dcterms:created xsi:type="dcterms:W3CDTF">2026-06-22T00:02:00Z</dcterms:created>
  <dcterms:modified xsi:type="dcterms:W3CDTF">2026-09-17T19:26:00Z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