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A58F"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Directed Intention Framework (DIF): A Dynamically Sustained Model of Volitional Vectorization</w:t>
      </w:r>
    </w:p>
    <w:p w14:paraId="6B76A590"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Jason Brisart</w:t>
      </w:r>
    </w:p>
    <w:p w14:paraId="6B76A591"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Independent Researcher</w:t>
      </w:r>
    </w:p>
    <w:p w14:paraId="6B76A592" w14:textId="77777777" w:rsidR="00B924FA" w:rsidRPr="009F1E9A" w:rsidRDefault="00B924F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9" w:history="1">
        <w:r w:rsidRPr="009F1E9A">
          <w:rPr>
            <w:rStyle w:val="Hyperlink0"/>
            <w:rFonts w:ascii="Aptos" w:hAnsi="Aptos"/>
          </w:rPr>
          <w:t>jason@brisartresearcharchive.com</w:t>
        </w:r>
      </w:hyperlink>
    </w:p>
    <w:p w14:paraId="6B76A593" w14:textId="77777777" w:rsidR="00B924FA" w:rsidRPr="009F1E9A" w:rsidRDefault="00B924F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10" w:history="1">
        <w:r w:rsidRPr="009F1E9A">
          <w:rPr>
            <w:rStyle w:val="Hyperlink0"/>
            <w:rFonts w:ascii="Aptos" w:hAnsi="Aptos"/>
          </w:rPr>
          <w:t>www.brisartresearcharchive.com</w:t>
        </w:r>
      </w:hyperlink>
    </w:p>
    <w:p w14:paraId="6B76A595" w14:textId="77777777" w:rsidR="00B924FA" w:rsidRPr="009F1E9A" w:rsidRDefault="00B924F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6B76A596"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Abstract</w:t>
      </w:r>
    </w:p>
    <w:p w14:paraId="6B76A597"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The Directed Intention Framework (DIF) presents a novel model of intention as a dynamically sustained, affectively modulated vector that organizes cognition, perception, and behavior. DIF conceptualizes intention as a continuous energetic orientation—guided by recursive feedback loops involving emotion, memory, attention, and simulation. This internal vector persists or dissipates depending on affective salience, perceptual confirmation, and behavioral execution. The framework explains the phenomenology of directed focus, internal conflict, and volitional agency, and offers testable hypotheses regarding intention stabilization, affective interference, and goal competition. DIF is designed for empirical validation through behavioral, neuroimaging, and longitudinal paradigms.</w:t>
      </w:r>
    </w:p>
    <w:p w14:paraId="6B76A598"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lang w:val="fr-FR"/>
        </w:rPr>
        <w:t>1.0 Introduction</w:t>
      </w:r>
    </w:p>
    <w:p w14:paraId="6B76A599"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Intention is a fundamental yet often under-theorized component of human cognition. Existing models tend to characterize intention as a motivational state, a pre-decisional construct, or an output of executive control. However, these approaches frequently fail to </w:t>
      </w:r>
      <w:r w:rsidRPr="009F1E9A">
        <w:rPr>
          <w:rFonts w:ascii="Aptos" w:hAnsi="Aptos"/>
        </w:rPr>
        <w:lastRenderedPageBreak/>
        <w:t>capture the continuous, phenomenological quality of sustained intention—the kind that governs mental focus, internal prioritization, and behavioral follow-through over extended timeframes.</w:t>
      </w:r>
    </w:p>
    <w:p w14:paraId="6B76A59A"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The Directed Intention Framework (DIF) proposes that intention is best conceptualized not as a static goal or mental declaration, but as a dynamically sustained vector of internal energy. This vector is regulated by recursive interactions between cognition, emotion, memory, and environmental input. Intention is not formed once and maintained passively—it is actively reinforced, disrupted, or redirected depending on the affective and perceptual feedback it receives.</w:t>
      </w:r>
    </w:p>
    <w:p w14:paraId="6B76A59B"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This framework aims to bridge the gap between subjective experiences of volition and the neurocognitive processes that support them. DIF treats intention as a high-level integrative mechanism that both influences and is shaped by prediction, affective salience, identity encoding, and environmental feedback.</w:t>
      </w:r>
    </w:p>
    <w:p w14:paraId="6B76A59C"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2.0 Core Mechanism</w:t>
      </w:r>
    </w:p>
    <w:p w14:paraId="6B76A59D"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At the core of the Directed Intention Framework (DIF) is the idea that intention manifests as an internal vector of energetic directionality—a dynamic orientation of attention and cognitive-emotional resources toward a specific target, outcome, or conceptual domain. This vector is not fixed; rather, it is continually modulated by internal and external feedback signals, including emotional resonance, memory recall, predictive simulation, and real-time environmental input.</w:t>
      </w:r>
    </w:p>
    <w:p w14:paraId="6B76A59E"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Intention in this model is conceptualized as a directional flow of cognitive energy that actively structures thought patterns, perceptual filters, and behavioral readiness. The </w:t>
      </w:r>
      <w:r w:rsidRPr="009F1E9A">
        <w:rPr>
          <w:rFonts w:ascii="Aptos" w:hAnsi="Aptos"/>
          <w:rtl/>
          <w:lang w:val="ar-SA"/>
        </w:rPr>
        <w:t>“</w:t>
      </w:r>
      <w:proofErr w:type="spellStart"/>
      <w:r w:rsidRPr="009F1E9A">
        <w:rPr>
          <w:rFonts w:ascii="Aptos" w:hAnsi="Aptos"/>
          <w:lang w:val="fr-FR"/>
        </w:rPr>
        <w:t>vector</w:t>
      </w:r>
      <w:proofErr w:type="spellEnd"/>
      <w:r w:rsidRPr="009F1E9A">
        <w:rPr>
          <w:rFonts w:ascii="Aptos" w:hAnsi="Aptos"/>
        </w:rPr>
        <w:t>” metaphor implies measurable directionality (what the mind is oriented toward), magnitude (intensity or persistence of focus), and resistance (degree of cognitive-</w:t>
      </w:r>
      <w:r w:rsidRPr="009F1E9A">
        <w:rPr>
          <w:rFonts w:ascii="Aptos" w:hAnsi="Aptos"/>
        </w:rPr>
        <w:lastRenderedPageBreak/>
        <w:t>emotional interference). Intention stabilizes when the vector is both emotionally salient and internally coherent—meaning it does not conflict with competing intentions or unresolved emotional states.</w:t>
      </w:r>
    </w:p>
    <w:p w14:paraId="6B76A59F"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Energetic directionality is the structural backbone of intention: the process by which a mind </w:t>
      </w:r>
      <w:r w:rsidRPr="009F1E9A">
        <w:rPr>
          <w:rFonts w:ascii="Aptos" w:hAnsi="Aptos"/>
          <w:rtl/>
          <w:lang w:val="ar-SA"/>
        </w:rPr>
        <w:t>“</w:t>
      </w:r>
      <w:r w:rsidRPr="009F1E9A">
        <w:rPr>
          <w:rFonts w:ascii="Aptos" w:hAnsi="Aptos"/>
        </w:rPr>
        <w:t>points itself” toward a goal or state and recursively maintains that orientation through internal simulation, emotional reinforcement, and feedback-based correction.</w:t>
      </w:r>
    </w:p>
    <w:p w14:paraId="6B76A5A0"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3.0 Internal Processing Dynamics</w:t>
      </w:r>
    </w:p>
    <w:p w14:paraId="6B76A5A1"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The stability of intention is not guaranteed by its initial formation but is continuously maintained—or destabilized—through recursive feedback. Intention stabilization occurs when a vector of cognitive-emotional focus remains coherent across time, resisting disruption from competing stimuli, unresolved emotional states, or contradictory goals.</w:t>
      </w:r>
    </w:p>
    <w:p w14:paraId="6B76A5A2"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lang w:val="it-IT"/>
        </w:rPr>
        <w:t>3.1 Affective Anchoring</w:t>
      </w:r>
    </w:p>
    <w:p w14:paraId="6B76A5A3"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Affect functions as the core stabilizing agent. Emotions are the energetic glue that sustains a vector</w:t>
      </w:r>
      <w:r w:rsidRPr="009F1E9A">
        <w:rPr>
          <w:rFonts w:ascii="Aptos" w:hAnsi="Aptos"/>
          <w:rtl/>
        </w:rPr>
        <w:t>’</w:t>
      </w:r>
      <w:r w:rsidRPr="009F1E9A">
        <w:rPr>
          <w:rFonts w:ascii="Aptos" w:hAnsi="Aptos"/>
        </w:rPr>
        <w:t xml:space="preserve">s momentum. Affective salience determines whether an intention maintains coherence; intentions associated with strong emotional valence (positive or negative) are far more likely to persist. If an intention lacks emotional anchoring, it becomes cognitively </w:t>
      </w:r>
      <w:r w:rsidRPr="009F1E9A">
        <w:rPr>
          <w:rFonts w:ascii="Aptos" w:hAnsi="Aptos"/>
          <w:rtl/>
          <w:lang w:val="ar-SA"/>
        </w:rPr>
        <w:t>“</w:t>
      </w:r>
      <w:r w:rsidRPr="009F1E9A">
        <w:rPr>
          <w:rFonts w:ascii="Aptos" w:hAnsi="Aptos"/>
        </w:rPr>
        <w:t>lightweight” and is easily displaced.</w:t>
      </w:r>
    </w:p>
    <w:p w14:paraId="6B76A5A4"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3.2 Recursive Simulation and Predictive Coherence</w:t>
      </w:r>
    </w:p>
    <w:p w14:paraId="6B76A5A5"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Stabilization is also supported through recursive internal simulation—the continuous mental rehearsal or prediction of desired outcomes. When an intention generates emotionally congruent simulations, it becomes neurologically and phenomenologically stable. The brain</w:t>
      </w:r>
      <w:r w:rsidRPr="009F1E9A">
        <w:rPr>
          <w:rFonts w:ascii="Aptos" w:hAnsi="Aptos"/>
          <w:rtl/>
        </w:rPr>
        <w:t>’</w:t>
      </w:r>
      <w:r w:rsidRPr="009F1E9A">
        <w:rPr>
          <w:rFonts w:ascii="Aptos" w:hAnsi="Aptos"/>
        </w:rPr>
        <w:t>s preference for minimizing uncertainty reinforces the vector and makes it resistant to interference.</w:t>
      </w:r>
    </w:p>
    <w:p w14:paraId="6B76A5A6"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lastRenderedPageBreak/>
        <w:t>3.3 Environmental Feedback and Confirmation</w:t>
      </w:r>
    </w:p>
    <w:p w14:paraId="6B76A5A7"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Real-world feedback acts as a validator. External confirmation—through environmental cues, social reinforcement, or partial goal fulfillment—feeds back into the internal loop, increasing the vector</w:t>
      </w:r>
      <w:r w:rsidRPr="009F1E9A">
        <w:rPr>
          <w:rFonts w:ascii="Aptos" w:hAnsi="Aptos"/>
          <w:rtl/>
        </w:rPr>
        <w:t>’</w:t>
      </w:r>
      <w:r w:rsidRPr="009F1E9A">
        <w:rPr>
          <w:rFonts w:ascii="Aptos" w:hAnsi="Aptos"/>
        </w:rPr>
        <w:t>s credibility and salience. When alignment occurs, the vector stabilizes; when contradiction occurs, it fragments, leading to redirection or dissolution.</w:t>
      </w:r>
    </w:p>
    <w:p w14:paraId="6B76A5A8"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3.4 Conflict, Overwriting, and Dissolution</w:t>
      </w:r>
    </w:p>
    <w:p w14:paraId="6B76A5A9"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Competing vectors create internal conflict. Affectively dominant or urgent intentions tend to override others, leading to diminished strength, impaired consistency, or emotional fatigue when conflict persists. New salient events can overwrite existing vectors, and dissolution occurs through lack of confirmation or affective resolution—conceptualized as loop closure.</w:t>
      </w:r>
    </w:p>
    <w:p w14:paraId="6B76A5AA"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4.0 Applications and Predictions</w:t>
      </w:r>
    </w:p>
    <w:p w14:paraId="6B76A5AB"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DIF generates clear, testable predictions across cognitive neuroscience, affective psychology, and decision-making research.</w:t>
      </w:r>
    </w:p>
    <w:p w14:paraId="6B76A5AC"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4.1 Neural Correlates of Sustained Intention</w:t>
      </w:r>
    </w:p>
    <w:p w14:paraId="6B76A5AD"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Prediction: Sustained intention will correlate with heightened activity in working-memory and attention-control regions (dorsolateral prefrontal cortex), simulation networks (default mode and medial prefrontal cortex), affective salience areas (anterior insula, amygdala), and conflict monitoring (anterior cingulate cortex).</w:t>
      </w:r>
    </w:p>
    <w:p w14:paraId="6B76A5AE"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4.2 Affect as a Stabilization Variable</w:t>
      </w:r>
    </w:p>
    <w:p w14:paraId="6B76A5AF"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Prediction: Emotionally salient intentions will demonstrate greater temporal stability than neutral ones. Participants holding an intention while exposed to congruent emotional </w:t>
      </w:r>
      <w:r w:rsidRPr="009F1E9A">
        <w:rPr>
          <w:rFonts w:ascii="Aptos" w:hAnsi="Aptos"/>
        </w:rPr>
        <w:lastRenderedPageBreak/>
        <w:t>distractors will show reduced attentional drift and stronger physiological markers (pupil dilation, skin conductance).</w:t>
      </w:r>
    </w:p>
    <w:p w14:paraId="6B76A5B0"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4.3 Intention Conflict and Dissolution Patterns</w:t>
      </w:r>
    </w:p>
    <w:p w14:paraId="6B76A5B1"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Prediction: Simultaneous activation of competing intentions will produce measurable increases in response time, affective variability, and error-related negativity on EEG. Failure to resolve conflict will correlate with vector collapse indicators.</w:t>
      </w:r>
    </w:p>
    <w:p w14:paraId="6B76A5B2"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4.4 Identity Integration and Agency</w:t>
      </w:r>
    </w:p>
    <w:p w14:paraId="6B76A5B3"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Prediction: Individuals with consistent intention vectors across time will report higher identity coherence, emotional regulation, and subjective agency. Fragmented intention profiles will correlate with reduced self-reported purpose and higher susceptibility to attentional dysregulation.</w:t>
      </w:r>
    </w:p>
    <w:p w14:paraId="6B76A5B4"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These predictions are directly evaluable through neuroimaging, behavioral tasks, physiological tracking, and longitudinal self-report measures.</w:t>
      </w:r>
    </w:p>
    <w:p w14:paraId="6B76A5B5"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5.0 Limitations and Future Work</w:t>
      </w:r>
    </w:p>
    <w:p w14:paraId="6B76A5B6"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DIF is currently conceptual and integrative. The energetic vector metaphor, while powerful, requires further operationalization for precise measurement. The model assumes recursive feedback operates consistently across neurotypical populations and does not yet fully address cultural, developmental, or clinical variations.</w:t>
      </w:r>
    </w:p>
    <w:p w14:paraId="6B76A5B7"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Future directions include:</w:t>
      </w:r>
    </w:p>
    <w:p w14:paraId="6B76A5B8"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Developing computational simulations of vector magnitude, resistance, and feedback dynamics.</w:t>
      </w:r>
    </w:p>
    <w:p w14:paraId="6B76A5B9"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Conducting neuroimaging and longitudinal studies to validate stabilization mechanisms.</w:t>
      </w:r>
    </w:p>
    <w:p w14:paraId="6B76A5BA"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lastRenderedPageBreak/>
        <w:t>• Applying DIF to clinical interventions for volitional deficits (apathy, addiction, identity diffusion).</w:t>
      </w:r>
    </w:p>
    <w:p w14:paraId="6B76A5BB"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Extending the framework to collective or AI-mediated intention systems.</w:t>
      </w:r>
    </w:p>
    <w:p w14:paraId="6B76A5BC"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b/>
          <w:bCs/>
        </w:rPr>
        <w:t>6.0 Final Synthesis</w:t>
      </w:r>
    </w:p>
    <w:p w14:paraId="6B76A5BD"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The Directed Intention Framework (DIF) introduces a dynamic, recursive, and energetically grounded model of intention that bridges subjective experience and cognitive architecture. Rather than treating intention as a discrete mental state or singular motivational impulse, DIF frames it as a self-regulating vector of cognitive-emotional orientation—one that persists through recursive stabilization mechanisms and dissolves under affective or environmental perturbation.</w:t>
      </w:r>
    </w:p>
    <w:p w14:paraId="6B76A5BE"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This model provides an integrated account of how intention emerges, stabilizes, competes, and dissolves, and how these dynamics interface with identity and the experience of agency. By placing affect at the center of intention maintenance and conceptualizing intention as fundamentally recursive and directionally structured, DIF offers a new theoretical lens for investigating volition, behavior, and self-organization.</w:t>
      </w:r>
    </w:p>
    <w:p w14:paraId="6B76A5BF"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Crucially, the framework generates clear, testable predictions about the role of emotion, simulation, and feedback in sustaining intention. These hypotheses are compatible with contemporary neuroscientific tools and behavioral methodologies, making DIF suitable for empirical validation. Its implications extend beyond the laboratory—offering insights into indecision, impulsivity, dissociation, and goal abandonment.</w:t>
      </w:r>
    </w:p>
    <w:p w14:paraId="6B76A5C0"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Ultimately, the Directed Intention Framework aims to revitalize the scientific study of intention by acknowledging its fluidity, emotional foundation, and integrative role in constructing the coherent self.</w:t>
      </w:r>
    </w:p>
    <w:p w14:paraId="6B76A5C1"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9F1E9A">
        <w:rPr>
          <w:rFonts w:ascii="Aptos" w:hAnsi="Aptos"/>
          <w:b/>
          <w:bCs/>
          <w:lang w:val="fr-FR"/>
        </w:rPr>
        <w:lastRenderedPageBreak/>
        <w:t>References</w:t>
      </w:r>
      <w:proofErr w:type="spellEnd"/>
    </w:p>
    <w:p w14:paraId="6B76A5C2"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Barrett, L. F., &amp; Bar, M. (2009). See it with feeling: Affective predictions during object perception. </w:t>
      </w:r>
      <w:r w:rsidRPr="009F1E9A">
        <w:rPr>
          <w:rFonts w:ascii="Aptos" w:hAnsi="Aptos"/>
          <w:i/>
          <w:iCs/>
        </w:rPr>
        <w:t>Philosophical Transactions of the Royal Society B: Biological Sciences</w:t>
      </w:r>
      <w:r w:rsidRPr="009F1E9A">
        <w:rPr>
          <w:rFonts w:ascii="Aptos" w:hAnsi="Aptos"/>
        </w:rPr>
        <w:t>, 364(1521), 1325–</w:t>
      </w:r>
      <w:r w:rsidRPr="009F1E9A">
        <w:rPr>
          <w:rFonts w:ascii="Aptos" w:hAnsi="Aptos"/>
          <w:lang w:val="ru-RU"/>
        </w:rPr>
        <w:t xml:space="preserve">1334. </w:t>
      </w:r>
      <w:hyperlink r:id="rId11" w:history="1">
        <w:r w:rsidRPr="009F1E9A">
          <w:rPr>
            <w:rStyle w:val="Hyperlink0"/>
            <w:rFonts w:ascii="Aptos" w:hAnsi="Aptos"/>
          </w:rPr>
          <w:t>https://doi.org/10.1098/rstb.2008.0312</w:t>
        </w:r>
      </w:hyperlink>
    </w:p>
    <w:p w14:paraId="6B76A5C3"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Baumeister, R. F., Vohs, K. D., &amp; Tice, D. M. (2007). The strength model of self-control. </w:t>
      </w:r>
      <w:r w:rsidRPr="009F1E9A">
        <w:rPr>
          <w:rFonts w:ascii="Aptos" w:hAnsi="Aptos"/>
          <w:i/>
          <w:iCs/>
        </w:rPr>
        <w:t>Current Directions in Psychological Science</w:t>
      </w:r>
      <w:r w:rsidRPr="009F1E9A">
        <w:rPr>
          <w:rFonts w:ascii="Aptos" w:hAnsi="Aptos"/>
        </w:rPr>
        <w:t xml:space="preserve">, 16(6), 351–355. </w:t>
      </w:r>
      <w:hyperlink r:id="rId12" w:history="1">
        <w:r w:rsidR="00B924FA" w:rsidRPr="009F1E9A">
          <w:rPr>
            <w:rStyle w:val="Hyperlink0"/>
            <w:rFonts w:ascii="Aptos" w:hAnsi="Aptos"/>
          </w:rPr>
          <w:t>https://doi.org/10.1111/j.1467-8721.2007.00534.x</w:t>
        </w:r>
      </w:hyperlink>
    </w:p>
    <w:p w14:paraId="6B76A5C4"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Brisart, J. (2025). The Brisart Format: A Standardized Template for Theoretical, Conceptual, and Methodological Manuscripts (Version v2). </w:t>
      </w:r>
      <w:proofErr w:type="spellStart"/>
      <w:r w:rsidRPr="009F1E9A">
        <w:rPr>
          <w:rFonts w:ascii="Aptos" w:hAnsi="Aptos"/>
        </w:rPr>
        <w:t>Zenodo</w:t>
      </w:r>
      <w:proofErr w:type="spellEnd"/>
      <w:r w:rsidRPr="009F1E9A">
        <w:rPr>
          <w:rFonts w:ascii="Aptos" w:hAnsi="Aptos"/>
        </w:rPr>
        <w:t xml:space="preserve">. </w:t>
      </w:r>
      <w:hyperlink r:id="rId13" w:history="1">
        <w:r w:rsidR="00B924FA" w:rsidRPr="009F1E9A">
          <w:rPr>
            <w:rStyle w:val="Hyperlink0"/>
            <w:rFonts w:ascii="Aptos" w:hAnsi="Aptos"/>
          </w:rPr>
          <w:t>https://doi.org/10.5281/zenodo.15725824</w:t>
        </w:r>
      </w:hyperlink>
    </w:p>
    <w:p w14:paraId="6B76A5C5"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Damasio, A. R. (1999). </w:t>
      </w:r>
      <w:r w:rsidRPr="009F1E9A">
        <w:rPr>
          <w:rFonts w:ascii="Aptos" w:hAnsi="Aptos"/>
          <w:i/>
          <w:iCs/>
        </w:rPr>
        <w:t>The feeling of what happens: Body and emotion in the making of consciousness</w:t>
      </w:r>
      <w:r w:rsidRPr="009F1E9A">
        <w:rPr>
          <w:rFonts w:ascii="Aptos" w:hAnsi="Aptos"/>
          <w:lang w:val="fr-FR"/>
        </w:rPr>
        <w:t>. Harcourt.</w:t>
      </w:r>
    </w:p>
    <w:p w14:paraId="6B76A5C6"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Friston, K. (2010). The free-energy principle: A unified brain theory? </w:t>
      </w:r>
      <w:r w:rsidRPr="009F1E9A">
        <w:rPr>
          <w:rFonts w:ascii="Aptos" w:hAnsi="Aptos"/>
          <w:i/>
          <w:iCs/>
        </w:rPr>
        <w:t>Nature Reviews Neuroscience</w:t>
      </w:r>
      <w:r w:rsidRPr="009F1E9A">
        <w:rPr>
          <w:rFonts w:ascii="Aptos" w:hAnsi="Aptos"/>
        </w:rPr>
        <w:t xml:space="preserve">, 11(2), 127–138. </w:t>
      </w:r>
      <w:hyperlink r:id="rId14" w:history="1">
        <w:r w:rsidR="00B924FA" w:rsidRPr="009F1E9A">
          <w:rPr>
            <w:rStyle w:val="Hyperlink0"/>
            <w:rFonts w:ascii="Aptos" w:hAnsi="Aptos"/>
          </w:rPr>
          <w:t>https://doi.org/10.1038/nrn2787</w:t>
        </w:r>
      </w:hyperlink>
    </w:p>
    <w:p w14:paraId="6B76A5C7"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lang w:val="it-IT"/>
        </w:rPr>
        <w:t xml:space="preserve">Graziano, M. S. A. (2013). </w:t>
      </w:r>
      <w:r w:rsidRPr="009F1E9A">
        <w:rPr>
          <w:rFonts w:ascii="Aptos" w:hAnsi="Aptos"/>
          <w:i/>
          <w:iCs/>
        </w:rPr>
        <w:t>Consciousness and the social brain</w:t>
      </w:r>
      <w:r w:rsidRPr="009F1E9A">
        <w:rPr>
          <w:rFonts w:ascii="Aptos" w:hAnsi="Aptos"/>
        </w:rPr>
        <w:t>. Oxford University Press.</w:t>
      </w:r>
    </w:p>
    <w:p w14:paraId="6B76A5C8"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Holroyd, C. B., &amp; Coles, M. G. H. (2002). The neural basis of human error processing: Reinforcement learning, dopamine, and the error-related negativity. </w:t>
      </w:r>
      <w:r w:rsidRPr="009F1E9A">
        <w:rPr>
          <w:rFonts w:ascii="Aptos" w:hAnsi="Aptos"/>
          <w:i/>
          <w:iCs/>
        </w:rPr>
        <w:t>Psychological Review</w:t>
      </w:r>
      <w:r w:rsidRPr="009F1E9A">
        <w:rPr>
          <w:rFonts w:ascii="Aptos" w:hAnsi="Aptos"/>
        </w:rPr>
        <w:t xml:space="preserve">, 109(4), 679–709. </w:t>
      </w:r>
      <w:hyperlink r:id="rId15" w:history="1">
        <w:r w:rsidR="00B924FA" w:rsidRPr="009F1E9A">
          <w:rPr>
            <w:rStyle w:val="Hyperlink0"/>
            <w:rFonts w:ascii="Aptos" w:hAnsi="Aptos"/>
          </w:rPr>
          <w:t>https://doi.org/10.1037/0033-295X.109.4.679</w:t>
        </w:r>
      </w:hyperlink>
    </w:p>
    <w:p w14:paraId="6B76A5C9"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Northoff, G. (2011). Self and brain: What is self-related processing? </w:t>
      </w:r>
      <w:r w:rsidRPr="009F1E9A">
        <w:rPr>
          <w:rFonts w:ascii="Aptos" w:hAnsi="Aptos"/>
          <w:i/>
          <w:iCs/>
        </w:rPr>
        <w:t>Trends in Cognitive Sciences</w:t>
      </w:r>
      <w:r w:rsidRPr="009F1E9A">
        <w:rPr>
          <w:rFonts w:ascii="Aptos" w:hAnsi="Aptos"/>
        </w:rPr>
        <w:t xml:space="preserve">, 15(5), 186–187. </w:t>
      </w:r>
      <w:hyperlink r:id="rId16" w:history="1">
        <w:r w:rsidR="00B924FA" w:rsidRPr="009F1E9A">
          <w:rPr>
            <w:rStyle w:val="Hyperlink0"/>
            <w:rFonts w:ascii="Aptos" w:hAnsi="Aptos"/>
          </w:rPr>
          <w:t>https://doi.org/10.1016/j.tics.2011.03.001</w:t>
        </w:r>
      </w:hyperlink>
    </w:p>
    <w:p w14:paraId="6B76A5CA"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lastRenderedPageBreak/>
        <w:t xml:space="preserve">Schacter, D. L., Addis, D. R., &amp; Buckner, R. L. (2007). Remembering the past to imagine the future: The prospective brain. </w:t>
      </w:r>
      <w:r w:rsidRPr="009F1E9A">
        <w:rPr>
          <w:rFonts w:ascii="Aptos" w:hAnsi="Aptos"/>
          <w:i/>
          <w:iCs/>
        </w:rPr>
        <w:t>Nature Reviews Neuroscience</w:t>
      </w:r>
      <w:r w:rsidRPr="009F1E9A">
        <w:rPr>
          <w:rFonts w:ascii="Aptos" w:hAnsi="Aptos"/>
        </w:rPr>
        <w:t xml:space="preserve">, 8(9), 657–661. </w:t>
      </w:r>
      <w:hyperlink r:id="rId17" w:history="1">
        <w:r w:rsidR="00B924FA" w:rsidRPr="009F1E9A">
          <w:rPr>
            <w:rStyle w:val="Hyperlink0"/>
            <w:rFonts w:ascii="Aptos" w:hAnsi="Aptos"/>
          </w:rPr>
          <w:t>https://doi.org/10.1038/nrn2213</w:t>
        </w:r>
      </w:hyperlink>
    </w:p>
    <w:p w14:paraId="6B76A5CB"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Seth, A. K. (2015). Interoceptive inference, emotion, and the embodied self. </w:t>
      </w:r>
      <w:r w:rsidRPr="009F1E9A">
        <w:rPr>
          <w:rFonts w:ascii="Aptos" w:hAnsi="Aptos"/>
          <w:i/>
          <w:iCs/>
        </w:rPr>
        <w:t>Trends in Cognitive Sciences</w:t>
      </w:r>
      <w:r w:rsidRPr="009F1E9A">
        <w:rPr>
          <w:rFonts w:ascii="Aptos" w:hAnsi="Aptos"/>
        </w:rPr>
        <w:t xml:space="preserve">, 17(11), 565–573. </w:t>
      </w:r>
      <w:hyperlink r:id="rId18" w:history="1">
        <w:r w:rsidR="00B924FA" w:rsidRPr="009F1E9A">
          <w:rPr>
            <w:rStyle w:val="Hyperlink0"/>
            <w:rFonts w:ascii="Aptos" w:hAnsi="Aptos"/>
          </w:rPr>
          <w:t>https://doi.org/10.1016/j.tics.2013.09.007</w:t>
        </w:r>
      </w:hyperlink>
    </w:p>
    <w:p w14:paraId="6B76A5CC"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9F1E9A">
        <w:rPr>
          <w:rFonts w:ascii="Aptos" w:hAnsi="Aptos"/>
        </w:rPr>
        <w:t xml:space="preserve">Smallwood, J., &amp; Schooler, J. W. (2015). The science of mind wandering: Empirically navigating the stream of consciousness. </w:t>
      </w:r>
      <w:r w:rsidRPr="009F1E9A">
        <w:rPr>
          <w:rFonts w:ascii="Aptos" w:hAnsi="Aptos"/>
          <w:i/>
          <w:iCs/>
        </w:rPr>
        <w:t>Annual Review of Psychology</w:t>
      </w:r>
      <w:r w:rsidRPr="009F1E9A">
        <w:rPr>
          <w:rFonts w:ascii="Aptos" w:hAnsi="Aptos"/>
        </w:rPr>
        <w:t xml:space="preserve">, 66, 487–518. </w:t>
      </w:r>
      <w:hyperlink r:id="rId19" w:history="1">
        <w:r w:rsidR="00B924FA" w:rsidRPr="009F1E9A">
          <w:rPr>
            <w:rStyle w:val="Hyperlink0"/>
            <w:rFonts w:ascii="Aptos" w:hAnsi="Aptos"/>
          </w:rPr>
          <w:t>https://doi.org/10.1146/annurev-psych-010814-015331</w:t>
        </w:r>
      </w:hyperlink>
    </w:p>
    <w:p w14:paraId="6B76A5CD" w14:textId="77777777" w:rsidR="00B924FA" w:rsidRPr="009F1E9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9F1E9A">
        <w:rPr>
          <w:rFonts w:ascii="Aptos" w:hAnsi="Aptos"/>
          <w:lang w:val="it-IT"/>
        </w:rPr>
        <w:t xml:space="preserve">Varela, F. J., Thompson, E., &amp; Rosch, E. (1991). </w:t>
      </w:r>
      <w:r w:rsidRPr="009F1E9A">
        <w:rPr>
          <w:rFonts w:ascii="Aptos" w:hAnsi="Aptos"/>
          <w:i/>
          <w:iCs/>
        </w:rPr>
        <w:t>The embodied mind: Cognitive science and human experience</w:t>
      </w:r>
      <w:r w:rsidRPr="009F1E9A">
        <w:rPr>
          <w:rFonts w:ascii="Aptos" w:hAnsi="Aptos"/>
          <w:lang w:val="pt-PT"/>
        </w:rPr>
        <w:t xml:space="preserve">. MIT Press. </w:t>
      </w:r>
      <w:hyperlink r:id="rId20" w:history="1">
        <w:r w:rsidR="00B924FA" w:rsidRPr="009F1E9A">
          <w:rPr>
            <w:rStyle w:val="Hyperlink0"/>
            <w:rFonts w:ascii="Aptos" w:hAnsi="Aptos"/>
          </w:rPr>
          <w:t>https://doi.org/10.7551/mitpress/6730.001.0001</w:t>
        </w:r>
      </w:hyperlink>
    </w:p>
    <w:sectPr w:rsidR="00B924FA" w:rsidRPr="009F1E9A">
      <w:headerReference w:type="default" r:id="rId21"/>
      <w:footerReference w:type="default" r:id="rId2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208D" w14:textId="77777777" w:rsidR="00195A37" w:rsidRDefault="00195A37">
      <w:r>
        <w:separator/>
      </w:r>
    </w:p>
  </w:endnote>
  <w:endnote w:type="continuationSeparator" w:id="0">
    <w:p w14:paraId="00650D37" w14:textId="77777777" w:rsidR="00195A37" w:rsidRDefault="00195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A5CF" w14:textId="77777777" w:rsidR="00B924FA" w:rsidRDefault="00B924F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FFA8" w14:textId="77777777" w:rsidR="00195A37" w:rsidRDefault="00195A37">
      <w:r>
        <w:separator/>
      </w:r>
    </w:p>
  </w:footnote>
  <w:footnote w:type="continuationSeparator" w:id="0">
    <w:p w14:paraId="5910A5E1" w14:textId="77777777" w:rsidR="00195A37" w:rsidRDefault="00195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A5CE" w14:textId="77777777" w:rsidR="00B924FA" w:rsidRDefault="00B924FA">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4FA"/>
    <w:rsid w:val="00105FC1"/>
    <w:rsid w:val="00195A37"/>
    <w:rsid w:val="007641B5"/>
    <w:rsid w:val="009F1E9A"/>
    <w:rsid w:val="00B27149"/>
    <w:rsid w:val="00B924FA"/>
    <w:rsid w:val="00C84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A58F"/>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5281/zenodo.15725824" TargetMode="External"/><Relationship Id="rId18" Type="http://schemas.openxmlformats.org/officeDocument/2006/relationships/hyperlink" Target="https://doi.org/10.1016/j.tics.2013.09.007"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1111/j.1467-8721.2007.00534.x" TargetMode="External"/><Relationship Id="rId17" Type="http://schemas.openxmlformats.org/officeDocument/2006/relationships/hyperlink" Target="https://doi.org/10.1038/nrn2213" TargetMode="External"/><Relationship Id="rId2" Type="http://schemas.openxmlformats.org/officeDocument/2006/relationships/customXml" Target="../customXml/item2.xml"/><Relationship Id="rId16" Type="http://schemas.openxmlformats.org/officeDocument/2006/relationships/hyperlink" Target="https://doi.org/10.1016/j.tics.2011.03.001" TargetMode="External"/><Relationship Id="rId20" Type="http://schemas.openxmlformats.org/officeDocument/2006/relationships/hyperlink" Target="https://doi.org/10.7551/mitpress/6730.001.000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98/rstb.2008.0312"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37/0033-295X.109.4.679" TargetMode="External"/><Relationship Id="rId23" Type="http://schemas.openxmlformats.org/officeDocument/2006/relationships/fontTable" Target="fontTable.xml"/><Relationship Id="rId10" Type="http://schemas.openxmlformats.org/officeDocument/2006/relationships/hyperlink" Target="http://www.brisartresearcharchive.com" TargetMode="External"/><Relationship Id="rId19" Type="http://schemas.openxmlformats.org/officeDocument/2006/relationships/hyperlink" Target="https://doi.org/10.1146/annurev-psych-010814-015331"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yperlink" Target="https://doi.org/10.1038/nrn2787" TargetMode="External"/><Relationship Id="rId22"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69459E-08AC-439B-BD62-390DED1926DC}">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3A902901-7B03-450E-913F-2BA4E280240A}">
  <ds:schemaRefs>
    <ds:schemaRef ds:uri="http://schemas.microsoft.com/sharepoint/v3/contenttype/forms"/>
  </ds:schemaRefs>
</ds:datastoreItem>
</file>

<file path=customXml/itemProps3.xml><?xml version="1.0" encoding="utf-8"?>
<ds:datastoreItem xmlns:ds="http://schemas.openxmlformats.org/officeDocument/2006/customXml" ds:itemID="{E39AA90F-D8DC-43E4-9D38-A5D817C26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1834</Words>
  <Characters>10460</Characters>
  <Application>Microsoft Office Word</Application>
  <DocSecurity>0</DocSecurity>
  <Lines>87</Lines>
  <Paragraphs>24</Paragraphs>
  <ScaleCrop>false</ScaleCrop>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2026-06-22T00:02:00Z</dcterms:created>
  <dcterms:modified xsi:type="dcterms:W3CDTF">2026-09-17T19:27:00Z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