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5216"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Dynamic Expectation Field Theory (DEFT): An Adaptive Anticipatory Model of Cognitive Resource Allocation</w:t>
      </w:r>
    </w:p>
    <w:p w14:paraId="6B415217"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Jason Brisart</w:t>
      </w:r>
    </w:p>
    <w:p w14:paraId="6B415218"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Independent Researcher</w:t>
      </w:r>
    </w:p>
    <w:p w14:paraId="6B415219" w14:textId="77777777" w:rsidR="00F675DB" w:rsidRPr="003975EE" w:rsidRDefault="00F675D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3975EE">
          <w:rPr>
            <w:rStyle w:val="Hyperlink0"/>
            <w:rFonts w:ascii="Aptos" w:hAnsi="Aptos"/>
          </w:rPr>
          <w:t>jason@brisartresearcharchive.com</w:t>
        </w:r>
      </w:hyperlink>
    </w:p>
    <w:p w14:paraId="6B41521A" w14:textId="77777777" w:rsidR="00F675DB" w:rsidRPr="003975EE" w:rsidRDefault="00F675D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3975EE">
          <w:rPr>
            <w:rStyle w:val="Hyperlink0"/>
            <w:rFonts w:ascii="Aptos" w:hAnsi="Aptos"/>
          </w:rPr>
          <w:t>www.brisartresearcharchive.com</w:t>
        </w:r>
      </w:hyperlink>
    </w:p>
    <w:p w14:paraId="6B41521C" w14:textId="77777777" w:rsidR="00F675DB" w:rsidRPr="003975EE" w:rsidRDefault="00F675D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6B41521D" w14:textId="77777777" w:rsidR="00F675DB" w:rsidRPr="003975EE" w:rsidRDefault="00F675D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6B41521E"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Abstract</w:t>
      </w:r>
    </w:p>
    <w:p w14:paraId="6B41521F"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Dynamic Expectation Field Theory (DEFT) proposes a mechanism through which cognitive systems anticipate environmental demands by maintaining adaptive expectation fields. Expectation fields function as continuous predictive distributions, dynamically adjusted by observed mismatches between anticipated and actual sensory, cognitive, or affective events. These fields facilitate optimal allocation of cognitive resources by pre-emptively modulating attention, action readiness, and decision-making efficiency. Central to DEFT is the Anticipatory Field Generator (AFG), a computational engine responsible for updating expectation fields through prediction-error feedback, volatility estimation, and hierarchical calibration. The theory explains cognitive flexibility, resilience to uncertainty, and vulnerability to maladaptive anticipation such as anxiety or cognitive fatigue. DEFT yields empirically falsifiable predictions concerning cognitive load modulation, adaptive learning rates, and anticipatory signal attenuation, suitable for experimental validation through behavioral paradigms and neurocomputational modeling.</w:t>
      </w:r>
    </w:p>
    <w:p w14:paraId="6B415220"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lang w:val="fr-FR"/>
        </w:rPr>
        <w:lastRenderedPageBreak/>
        <w:t>1.0 Introduction</w:t>
      </w:r>
    </w:p>
    <w:p w14:paraId="6B415221"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Cognitive systems frequently operate under uncertainty, requiring the efficient anticipation of future states to guide action selection and resource allocation. Classical cognitive architectures address this via static or discrete predictive representations, inadequately capturing adaptive anticipatory behaviors observed under changing conditions. Dynamic Expectation Field Theory (DEFT) addresses this limitation by introducing continuous, probability-based anticipatory representations termed expectation fields. These fields dynamically adjust according to sensory-cognitive mismatches, enabling real-time adaptive modulation of cognitive functions, notably attention, decision-making, and learning. This manuscript details DEFT</w:t>
      </w:r>
      <w:r w:rsidRPr="003975EE">
        <w:rPr>
          <w:rFonts w:ascii="Aptos" w:hAnsi="Aptos"/>
          <w:rtl/>
        </w:rPr>
        <w:t>’</w:t>
      </w:r>
      <w:r w:rsidRPr="003975EE">
        <w:rPr>
          <w:rFonts w:ascii="Aptos" w:hAnsi="Aptos"/>
          <w:lang w:val="fr-FR"/>
        </w:rPr>
        <w:t xml:space="preserve">s </w:t>
      </w:r>
      <w:proofErr w:type="spellStart"/>
      <w:r w:rsidRPr="003975EE">
        <w:rPr>
          <w:rFonts w:ascii="Aptos" w:hAnsi="Aptos"/>
          <w:lang w:val="fr-FR"/>
        </w:rPr>
        <w:t>core</w:t>
      </w:r>
      <w:proofErr w:type="spellEnd"/>
      <w:r w:rsidRPr="003975EE">
        <w:rPr>
          <w:rFonts w:ascii="Aptos" w:hAnsi="Aptos"/>
          <w:lang w:val="fr-FR"/>
        </w:rPr>
        <w:t xml:space="preserve"> </w:t>
      </w:r>
      <w:proofErr w:type="spellStart"/>
      <w:r w:rsidRPr="003975EE">
        <w:rPr>
          <w:rFonts w:ascii="Aptos" w:hAnsi="Aptos"/>
          <w:lang w:val="fr-FR"/>
        </w:rPr>
        <w:t>mechanism</w:t>
      </w:r>
      <w:proofErr w:type="spellEnd"/>
      <w:r w:rsidRPr="003975EE">
        <w:rPr>
          <w:rFonts w:ascii="Aptos" w:hAnsi="Aptos"/>
        </w:rPr>
        <w:t>—the Anticipatory Field Generator (AFG)—internal processing dynamics, and empirically testable predictions, contributing to theoretical refinement and practical application in cognitive and computational sciences.</w:t>
      </w:r>
    </w:p>
    <w:p w14:paraId="6B415222"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2.0 Core Mechanism</w:t>
      </w:r>
    </w:p>
    <w:p w14:paraId="6B415223"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DEFT formalizes anticipatory cognition through dynamic expectation fields and the central Anticipatory Field Generator (AFG).</w:t>
      </w:r>
    </w:p>
    <w:p w14:paraId="6B415224"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2.1 Expectation Fields</w:t>
      </w:r>
    </w:p>
    <w:p w14:paraId="6B415225"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Expectation fields are dynamic probability distributions encoding anticipated states or events across sensory, cognitive, and affective domains. They represent predicted occurrences weighted by uncertainty, enabling rapid cognitive and behavioral modulation.</w:t>
      </w:r>
    </w:p>
    <w:p w14:paraId="6B415226"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lang w:val="it-IT"/>
        </w:rPr>
        <w:t>2.2 Anticipatory Field Generator (AFG)</w:t>
      </w:r>
    </w:p>
    <w:p w14:paraId="6B415227"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The AFG continuously generates, adjusts, and calibrates expectation fields through three integrated processes:</w:t>
      </w:r>
    </w:p>
    <w:p w14:paraId="6B415228"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lastRenderedPageBreak/>
        <w:t>• Prediction-Error Feedback: Adjusts field distributions based on discrepancies between expected and observed events.</w:t>
      </w:r>
    </w:p>
    <w:p w14:paraId="6B415229"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Volatility Estimation: Modulates field sensitivity, determining how rapidly fields update in response to environmental changes.</w:t>
      </w:r>
    </w:p>
    <w:p w14:paraId="6B41522A"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Hierarchical Calibration: Ensures multiple expectation fields maintain internal coherence across cognitive levels.</w:t>
      </w:r>
    </w:p>
    <w:p w14:paraId="6B41522B"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2.3 Adaptive Resource Allocation</w:t>
      </w:r>
    </w:p>
    <w:p w14:paraId="6B41522C"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Expectation fields influence cognitive resource distribution through anticipatory gating, dynamically prioritizing processing pathways associated with high predictive certainty or critical uncertainty. This ensures optimal cognitive readiness and minimizes resource wastage under uncertainty.</w:t>
      </w:r>
    </w:p>
    <w:p w14:paraId="6B41522D"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3.0 Internal Processing Dynamics</w:t>
      </w:r>
    </w:p>
    <w:p w14:paraId="6B41522E"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DEFT operates through a cyclical, stage-based architecture that unfolds across five interlinked processing phases.</w:t>
      </w:r>
    </w:p>
    <w:p w14:paraId="6B41522F"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3.1 Initialization and Baseline Field Formation</w:t>
      </w:r>
    </w:p>
    <w:p w14:paraId="6B415230"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Expectation fields are formed using previously learned associations, establishing baseline predictions of environmental and cognitive states.</w:t>
      </w:r>
    </w:p>
    <w:p w14:paraId="6B415231"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3.2 Prediction-Error Detection</w:t>
      </w:r>
    </w:p>
    <w:p w14:paraId="6B415232"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Incoming sensory or cognitive input is compared with current expectation fields. Deviations are encoded as prediction errors, quantified by magnitude and direction.</w:t>
      </w:r>
    </w:p>
    <w:p w14:paraId="6B415233"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3.3 Field Updating and Volatility Adjustment</w:t>
      </w:r>
    </w:p>
    <w:p w14:paraId="6B415234"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lastRenderedPageBreak/>
        <w:t>Prediction errors prompt immediate recalibration of expectation fields. High volatility leads to accelerated updating, while low volatility favors stable predictive states.</w:t>
      </w:r>
    </w:p>
    <w:p w14:paraId="6B415235"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3.4 Hierarchical Field Calibration</w:t>
      </w:r>
    </w:p>
    <w:p w14:paraId="6B415236"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Updated fields propagate adjustments upward or downward across cognitive hierarchy levels, harmonizing anticipatory signals for integrative cognitive coherence.</w:t>
      </w:r>
    </w:p>
    <w:p w14:paraId="6B415237"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lang w:val="fr-FR"/>
        </w:rPr>
        <w:t>3.5 Resource Allocation Modulation</w:t>
      </w:r>
    </w:p>
    <w:p w14:paraId="6B415238"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Cognitive resource allocation shifts toward pathways identified as most critical or uncertain, based on updated expectation fields. Adaptive modulation ensures efficient cognitive engagement.</w:t>
      </w:r>
    </w:p>
    <w:p w14:paraId="6B415239"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4.0 Applications and Predictions</w:t>
      </w:r>
    </w:p>
    <w:p w14:paraId="6B41523A"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DEFT yields clear, testable predictions across cognitive science and behavioral psychology.</w:t>
      </w:r>
    </w:p>
    <w:p w14:paraId="6B41523B"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4.1 Anticipatory Load Modulation in Multitasking Environments</w:t>
      </w:r>
    </w:p>
    <w:p w14:paraId="6B41523C"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Prediction: Cognitive efficiency improves significantly when multitasking demands are predictable compared to unpredictable conditions.</w:t>
      </w:r>
    </w:p>
    <w:p w14:paraId="6B41523D"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Illustrative Case: In simultaneous cognitive tasks with predictable versus random stimulus intervals, performance (accuracy, reaction time) and neurophysiological correlates will show enhanced resource allocation under predictable conditions.</w:t>
      </w:r>
    </w:p>
    <w:p w14:paraId="6B41523E"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lang w:val="de-DE"/>
        </w:rPr>
        <w:t>4.2 Adaptive Learning Rates Under Uncertainty</w:t>
      </w:r>
    </w:p>
    <w:p w14:paraId="6B41523F"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Prediction: Learning rate dynamically accelerates during initial periods of high uncertainty and gradually stabilizes as anticipatory fields mature.</w:t>
      </w:r>
    </w:p>
    <w:p w14:paraId="6B415240"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lastRenderedPageBreak/>
        <w:t>Illustrative Case: In novel probabilistic reinforcement tasks with changing probabilities, behavioral learning curves will show an initial steep rise followed by stabilization.</w:t>
      </w:r>
    </w:p>
    <w:p w14:paraId="6B415241"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4.3 Expectation Field Attenuation in Chronic Stress Conditions</w:t>
      </w:r>
    </w:p>
    <w:p w14:paraId="6B415242"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Prediction: Chronic stress will flatten expectation fields, reducing predictive accuracy and adaptive resource allocation.</w:t>
      </w:r>
    </w:p>
    <w:p w14:paraId="6B415243"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Illustrative Case: In stress-induction experiments paired with predictive learning tasks, physiological stress biomarkers will correlate with lowered cognitive performance and increased resource inefficiency.</w:t>
      </w:r>
    </w:p>
    <w:p w14:paraId="6B415244"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These predictions are directly evaluable using behavioral paradigms, EEG/fMRI, pupil dilation, and computational modeling.</w:t>
      </w:r>
    </w:p>
    <w:p w14:paraId="6B415245"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t>5.0 Limitations and Future Work</w:t>
      </w:r>
    </w:p>
    <w:p w14:paraId="6B415246"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DEFT currently abstracts the neurobiological implementation details, relying on computational representations that require empirical validation through neuroimaging. Its predictive accuracy in complex real-world environments remains preliminary, necessitating extensive cross-validation.</w:t>
      </w:r>
    </w:p>
    <w:p w14:paraId="6B415247"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Future directions include:</w:t>
      </w:r>
    </w:p>
    <w:p w14:paraId="6B415248"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Refining volatility estimation algorithms and explicitly modeling hierarchical anticipatory processes.</w:t>
      </w:r>
    </w:p>
    <w:p w14:paraId="6B415249"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Longitudinal studies exploring expectation field dynamics over extended periods.</w:t>
      </w:r>
    </w:p>
    <w:p w14:paraId="6B41524A"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Integration with clinical populations to investigate maladaptive anticipation in anxiety and cognitive fatigue.</w:t>
      </w:r>
    </w:p>
    <w:p w14:paraId="6B41524B"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Development of computational simulations for real-time resource allocation testing.</w:t>
      </w:r>
    </w:p>
    <w:p w14:paraId="6B41524C"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b/>
          <w:bCs/>
        </w:rPr>
        <w:lastRenderedPageBreak/>
        <w:t>6.0 Final Synthesis</w:t>
      </w:r>
    </w:p>
    <w:p w14:paraId="6B41524D"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Dynamic Expectation Field Theory offers a coherent, mechanistically precise account of how cognitive systems anticipate and adapt to uncertainty through dynamic expectation fields and the Anticipatory Field Generator. By centering cognition on the interplay of prediction-error feedback, volatility estimation, hierarchical calibration, and adaptive resource allocation, DEFT explains not only moment-to-moment cognitive flexibility but also longer-term phenomena such as resilience under uncertainty and vulnerability to chronic stress.</w:t>
      </w:r>
    </w:p>
    <w:p w14:paraId="6B41524E"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The inclusion of clear field-update mechanics, testable predictions, and direct applicability to real-world cognitive load positions DEFT as a bridge between anticipatory modeling and broader theories of attention and decision-making. While further refinement of neurobiological mappings and individual-difference parameters remains, the framework already provides a practical and falsifiable lens for understanding how the mind pre-emptively allocates resources to navigate an uncertain world. DEFT thus stands as a foundational model ready for experimental validation, clinical application, and interdisciplinary extension.</w:t>
      </w:r>
    </w:p>
    <w:p w14:paraId="6B41524F"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3975EE">
        <w:rPr>
          <w:rFonts w:ascii="Aptos" w:hAnsi="Aptos"/>
          <w:b/>
          <w:bCs/>
          <w:lang w:val="fr-FR"/>
        </w:rPr>
        <w:t>References</w:t>
      </w:r>
      <w:proofErr w:type="spellEnd"/>
    </w:p>
    <w:p w14:paraId="6B415250"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Behrens, T. E. J., Woolrich, M. W., Walton, M. E., &amp; Rushworth, M. F. S. (2007). Learning the value of information in an uncertain world. </w:t>
      </w:r>
      <w:r w:rsidRPr="003975EE">
        <w:rPr>
          <w:rFonts w:ascii="Aptos" w:hAnsi="Aptos"/>
          <w:i/>
          <w:iCs/>
          <w:lang w:val="fr-FR"/>
        </w:rPr>
        <w:t>Nature Neuroscience</w:t>
      </w:r>
      <w:r w:rsidRPr="003975EE">
        <w:rPr>
          <w:rFonts w:ascii="Aptos" w:hAnsi="Aptos"/>
        </w:rPr>
        <w:t xml:space="preserve">, 10(9), 1214–1221. </w:t>
      </w:r>
      <w:hyperlink r:id="rId11" w:history="1">
        <w:r w:rsidR="00F675DB" w:rsidRPr="003975EE">
          <w:rPr>
            <w:rStyle w:val="Hyperlink0"/>
            <w:rFonts w:ascii="Aptos" w:hAnsi="Aptos"/>
          </w:rPr>
          <w:t>https://doi.org/10.1038/nn1954</w:t>
        </w:r>
      </w:hyperlink>
    </w:p>
    <w:p w14:paraId="6B415251"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3975EE">
        <w:rPr>
          <w:rFonts w:ascii="Aptos" w:hAnsi="Aptos"/>
        </w:rPr>
        <w:t>Botvinick</w:t>
      </w:r>
      <w:proofErr w:type="spellEnd"/>
      <w:r w:rsidRPr="003975EE">
        <w:rPr>
          <w:rFonts w:ascii="Aptos" w:hAnsi="Aptos"/>
        </w:rPr>
        <w:t xml:space="preserve">, M. M., Braver, T. S., Barch, D. M., Carter, C. S., &amp; Cohen, J. D. (2001). Conflict monitoring and cognitive control. </w:t>
      </w:r>
      <w:r w:rsidRPr="003975EE">
        <w:rPr>
          <w:rFonts w:ascii="Aptos" w:hAnsi="Aptos"/>
          <w:i/>
          <w:iCs/>
        </w:rPr>
        <w:t>Psychological Review</w:t>
      </w:r>
      <w:r w:rsidRPr="003975EE">
        <w:rPr>
          <w:rFonts w:ascii="Aptos" w:hAnsi="Aptos"/>
        </w:rPr>
        <w:t xml:space="preserve">, 108(3), 624–652. </w:t>
      </w:r>
      <w:hyperlink r:id="rId12" w:history="1">
        <w:r w:rsidR="00F675DB" w:rsidRPr="003975EE">
          <w:rPr>
            <w:rStyle w:val="Hyperlink0"/>
            <w:rFonts w:ascii="Aptos" w:hAnsi="Aptos"/>
          </w:rPr>
          <w:t>https://doi.org/10.1037/0033-295X.108.3.624</w:t>
        </w:r>
      </w:hyperlink>
    </w:p>
    <w:p w14:paraId="6B415252"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lastRenderedPageBreak/>
        <w:t xml:space="preserve">Brisart, J. (2025). The Brisart Format: A Standardized Template for Theoretical, Conceptual, and Methodological Manuscripts (Version v2). </w:t>
      </w:r>
      <w:proofErr w:type="spellStart"/>
      <w:r w:rsidRPr="003975EE">
        <w:rPr>
          <w:rFonts w:ascii="Aptos" w:hAnsi="Aptos"/>
        </w:rPr>
        <w:t>Zenodo</w:t>
      </w:r>
      <w:proofErr w:type="spellEnd"/>
      <w:r w:rsidRPr="003975EE">
        <w:rPr>
          <w:rFonts w:ascii="Aptos" w:hAnsi="Aptos"/>
        </w:rPr>
        <w:t xml:space="preserve">. </w:t>
      </w:r>
      <w:hyperlink r:id="rId13" w:history="1">
        <w:r w:rsidR="00F675DB" w:rsidRPr="003975EE">
          <w:rPr>
            <w:rStyle w:val="Hyperlink0"/>
            <w:rFonts w:ascii="Aptos" w:hAnsi="Aptos"/>
          </w:rPr>
          <w:t>https://doi.org/10.5281/zenodo.15725824</w:t>
        </w:r>
      </w:hyperlink>
    </w:p>
    <w:p w14:paraId="6B415253"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Bruckner, R., et al. (2025). Understanding learning through uncertainty and bias. </w:t>
      </w:r>
      <w:r w:rsidRPr="003975EE">
        <w:rPr>
          <w:rFonts w:ascii="Aptos" w:hAnsi="Aptos"/>
          <w:i/>
          <w:iCs/>
          <w:lang w:val="fr-FR"/>
        </w:rPr>
        <w:t xml:space="preserve">Nature Human </w:t>
      </w:r>
      <w:proofErr w:type="spellStart"/>
      <w:r w:rsidRPr="003975EE">
        <w:rPr>
          <w:rFonts w:ascii="Aptos" w:hAnsi="Aptos"/>
          <w:i/>
          <w:iCs/>
          <w:lang w:val="fr-FR"/>
        </w:rPr>
        <w:t>Behaviour</w:t>
      </w:r>
      <w:proofErr w:type="spellEnd"/>
      <w:r w:rsidRPr="003975EE">
        <w:rPr>
          <w:rFonts w:ascii="Aptos" w:hAnsi="Aptos"/>
        </w:rPr>
        <w:t xml:space="preserve">. </w:t>
      </w:r>
      <w:hyperlink r:id="rId14" w:history="1">
        <w:r w:rsidR="00F675DB" w:rsidRPr="003975EE">
          <w:rPr>
            <w:rStyle w:val="Hyperlink0"/>
            <w:rFonts w:ascii="Aptos" w:hAnsi="Aptos"/>
          </w:rPr>
          <w:t>https://doi.org/10.1038/s44271-025-00203-y</w:t>
        </w:r>
      </w:hyperlink>
    </w:p>
    <w:p w14:paraId="6B415254"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Cavanagh, J. F., &amp; Frank, M. J. (2014). Frontal theta as a mechanism for cognitive control. </w:t>
      </w:r>
      <w:r w:rsidRPr="003975EE">
        <w:rPr>
          <w:rFonts w:ascii="Aptos" w:hAnsi="Aptos"/>
          <w:i/>
          <w:iCs/>
        </w:rPr>
        <w:t>Trends in Cognitive Sciences</w:t>
      </w:r>
      <w:r w:rsidRPr="003975EE">
        <w:rPr>
          <w:rFonts w:ascii="Aptos" w:hAnsi="Aptos"/>
        </w:rPr>
        <w:t xml:space="preserve">, 18(8), 414–421. </w:t>
      </w:r>
      <w:hyperlink r:id="rId15" w:history="1">
        <w:r w:rsidR="00F675DB" w:rsidRPr="003975EE">
          <w:rPr>
            <w:rStyle w:val="Hyperlink0"/>
            <w:rFonts w:ascii="Aptos" w:hAnsi="Aptos"/>
          </w:rPr>
          <w:t>https://doi.org/10.1016/j.tics.2014.04.012</w:t>
        </w:r>
      </w:hyperlink>
    </w:p>
    <w:p w14:paraId="6B415255"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Foucault, C., et al. (2024). Two determinants of dynamic adaptive learning for humans. </w:t>
      </w:r>
      <w:r w:rsidRPr="003975EE">
        <w:rPr>
          <w:rFonts w:ascii="Aptos" w:hAnsi="Aptos"/>
          <w:i/>
          <w:iCs/>
          <w:lang w:val="de-DE"/>
        </w:rPr>
        <w:t>Open Mind</w:t>
      </w:r>
      <w:r w:rsidRPr="003975EE">
        <w:rPr>
          <w:rFonts w:ascii="Aptos" w:hAnsi="Aptos"/>
        </w:rPr>
        <w:t xml:space="preserve">. </w:t>
      </w:r>
      <w:hyperlink r:id="rId16" w:history="1">
        <w:r w:rsidR="00F675DB" w:rsidRPr="003975EE">
          <w:rPr>
            <w:rStyle w:val="Hyperlink0"/>
            <w:rFonts w:ascii="Aptos" w:hAnsi="Aptos"/>
          </w:rPr>
          <w:t>https://doi.org/10.1162/opmi_a_00139</w:t>
        </w:r>
      </w:hyperlink>
    </w:p>
    <w:p w14:paraId="6B415256"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Friston, K. (2010). The free-energy principle: A unified brain theory? </w:t>
      </w:r>
      <w:r w:rsidRPr="003975EE">
        <w:rPr>
          <w:rFonts w:ascii="Aptos" w:hAnsi="Aptos"/>
          <w:i/>
          <w:iCs/>
        </w:rPr>
        <w:t>Nature Reviews Neuroscience</w:t>
      </w:r>
      <w:r w:rsidRPr="003975EE">
        <w:rPr>
          <w:rFonts w:ascii="Aptos" w:hAnsi="Aptos"/>
        </w:rPr>
        <w:t xml:space="preserve">, 11(2), 127–138. </w:t>
      </w:r>
      <w:hyperlink r:id="rId17" w:history="1">
        <w:r w:rsidR="00F675DB" w:rsidRPr="003975EE">
          <w:rPr>
            <w:rStyle w:val="Hyperlink0"/>
            <w:rFonts w:ascii="Aptos" w:hAnsi="Aptos"/>
          </w:rPr>
          <w:t>https://doi.org/10.1038/nrn2787</w:t>
        </w:r>
      </w:hyperlink>
    </w:p>
    <w:p w14:paraId="6B415257"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Lee, J. K., Gold, J. I., &amp; Kable, J. W. (2023). Adaptive tuning of human learning and choice variability to unexpected uncertainty. </w:t>
      </w:r>
      <w:r w:rsidRPr="003975EE">
        <w:rPr>
          <w:rFonts w:ascii="Aptos" w:hAnsi="Aptos"/>
          <w:i/>
          <w:iCs/>
          <w:lang w:val="fr-FR"/>
        </w:rPr>
        <w:t xml:space="preserve">Science </w:t>
      </w:r>
      <w:proofErr w:type="spellStart"/>
      <w:r w:rsidRPr="003975EE">
        <w:rPr>
          <w:rFonts w:ascii="Aptos" w:hAnsi="Aptos"/>
          <w:i/>
          <w:iCs/>
          <w:lang w:val="fr-FR"/>
        </w:rPr>
        <w:t>Advances</w:t>
      </w:r>
      <w:proofErr w:type="spellEnd"/>
      <w:r w:rsidRPr="003975EE">
        <w:rPr>
          <w:rFonts w:ascii="Aptos" w:hAnsi="Aptos"/>
        </w:rPr>
        <w:t xml:space="preserve">, 9(13), eadd0501. </w:t>
      </w:r>
      <w:hyperlink r:id="rId18" w:history="1">
        <w:r w:rsidR="00F675DB" w:rsidRPr="003975EE">
          <w:rPr>
            <w:rStyle w:val="Hyperlink0"/>
            <w:rFonts w:ascii="Aptos" w:hAnsi="Aptos"/>
            <w:lang w:val="it-IT"/>
          </w:rPr>
          <w:t>https://doi.org/10.1126/sciadv.add0501</w:t>
        </w:r>
      </w:hyperlink>
    </w:p>
    <w:p w14:paraId="6B415258"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3975EE">
        <w:rPr>
          <w:rFonts w:ascii="Aptos" w:hAnsi="Aptos"/>
        </w:rPr>
        <w:t xml:space="preserve">Nassar, M. R., et al. (2012). Rational regulation of learning dynamics by pupil-linked arousal systems. </w:t>
      </w:r>
      <w:r w:rsidRPr="003975EE">
        <w:rPr>
          <w:rFonts w:ascii="Aptos" w:hAnsi="Aptos"/>
          <w:i/>
          <w:iCs/>
          <w:lang w:val="fr-FR"/>
        </w:rPr>
        <w:t>Nature Neuroscience</w:t>
      </w:r>
      <w:r w:rsidRPr="003975EE">
        <w:rPr>
          <w:rFonts w:ascii="Aptos" w:hAnsi="Aptos"/>
        </w:rPr>
        <w:t xml:space="preserve">, 15(7), 1040–1046. </w:t>
      </w:r>
      <w:hyperlink r:id="rId19" w:history="1">
        <w:r w:rsidR="00F675DB" w:rsidRPr="003975EE">
          <w:rPr>
            <w:rStyle w:val="Hyperlink0"/>
            <w:rFonts w:ascii="Aptos" w:hAnsi="Aptos"/>
          </w:rPr>
          <w:t>https://doi.org/10.1038/nn.3130</w:t>
        </w:r>
      </w:hyperlink>
    </w:p>
    <w:p w14:paraId="6B415259"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3975EE">
        <w:rPr>
          <w:rFonts w:ascii="Aptos" w:hAnsi="Aptos"/>
        </w:rPr>
        <w:t>Pulcu</w:t>
      </w:r>
      <w:proofErr w:type="spellEnd"/>
      <w:r w:rsidRPr="003975EE">
        <w:rPr>
          <w:rFonts w:ascii="Aptos" w:hAnsi="Aptos"/>
        </w:rPr>
        <w:t xml:space="preserve">, E., et al. (2025). Humans adapt rationally to approximate estimates of uncertainty. </w:t>
      </w:r>
      <w:proofErr w:type="spellStart"/>
      <w:r w:rsidRPr="003975EE">
        <w:rPr>
          <w:rFonts w:ascii="Aptos" w:hAnsi="Aptos"/>
          <w:i/>
          <w:iCs/>
        </w:rPr>
        <w:t>eLife</w:t>
      </w:r>
      <w:proofErr w:type="spellEnd"/>
      <w:r w:rsidRPr="003975EE">
        <w:rPr>
          <w:rFonts w:ascii="Aptos" w:hAnsi="Aptos"/>
        </w:rPr>
        <w:t xml:space="preserve">. </w:t>
      </w:r>
      <w:hyperlink r:id="rId20" w:history="1">
        <w:r w:rsidR="00F675DB" w:rsidRPr="003975EE">
          <w:rPr>
            <w:rStyle w:val="Hyperlink0"/>
            <w:rFonts w:ascii="Aptos" w:hAnsi="Aptos"/>
          </w:rPr>
          <w:t>https://doi.org/10.7554/eLife.103734</w:t>
        </w:r>
      </w:hyperlink>
    </w:p>
    <w:p w14:paraId="6B41525A" w14:textId="77777777" w:rsidR="00F675DB" w:rsidRPr="003975E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3975EE">
        <w:rPr>
          <w:rFonts w:ascii="Aptos" w:hAnsi="Aptos"/>
        </w:rPr>
        <w:t xml:space="preserve">Shenhav, A., </w:t>
      </w:r>
      <w:proofErr w:type="spellStart"/>
      <w:r w:rsidRPr="003975EE">
        <w:rPr>
          <w:rFonts w:ascii="Aptos" w:hAnsi="Aptos"/>
        </w:rPr>
        <w:t>Botvinick</w:t>
      </w:r>
      <w:proofErr w:type="spellEnd"/>
      <w:r w:rsidRPr="003975EE">
        <w:rPr>
          <w:rFonts w:ascii="Aptos" w:hAnsi="Aptos"/>
        </w:rPr>
        <w:t xml:space="preserve">, M. M., &amp; Cohen, J. D. (2013). The expected value of control: An integrative theory of anterior cingulate cortex function. </w:t>
      </w:r>
      <w:r w:rsidRPr="003975EE">
        <w:rPr>
          <w:rFonts w:ascii="Aptos" w:hAnsi="Aptos"/>
          <w:i/>
          <w:iCs/>
          <w:lang w:val="de-DE"/>
        </w:rPr>
        <w:t>Neuron</w:t>
      </w:r>
      <w:r w:rsidRPr="003975EE">
        <w:rPr>
          <w:rFonts w:ascii="Aptos" w:hAnsi="Aptos"/>
        </w:rPr>
        <w:t xml:space="preserve">, 79(2), 217–240. </w:t>
      </w:r>
      <w:hyperlink r:id="rId21" w:history="1">
        <w:r w:rsidR="00F675DB" w:rsidRPr="003975EE">
          <w:rPr>
            <w:rStyle w:val="Hyperlink0"/>
            <w:rFonts w:ascii="Aptos" w:hAnsi="Aptos"/>
          </w:rPr>
          <w:t>https://doi.org/10.1016/j.neuron.2013.07.007</w:t>
        </w:r>
      </w:hyperlink>
    </w:p>
    <w:sectPr w:rsidR="00F675DB" w:rsidRPr="003975EE">
      <w:headerReference w:type="default"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CE3CA" w14:textId="77777777" w:rsidR="007238F3" w:rsidRDefault="007238F3">
      <w:r>
        <w:separator/>
      </w:r>
    </w:p>
  </w:endnote>
  <w:endnote w:type="continuationSeparator" w:id="0">
    <w:p w14:paraId="203794F3" w14:textId="77777777" w:rsidR="007238F3" w:rsidRDefault="0072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525C" w14:textId="77777777" w:rsidR="00F675DB" w:rsidRDefault="00F675D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3B6F" w14:textId="77777777" w:rsidR="007238F3" w:rsidRDefault="007238F3">
      <w:r>
        <w:separator/>
      </w:r>
    </w:p>
  </w:footnote>
  <w:footnote w:type="continuationSeparator" w:id="0">
    <w:p w14:paraId="48D0A896" w14:textId="77777777" w:rsidR="007238F3" w:rsidRDefault="0072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525B" w14:textId="77777777" w:rsidR="00F675DB" w:rsidRDefault="00F675DB">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DB"/>
    <w:rsid w:val="00076643"/>
    <w:rsid w:val="003975EE"/>
    <w:rsid w:val="005D198F"/>
    <w:rsid w:val="007238F3"/>
    <w:rsid w:val="007641B5"/>
    <w:rsid w:val="008C5B42"/>
    <w:rsid w:val="00B27149"/>
    <w:rsid w:val="00F6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5216"/>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5281/zenodo.15725824" TargetMode="External"/><Relationship Id="rId18" Type="http://schemas.openxmlformats.org/officeDocument/2006/relationships/hyperlink" Target="https://doi.org/10.1126/sciadv.add0501" TargetMode="External"/><Relationship Id="rId3" Type="http://schemas.openxmlformats.org/officeDocument/2006/relationships/customXml" Target="../customXml/item3.xml"/><Relationship Id="rId21" Type="http://schemas.openxmlformats.org/officeDocument/2006/relationships/hyperlink" Target="https://doi.org/10.1016/j.neuron.2013.07.007" TargetMode="External"/><Relationship Id="rId7" Type="http://schemas.openxmlformats.org/officeDocument/2006/relationships/footnotes" Target="footnotes.xml"/><Relationship Id="rId12" Type="http://schemas.openxmlformats.org/officeDocument/2006/relationships/hyperlink" Target="https://doi.org/10.1037/0033-295X.108.3.624" TargetMode="External"/><Relationship Id="rId17" Type="http://schemas.openxmlformats.org/officeDocument/2006/relationships/hyperlink" Target="https://doi.org/10.1038/nrn278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162/opmi_a_00139" TargetMode="External"/><Relationship Id="rId20" Type="http://schemas.openxmlformats.org/officeDocument/2006/relationships/hyperlink" Target="https://doi.org/10.7554/eLife.10373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38/nn1954"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1016/j.tics.2014.04.012" TargetMode="External"/><Relationship Id="rId23" Type="http://schemas.openxmlformats.org/officeDocument/2006/relationships/footer" Target="footer1.xml"/><Relationship Id="rId10" Type="http://schemas.openxmlformats.org/officeDocument/2006/relationships/hyperlink" Target="http://www.brisartresearcharchive.com" TargetMode="External"/><Relationship Id="rId19" Type="http://schemas.openxmlformats.org/officeDocument/2006/relationships/hyperlink" Target="https://doi.org/10.1038/nn.3130"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1038/s44271-025-00203-y"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B94446-D4A7-4614-B9CE-BCEC445D9BAA}">
  <ds:schemaRefs>
    <ds:schemaRef ds:uri="http://schemas.microsoft.com/sharepoint/v3/contenttype/forms"/>
  </ds:schemaRefs>
</ds:datastoreItem>
</file>

<file path=customXml/itemProps2.xml><?xml version="1.0" encoding="utf-8"?>
<ds:datastoreItem xmlns:ds="http://schemas.openxmlformats.org/officeDocument/2006/customXml" ds:itemID="{A839A5AA-D5B2-448E-8E80-748DC8768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E5B87E-EEFE-4EBA-B689-42B3931B1F25}">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1611</Words>
  <Characters>9185</Characters>
  <Application>Microsoft Office Word</Application>
  <DocSecurity>0</DocSecurity>
  <Lines>76</Lines>
  <Paragraphs>21</Paragraphs>
  <ScaleCrop>false</ScaleCrop>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4</cp:revision>
  <dcterms:created xsi:type="dcterms:W3CDTF">2026-06-22T00:02:00Z</dcterms:created>
  <dcterms:modified xsi:type="dcterms:W3CDTF">2026-09-17T19:27:00Z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