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6A400" w14:textId="6EFDEF9D" w:rsidR="257C6BD0" w:rsidRDefault="257C6BD0" w:rsidP="257C6BD0">
      <w:pPr>
        <w:pStyle w:val="Default"/>
        <w:spacing w:line="276" w:lineRule="auto"/>
      </w:pPr>
      <w:r w:rsidRPr="257C6BD0">
        <w:rPr>
          <w:rFonts w:ascii="Times New Roman" w:eastAsia="Times New Roman" w:hAnsi="Times New Roman" w:cs="Times New Roman"/>
          <w:b/>
          <w:bCs/>
          <w:sz w:val="48"/>
          <w:szCs w:val="48"/>
        </w:rPr>
        <w:t>Generative Insight Engine (GIE): A Resonance-Driven Model of Creative Emergence and Sudden Coherence</w:t>
      </w:r>
    </w:p>
    <w:p w14:paraId="26DEA79F" w14:textId="49957F34" w:rsidR="257C6BD0" w:rsidRDefault="257C6BD0" w:rsidP="257C6BD0">
      <w:pPr>
        <w:pStyle w:val="Default"/>
        <w:spacing w:line="276" w:lineRule="auto"/>
      </w:pPr>
      <w:r w:rsidRPr="257C6BD0">
        <w:rPr>
          <w:rFonts w:ascii="Times New Roman" w:eastAsia="Times New Roman" w:hAnsi="Times New Roman" w:cs="Times New Roman"/>
          <w:sz w:val="18"/>
          <w:szCs w:val="18"/>
        </w:rPr>
        <w:t>Jason Brisart</w:t>
      </w:r>
    </w:p>
    <w:p w14:paraId="37AD892F" w14:textId="3E129C0A" w:rsidR="257C6BD0" w:rsidRDefault="257C6BD0" w:rsidP="257C6BD0">
      <w:pPr>
        <w:pStyle w:val="Default"/>
        <w:spacing w:line="276" w:lineRule="auto"/>
      </w:pPr>
      <w:r w:rsidRPr="257C6BD0">
        <w:rPr>
          <w:rFonts w:ascii="Times New Roman" w:eastAsia="Times New Roman" w:hAnsi="Times New Roman" w:cs="Times New Roman"/>
          <w:sz w:val="18"/>
          <w:szCs w:val="18"/>
        </w:rPr>
        <w:t>Independent Researcher</w:t>
      </w:r>
    </w:p>
    <w:p w14:paraId="029658A4" w14:textId="69CD36E6" w:rsidR="257C6BD0" w:rsidRDefault="257C6BD0" w:rsidP="257C6BD0">
      <w:pPr>
        <w:pStyle w:val="Default"/>
        <w:spacing w:line="276" w:lineRule="auto"/>
      </w:pPr>
      <w:r w:rsidRPr="257C6BD0">
        <w:rPr>
          <w:rFonts w:ascii="Times New Roman" w:eastAsia="Times New Roman" w:hAnsi="Times New Roman" w:cs="Times New Roman"/>
          <w:sz w:val="18"/>
          <w:szCs w:val="18"/>
        </w:rPr>
        <w:t>jason@brisartresearcharchive.com</w:t>
      </w:r>
    </w:p>
    <w:p w14:paraId="0FFC9E34" w14:textId="6BD25C62" w:rsidR="257C6BD0" w:rsidRDefault="257C6BD0" w:rsidP="257C6BD0">
      <w:pPr>
        <w:pStyle w:val="Default"/>
        <w:spacing w:line="276" w:lineRule="auto"/>
      </w:pPr>
      <w:r w:rsidRPr="257C6BD0">
        <w:rPr>
          <w:rFonts w:ascii="Times New Roman" w:eastAsia="Times New Roman" w:hAnsi="Times New Roman" w:cs="Times New Roman"/>
          <w:sz w:val="18"/>
          <w:szCs w:val="18"/>
        </w:rPr>
        <w:t>www.brisartresearcharchive.com</w:t>
      </w:r>
    </w:p>
    <w:p w14:paraId="51527F7B" w14:textId="538F749E" w:rsidR="257C6BD0" w:rsidRDefault="257C6BD0" w:rsidP="257C6BD0">
      <w:pPr>
        <w:pStyle w:val="Default"/>
        <w:spacing w:line="276" w:lineRule="auto"/>
      </w:pPr>
    </w:p>
    <w:p w14:paraId="08F9F343" w14:textId="29194A08" w:rsidR="257C6BD0" w:rsidRDefault="257C6BD0" w:rsidP="257C6BD0">
      <w:pPr>
        <w:pStyle w:val="Default"/>
        <w:spacing w:line="276" w:lineRule="auto"/>
      </w:pPr>
      <w:r w:rsidRPr="257C6BD0">
        <w:rPr>
          <w:rFonts w:ascii="Times New Roman" w:eastAsia="Times New Roman" w:hAnsi="Times New Roman" w:cs="Times New Roman"/>
          <w:b/>
          <w:bCs/>
          <w:sz w:val="26"/>
          <w:szCs w:val="26"/>
        </w:rPr>
        <w:t>Abstract</w:t>
      </w:r>
    </w:p>
    <w:p w14:paraId="56DFF105" w14:textId="1AD053AC" w:rsidR="257C6BD0" w:rsidRDefault="257C6BD0" w:rsidP="257C6BD0">
      <w:pPr>
        <w:pStyle w:val="Default"/>
        <w:spacing w:line="276" w:lineRule="auto"/>
      </w:pPr>
      <w:r w:rsidRPr="257C6BD0">
        <w:rPr>
          <w:rFonts w:ascii="Times New Roman" w:eastAsia="Times New Roman" w:hAnsi="Times New Roman" w:cs="Times New Roman"/>
          <w:sz w:val="18"/>
          <w:szCs w:val="18"/>
        </w:rPr>
        <w:t>Generative Insight Engine (GIE) proposes that creative breakthroughs and sudden understanding emerge when multiple internal generative models briefly achieve supra-threshold resonance through rapid cross-stream phase alignment.</w:t>
      </w:r>
    </w:p>
    <w:p w14:paraId="2C9B2B33" w14:textId="41B0A263" w:rsidR="257C6BD0" w:rsidRDefault="257C6BD0" w:rsidP="257C6BD0">
      <w:pPr>
        <w:pStyle w:val="Default"/>
        <w:spacing w:line="276" w:lineRule="auto"/>
      </w:pPr>
      <w:r w:rsidRPr="257C6BD0">
        <w:rPr>
          <w:rFonts w:ascii="Times New Roman" w:eastAsia="Times New Roman" w:hAnsi="Times New Roman" w:cs="Times New Roman"/>
          <w:sz w:val="18"/>
          <w:szCs w:val="18"/>
        </w:rPr>
        <w:t>Rather than treating creativity as random recombination or insight as routine problem solving, the model frames insight as an active resonant process: perceptual, conceptual, emotional, and motor prediction streams transiently entrain, producing a surge of coherent generative output. Central to the framework is a distributed Generative Insight Node (GIN) that detects high-surprise states, amplifies affective charge, and drives corrective entrainment until the system settles into a new stable configuration.</w:t>
      </w:r>
    </w:p>
    <w:p w14:paraId="7A4BF7CC" w14:textId="2D6AAEA7" w:rsidR="257C6BD0" w:rsidRDefault="257C6BD0" w:rsidP="257C6BD0">
      <w:pPr>
        <w:pStyle w:val="Default"/>
        <w:spacing w:line="276" w:lineRule="auto"/>
      </w:pPr>
      <w:r w:rsidRPr="257C6BD0">
        <w:rPr>
          <w:rFonts w:ascii="Times New Roman" w:eastAsia="Times New Roman" w:hAnsi="Times New Roman" w:cs="Times New Roman"/>
          <w:sz w:val="18"/>
          <w:szCs w:val="18"/>
        </w:rPr>
        <w:t>GIE is intended to explain “aha!” moments, scientific discovery, artistic improvisation, creative problem solving, and therapeutic reframing while generating testable predictions (e.g., gamma–theta phase-locking changes, pupillometry surges, and measurable shifts during real-time creativity tasks). In this account, surprise and affect scale from brief prediction error into lasting creative coherence when resonance thresholds are crossed.</w:t>
      </w:r>
    </w:p>
    <w:p w14:paraId="2B62EC5A" w14:textId="7A7033C7" w:rsidR="257C6BD0" w:rsidRDefault="257C6BD0" w:rsidP="257C6BD0">
      <w:pPr>
        <w:pStyle w:val="Default"/>
        <w:spacing w:line="276" w:lineRule="auto"/>
      </w:pPr>
      <w:r w:rsidRPr="257C6BD0">
        <w:rPr>
          <w:rFonts w:ascii="Times New Roman" w:eastAsia="Times New Roman" w:hAnsi="Times New Roman" w:cs="Times New Roman"/>
          <w:sz w:val="18"/>
          <w:szCs w:val="18"/>
        </w:rPr>
        <w:t xml:space="preserve"> </w:t>
      </w:r>
    </w:p>
    <w:p w14:paraId="0EC817EF" w14:textId="7D56B999" w:rsidR="257C6BD0" w:rsidRDefault="257C6BD0" w:rsidP="257C6BD0">
      <w:pPr>
        <w:pStyle w:val="Default"/>
        <w:spacing w:line="276" w:lineRule="auto"/>
      </w:pPr>
      <w:r w:rsidRPr="257C6BD0">
        <w:rPr>
          <w:rFonts w:ascii="Times New Roman" w:eastAsia="Times New Roman" w:hAnsi="Times New Roman" w:cs="Times New Roman"/>
          <w:sz w:val="18"/>
          <w:szCs w:val="18"/>
        </w:rPr>
        <w:t xml:space="preserve"> </w:t>
      </w:r>
    </w:p>
    <w:p w14:paraId="5C7509BB" w14:textId="3B1E1AD9" w:rsidR="257C6BD0" w:rsidRDefault="257C6BD0" w:rsidP="257C6BD0">
      <w:pPr>
        <w:pStyle w:val="Default"/>
        <w:spacing w:line="276" w:lineRule="auto"/>
      </w:pPr>
      <w:r w:rsidRPr="257C6BD0">
        <w:rPr>
          <w:rFonts w:ascii="Times New Roman" w:eastAsia="Times New Roman" w:hAnsi="Times New Roman" w:cs="Times New Roman"/>
          <w:b/>
          <w:bCs/>
          <w:sz w:val="26"/>
          <w:szCs w:val="26"/>
        </w:rPr>
        <w:t>1.0 Introduction</w:t>
      </w:r>
    </w:p>
    <w:p w14:paraId="1F703E2E" w14:textId="65513788" w:rsidR="257C6BD0" w:rsidRDefault="257C6BD0" w:rsidP="257C6BD0">
      <w:pPr>
        <w:pStyle w:val="Default"/>
        <w:spacing w:line="276" w:lineRule="auto"/>
      </w:pPr>
      <w:r w:rsidRPr="257C6BD0">
        <w:rPr>
          <w:rFonts w:ascii="Times New Roman" w:eastAsia="Times New Roman" w:hAnsi="Times New Roman" w:cs="Times New Roman"/>
          <w:sz w:val="18"/>
          <w:szCs w:val="18"/>
        </w:rPr>
        <w:t>Creative insight feels instantaneous and transformative: a sudden clarity that reorganizes thought, solves an impasse, or generates something genuinely new. Existing models of creativity emphasize divergent thinking, incubation, or combinatorial search but rarely specify the underlying neurodynamic mechanism that converts diffuse exploration into a unified, compelling idea. Generative Insight Engine (GIE) addresses this gap by proposing that insight arises when multiple competing generative models achieve real-time vibrational resonance.</w:t>
      </w:r>
    </w:p>
    <w:p w14:paraId="26F85FC7" w14:textId="170F5A24" w:rsidR="257C6BD0" w:rsidRDefault="257C6BD0" w:rsidP="257C6BD0">
      <w:pPr>
        <w:pStyle w:val="Default"/>
        <w:spacing w:line="276" w:lineRule="auto"/>
      </w:pPr>
      <w:r w:rsidRPr="257C6BD0">
        <w:rPr>
          <w:rFonts w:ascii="Times New Roman" w:eastAsia="Times New Roman" w:hAnsi="Times New Roman" w:cs="Times New Roman"/>
          <w:sz w:val="18"/>
          <w:szCs w:val="18"/>
        </w:rPr>
        <w:t>This framework treats creativity not as a mysterious spark or statistical accident but as a higher-order resonant event capable of self-organization. When alignment occurs, disparate ideas collapse into a single coherent solution; when resonance fails, thinking remains stuck in loops of frustration or repetition. GIE provides a unified, empirically grounded account of how vibration and surprise scale from momentary prediction error to stable creative output.</w:t>
      </w:r>
    </w:p>
    <w:p w14:paraId="5FF37B06" w14:textId="4CE72216" w:rsidR="257C6BD0" w:rsidRDefault="257C6BD0" w:rsidP="257C6BD0">
      <w:pPr>
        <w:pStyle w:val="Default"/>
        <w:spacing w:line="276" w:lineRule="auto"/>
      </w:pPr>
      <w:r w:rsidRPr="257C6BD0">
        <w:rPr>
          <w:rFonts w:ascii="Times New Roman" w:eastAsia="Times New Roman" w:hAnsi="Times New Roman" w:cs="Times New Roman"/>
          <w:sz w:val="18"/>
          <w:szCs w:val="18"/>
        </w:rPr>
        <w:t xml:space="preserve"> </w:t>
      </w:r>
    </w:p>
    <w:p w14:paraId="0274419E" w14:textId="1B87A019" w:rsidR="257C6BD0" w:rsidRDefault="257C6BD0" w:rsidP="257C6BD0">
      <w:pPr>
        <w:pStyle w:val="Default"/>
        <w:spacing w:line="276" w:lineRule="auto"/>
      </w:pPr>
      <w:r w:rsidRPr="257C6BD0">
        <w:rPr>
          <w:rFonts w:ascii="Times New Roman" w:eastAsia="Times New Roman" w:hAnsi="Times New Roman" w:cs="Times New Roman"/>
          <w:sz w:val="18"/>
          <w:szCs w:val="18"/>
        </w:rPr>
        <w:t xml:space="preserve"> </w:t>
      </w:r>
    </w:p>
    <w:p w14:paraId="31473FC8" w14:textId="078936EF" w:rsidR="257C6BD0" w:rsidRDefault="257C6BD0" w:rsidP="257C6BD0">
      <w:pPr>
        <w:pStyle w:val="Default"/>
        <w:spacing w:line="276" w:lineRule="auto"/>
      </w:pPr>
      <w:r w:rsidRPr="257C6BD0">
        <w:rPr>
          <w:rFonts w:ascii="Times New Roman" w:eastAsia="Times New Roman" w:hAnsi="Times New Roman" w:cs="Times New Roman"/>
          <w:b/>
          <w:bCs/>
          <w:sz w:val="26"/>
          <w:szCs w:val="26"/>
        </w:rPr>
        <w:t>2.0 Core Mechanism</w:t>
      </w:r>
    </w:p>
    <w:p w14:paraId="276391EB" w14:textId="62EA7455" w:rsidR="257C6BD0" w:rsidRDefault="257C6BD0" w:rsidP="257C6BD0">
      <w:pPr>
        <w:pStyle w:val="Default"/>
        <w:spacing w:line="276" w:lineRule="auto"/>
      </w:pPr>
      <w:r w:rsidRPr="257C6BD0">
        <w:rPr>
          <w:rFonts w:ascii="Times New Roman" w:eastAsia="Times New Roman" w:hAnsi="Times New Roman" w:cs="Times New Roman"/>
          <w:sz w:val="18"/>
          <w:szCs w:val="18"/>
        </w:rPr>
        <w:lastRenderedPageBreak/>
        <w:t>At the heart of GIE is the Generative Insight Node (GIN), a distributed neurodynamic hub (primarily involving anterior cingulate, prefrontal, and default-mode networks) that continuously monitors generative-model competition and initiates resonance when surprise and affective charge converge.</w:t>
      </w:r>
    </w:p>
    <w:p w14:paraId="4C25EF04" w14:textId="2497811A" w:rsidR="257C6BD0" w:rsidRDefault="257C6BD0" w:rsidP="257C6BD0">
      <w:pPr>
        <w:pStyle w:val="Default"/>
        <w:spacing w:line="276" w:lineRule="auto"/>
      </w:pPr>
      <w:r w:rsidRPr="257C6BD0">
        <w:rPr>
          <w:rFonts w:ascii="Times New Roman" w:eastAsia="Times New Roman" w:hAnsi="Times New Roman" w:cs="Times New Roman"/>
          <w:sz w:val="18"/>
          <w:szCs w:val="18"/>
        </w:rPr>
        <w:t>The core components are:</w:t>
      </w:r>
    </w:p>
    <w:p w14:paraId="2F605B4F" w14:textId="66BA797B" w:rsidR="257C6BD0" w:rsidRDefault="257C6BD0" w:rsidP="257C6BD0">
      <w:pPr>
        <w:pStyle w:val="ListParagraph"/>
        <w:numPr>
          <w:ilvl w:val="0"/>
          <w:numId w:val="2"/>
        </w:numPr>
        <w:spacing w:line="276" w:lineRule="auto"/>
      </w:pPr>
      <w:r w:rsidRPr="257C6BD0">
        <w:rPr>
          <w:rFonts w:eastAsia="Times New Roman"/>
          <w:b/>
          <w:bCs/>
          <w:sz w:val="18"/>
          <w:szCs w:val="18"/>
        </w:rPr>
        <w:t>Competing generative models</w:t>
      </w:r>
      <w:r w:rsidRPr="257C6BD0">
        <w:rPr>
          <w:rFonts w:eastAsia="Times New Roman"/>
          <w:sz w:val="18"/>
          <w:szCs w:val="18"/>
        </w:rPr>
        <w:t>: parallel predictive templates spanning perceptual, conceptual, emotional, and motor domains.</w:t>
      </w:r>
    </w:p>
    <w:p w14:paraId="7FEDB7EC" w14:textId="03B5EDB7" w:rsidR="257C6BD0" w:rsidRDefault="257C6BD0" w:rsidP="257C6BD0">
      <w:pPr>
        <w:pStyle w:val="ListParagraph"/>
        <w:numPr>
          <w:ilvl w:val="0"/>
          <w:numId w:val="2"/>
        </w:numPr>
        <w:spacing w:line="276" w:lineRule="auto"/>
      </w:pPr>
      <w:r w:rsidRPr="257C6BD0">
        <w:rPr>
          <w:rFonts w:eastAsia="Times New Roman"/>
          <w:b/>
          <w:bCs/>
          <w:sz w:val="18"/>
          <w:szCs w:val="18"/>
        </w:rPr>
        <w:t>Cross-model coupling</w:t>
      </w:r>
      <w:r w:rsidRPr="257C6BD0">
        <w:rPr>
          <w:rFonts w:eastAsia="Times New Roman"/>
          <w:sz w:val="18"/>
          <w:szCs w:val="18"/>
        </w:rPr>
        <w:t>: oscillatory channels that enable measurable phase and amplitude interactions across streams.</w:t>
      </w:r>
    </w:p>
    <w:p w14:paraId="1131D4D5" w14:textId="61439B17" w:rsidR="257C6BD0" w:rsidRDefault="257C6BD0" w:rsidP="257C6BD0">
      <w:pPr>
        <w:pStyle w:val="ListParagraph"/>
        <w:numPr>
          <w:ilvl w:val="0"/>
          <w:numId w:val="2"/>
        </w:numPr>
        <w:spacing w:line="276" w:lineRule="auto"/>
      </w:pPr>
      <w:r w:rsidRPr="257C6BD0">
        <w:rPr>
          <w:rFonts w:eastAsia="Times New Roman"/>
          <w:b/>
          <w:bCs/>
          <w:sz w:val="18"/>
          <w:szCs w:val="18"/>
        </w:rPr>
        <w:t>Generative Insight Node (GIN)</w:t>
      </w:r>
      <w:r w:rsidRPr="257C6BD0">
        <w:rPr>
          <w:rFonts w:eastAsia="Times New Roman"/>
          <w:sz w:val="18"/>
          <w:szCs w:val="18"/>
        </w:rPr>
        <w:t>: a distributed hub that tracks mismatch/surprise and drives corrective entrainment toward coherence.</w:t>
      </w:r>
    </w:p>
    <w:p w14:paraId="4198E7C0" w14:textId="42BB2BA1" w:rsidR="257C6BD0" w:rsidRDefault="257C6BD0" w:rsidP="257C6BD0">
      <w:pPr>
        <w:pStyle w:val="Default"/>
        <w:spacing w:line="276" w:lineRule="auto"/>
      </w:pPr>
      <w:r w:rsidRPr="257C6BD0">
        <w:rPr>
          <w:rFonts w:ascii="Times New Roman" w:eastAsia="Times New Roman" w:hAnsi="Times New Roman" w:cs="Times New Roman"/>
          <w:sz w:val="18"/>
          <w:szCs w:val="18"/>
        </w:rPr>
        <w:t>The symbolic model of insight emergence is expressed as:</w:t>
      </w:r>
    </w:p>
    <w:p w14:paraId="79DFEAED" w14:textId="6975CECD" w:rsidR="257C6BD0" w:rsidRDefault="257C6BD0" w:rsidP="257C6BD0">
      <w:pPr>
        <w:pStyle w:val="Default"/>
        <w:spacing w:line="276" w:lineRule="auto"/>
      </w:pPr>
      <w:r w:rsidRPr="257C6BD0">
        <w:rPr>
          <w:rFonts w:ascii="Times New Roman" w:eastAsia="Times New Roman" w:hAnsi="Times New Roman" w:cs="Times New Roman"/>
          <w:b/>
          <w:bCs/>
          <w:sz w:val="18"/>
          <w:szCs w:val="18"/>
        </w:rPr>
        <w:t>Insight Emergence (IE) = (Model Diversity × Affective Charge × Surprise Magnitude) × Phase-Locking Efficiency</w:t>
      </w:r>
    </w:p>
    <w:p w14:paraId="554DAC40" w14:textId="55A64393" w:rsidR="257C6BD0" w:rsidRDefault="257C6BD0" w:rsidP="257C6BD0">
      <w:pPr>
        <w:pStyle w:val="Default"/>
        <w:spacing w:line="276" w:lineRule="auto"/>
      </w:pPr>
      <w:r w:rsidRPr="257C6BD0">
        <w:rPr>
          <w:rFonts w:ascii="Times New Roman" w:eastAsia="Times New Roman" w:hAnsi="Times New Roman" w:cs="Times New Roman"/>
          <w:sz w:val="18"/>
          <w:szCs w:val="18"/>
        </w:rPr>
        <w:t>When IE exceeds a dynamic threshold, the system undergoes a rapid resonance cascade, collapsing competing models into a single coherent generative state experienced as sudden understanding or creative breakthrough.</w:t>
      </w:r>
    </w:p>
    <w:p w14:paraId="1C56F1AB" w14:textId="7B428E5F" w:rsidR="257C6BD0" w:rsidRDefault="257C6BD0" w:rsidP="257C6BD0">
      <w:pPr>
        <w:pStyle w:val="Default"/>
        <w:spacing w:line="276" w:lineRule="auto"/>
      </w:pPr>
      <w:r w:rsidRPr="257C6BD0">
        <w:rPr>
          <w:rFonts w:ascii="Times New Roman" w:eastAsia="Times New Roman" w:hAnsi="Times New Roman" w:cs="Times New Roman"/>
          <w:sz w:val="18"/>
          <w:szCs w:val="18"/>
        </w:rPr>
        <w:t xml:space="preserve"> </w:t>
      </w:r>
    </w:p>
    <w:p w14:paraId="523C7426" w14:textId="2DA82E33" w:rsidR="257C6BD0" w:rsidRDefault="257C6BD0" w:rsidP="257C6BD0">
      <w:pPr>
        <w:pStyle w:val="Default"/>
        <w:spacing w:line="276" w:lineRule="auto"/>
      </w:pPr>
      <w:r w:rsidRPr="257C6BD0">
        <w:rPr>
          <w:rFonts w:ascii="Times New Roman" w:eastAsia="Times New Roman" w:hAnsi="Times New Roman" w:cs="Times New Roman"/>
          <w:sz w:val="18"/>
          <w:szCs w:val="18"/>
        </w:rPr>
        <w:t xml:space="preserve"> </w:t>
      </w:r>
    </w:p>
    <w:p w14:paraId="75855C24" w14:textId="5D9428EC" w:rsidR="257C6BD0" w:rsidRDefault="257C6BD0" w:rsidP="257C6BD0">
      <w:pPr>
        <w:pStyle w:val="Default"/>
        <w:spacing w:line="276" w:lineRule="auto"/>
      </w:pPr>
      <w:r w:rsidRPr="257C6BD0">
        <w:rPr>
          <w:rFonts w:ascii="Times New Roman" w:eastAsia="Times New Roman" w:hAnsi="Times New Roman" w:cs="Times New Roman"/>
          <w:b/>
          <w:bCs/>
          <w:sz w:val="26"/>
          <w:szCs w:val="26"/>
        </w:rPr>
        <w:t>3.0 Internal Processing Dynamics</w:t>
      </w:r>
    </w:p>
    <w:p w14:paraId="68408134" w14:textId="34D2C468" w:rsidR="257C6BD0" w:rsidRDefault="257C6BD0" w:rsidP="257C6BD0">
      <w:pPr>
        <w:pStyle w:val="Default"/>
        <w:spacing w:line="276" w:lineRule="auto"/>
      </w:pPr>
      <w:r w:rsidRPr="257C6BD0">
        <w:rPr>
          <w:rFonts w:ascii="Times New Roman" w:eastAsia="Times New Roman" w:hAnsi="Times New Roman" w:cs="Times New Roman"/>
          <w:sz w:val="18"/>
          <w:szCs w:val="18"/>
        </w:rPr>
        <w:t>GIE operates through a continuous four-phase cycle that converts diffuse exploration into resonant coherence.</w:t>
      </w:r>
    </w:p>
    <w:p w14:paraId="7117FFEB" w14:textId="119A957E" w:rsidR="257C6BD0" w:rsidRDefault="257C6BD0" w:rsidP="257C6BD0">
      <w:pPr>
        <w:pStyle w:val="Default"/>
        <w:spacing w:line="276" w:lineRule="auto"/>
      </w:pPr>
      <w:r w:rsidRPr="257C6BD0">
        <w:rPr>
          <w:rFonts w:ascii="Times New Roman" w:eastAsia="Times New Roman" w:hAnsi="Times New Roman" w:cs="Times New Roman"/>
          <w:sz w:val="18"/>
          <w:szCs w:val="18"/>
        </w:rPr>
        <w:t xml:space="preserve"> </w:t>
      </w:r>
    </w:p>
    <w:p w14:paraId="6E9F259B" w14:textId="66DB0FDB" w:rsidR="257C6BD0" w:rsidRDefault="257C6BD0" w:rsidP="257C6BD0">
      <w:pPr>
        <w:pStyle w:val="Default"/>
        <w:spacing w:line="276" w:lineRule="auto"/>
      </w:pPr>
      <w:r w:rsidRPr="257C6BD0">
        <w:rPr>
          <w:rFonts w:ascii="Times New Roman" w:eastAsia="Times New Roman" w:hAnsi="Times New Roman" w:cs="Times New Roman"/>
          <w:b/>
          <w:bCs/>
          <w:sz w:val="22"/>
          <w:szCs w:val="22"/>
        </w:rPr>
        <w:t>3.1 Model Activation and Competition</w:t>
      </w:r>
    </w:p>
    <w:p w14:paraId="3F1EEB79" w14:textId="7B3C7D9B" w:rsidR="257C6BD0" w:rsidRDefault="257C6BD0" w:rsidP="257C6BD0">
      <w:pPr>
        <w:pStyle w:val="Default"/>
        <w:spacing w:line="276" w:lineRule="auto"/>
      </w:pPr>
      <w:r w:rsidRPr="257C6BD0">
        <w:rPr>
          <w:rFonts w:ascii="Times New Roman" w:eastAsia="Times New Roman" w:hAnsi="Times New Roman" w:cs="Times New Roman"/>
          <w:sz w:val="18"/>
          <w:szCs w:val="18"/>
        </w:rPr>
        <w:t>Multiple generative models are simultaneously activated by the current problem space or open task. Each model emits its characteristic rhythms (gamma for detail, theta for relational binding, alpha for suppression of irrelevant paths).</w:t>
      </w:r>
    </w:p>
    <w:p w14:paraId="3A172153" w14:textId="5D21C792" w:rsidR="257C6BD0" w:rsidRDefault="257C6BD0" w:rsidP="257C6BD0">
      <w:pPr>
        <w:pStyle w:val="Default"/>
        <w:spacing w:line="276" w:lineRule="auto"/>
      </w:pPr>
      <w:r w:rsidRPr="257C6BD0">
        <w:rPr>
          <w:rFonts w:ascii="Times New Roman" w:eastAsia="Times New Roman" w:hAnsi="Times New Roman" w:cs="Times New Roman"/>
          <w:sz w:val="18"/>
          <w:szCs w:val="18"/>
        </w:rPr>
        <w:t xml:space="preserve"> </w:t>
      </w:r>
    </w:p>
    <w:p w14:paraId="1EA59013" w14:textId="672B4D91" w:rsidR="257C6BD0" w:rsidRDefault="257C6BD0" w:rsidP="257C6BD0">
      <w:pPr>
        <w:pStyle w:val="Default"/>
        <w:spacing w:line="276" w:lineRule="auto"/>
      </w:pPr>
      <w:r w:rsidRPr="257C6BD0">
        <w:rPr>
          <w:rFonts w:ascii="Times New Roman" w:eastAsia="Times New Roman" w:hAnsi="Times New Roman" w:cs="Times New Roman"/>
          <w:b/>
          <w:bCs/>
          <w:sz w:val="22"/>
          <w:szCs w:val="22"/>
        </w:rPr>
        <w:t>3.2 Surprise and Charge Detection</w:t>
      </w:r>
    </w:p>
    <w:p w14:paraId="4486CC83" w14:textId="56BB8D67" w:rsidR="257C6BD0" w:rsidRDefault="257C6BD0" w:rsidP="257C6BD0">
      <w:pPr>
        <w:pStyle w:val="Default"/>
        <w:spacing w:line="276" w:lineRule="auto"/>
      </w:pPr>
      <w:r w:rsidRPr="257C6BD0">
        <w:rPr>
          <w:rFonts w:ascii="Times New Roman" w:eastAsia="Times New Roman" w:hAnsi="Times New Roman" w:cs="Times New Roman"/>
          <w:sz w:val="18"/>
          <w:szCs w:val="18"/>
        </w:rPr>
        <w:t>The GIN continuously monitors prediction-error amplitude and affective intensity. High surprise combined with elevated emotional charge signals a potential resonance opportunity.</w:t>
      </w:r>
    </w:p>
    <w:p w14:paraId="45C2C0E4" w14:textId="5F5641D4" w:rsidR="257C6BD0" w:rsidRDefault="257C6BD0" w:rsidP="257C6BD0">
      <w:pPr>
        <w:pStyle w:val="Default"/>
        <w:spacing w:line="276" w:lineRule="auto"/>
      </w:pPr>
      <w:r w:rsidRPr="257C6BD0">
        <w:rPr>
          <w:rFonts w:ascii="Times New Roman" w:eastAsia="Times New Roman" w:hAnsi="Times New Roman" w:cs="Times New Roman"/>
          <w:sz w:val="18"/>
          <w:szCs w:val="18"/>
        </w:rPr>
        <w:t xml:space="preserve"> </w:t>
      </w:r>
    </w:p>
    <w:p w14:paraId="4EFE1686" w14:textId="0BA172CF" w:rsidR="257C6BD0" w:rsidRDefault="257C6BD0" w:rsidP="257C6BD0">
      <w:pPr>
        <w:pStyle w:val="Default"/>
        <w:spacing w:line="276" w:lineRule="auto"/>
      </w:pPr>
      <w:r w:rsidRPr="257C6BD0">
        <w:rPr>
          <w:rFonts w:ascii="Times New Roman" w:eastAsia="Times New Roman" w:hAnsi="Times New Roman" w:cs="Times New Roman"/>
          <w:b/>
          <w:bCs/>
          <w:sz w:val="22"/>
          <w:szCs w:val="22"/>
        </w:rPr>
        <w:t>3.3 Resonance Cascade and Entrainment</w:t>
      </w:r>
    </w:p>
    <w:p w14:paraId="62DA3CB3" w14:textId="038ADD68" w:rsidR="257C6BD0" w:rsidRDefault="257C6BD0" w:rsidP="257C6BD0">
      <w:pPr>
        <w:pStyle w:val="Default"/>
        <w:spacing w:line="276" w:lineRule="auto"/>
      </w:pPr>
      <w:r w:rsidRPr="257C6BD0">
        <w:rPr>
          <w:rFonts w:ascii="Times New Roman" w:eastAsia="Times New Roman" w:hAnsi="Times New Roman" w:cs="Times New Roman"/>
          <w:sz w:val="18"/>
          <w:szCs w:val="18"/>
        </w:rPr>
        <w:t>The GIN broadcasts corrective oscillatory signals that force competing models into progressive phase alignment. Successful entrainment produces a rapid cross-model lock, experienced subjectively as the classic “aha!” moment or creative flow.</w:t>
      </w:r>
    </w:p>
    <w:p w14:paraId="15DED22A" w14:textId="6F41AD1E" w:rsidR="257C6BD0" w:rsidRDefault="257C6BD0" w:rsidP="257C6BD0">
      <w:pPr>
        <w:pStyle w:val="Default"/>
        <w:spacing w:line="276" w:lineRule="auto"/>
      </w:pPr>
      <w:r w:rsidRPr="257C6BD0">
        <w:rPr>
          <w:rFonts w:ascii="Times New Roman" w:eastAsia="Times New Roman" w:hAnsi="Times New Roman" w:cs="Times New Roman"/>
          <w:sz w:val="18"/>
          <w:szCs w:val="18"/>
        </w:rPr>
        <w:t xml:space="preserve"> </w:t>
      </w:r>
    </w:p>
    <w:p w14:paraId="730B3F19" w14:textId="31153608" w:rsidR="257C6BD0" w:rsidRDefault="257C6BD0" w:rsidP="257C6BD0">
      <w:pPr>
        <w:pStyle w:val="Default"/>
        <w:spacing w:line="276" w:lineRule="auto"/>
      </w:pPr>
      <w:r w:rsidRPr="257C6BD0">
        <w:rPr>
          <w:rFonts w:ascii="Times New Roman" w:eastAsia="Times New Roman" w:hAnsi="Times New Roman" w:cs="Times New Roman"/>
          <w:b/>
          <w:bCs/>
          <w:sz w:val="22"/>
          <w:szCs w:val="22"/>
        </w:rPr>
        <w:t>3.4 Coherence Stabilization and Propagation</w:t>
      </w:r>
    </w:p>
    <w:p w14:paraId="1CB5849B" w14:textId="307D0793" w:rsidR="257C6BD0" w:rsidRDefault="257C6BD0" w:rsidP="257C6BD0">
      <w:pPr>
        <w:pStyle w:val="Default"/>
        <w:spacing w:line="276" w:lineRule="auto"/>
      </w:pPr>
      <w:r w:rsidRPr="257C6BD0">
        <w:rPr>
          <w:rFonts w:ascii="Times New Roman" w:eastAsia="Times New Roman" w:hAnsi="Times New Roman" w:cs="Times New Roman"/>
          <w:sz w:val="18"/>
          <w:szCs w:val="18"/>
        </w:rPr>
        <w:t>Once resonance is achieved, the new generative configuration stabilizes through positive feedback. The insight is then propagated into memory, behavior, or further creative output, while the system returns to exploratory mode for the next cycle.</w:t>
      </w:r>
    </w:p>
    <w:p w14:paraId="609B9FE7" w14:textId="517FFB64" w:rsidR="257C6BD0" w:rsidRDefault="257C6BD0" w:rsidP="257C6BD0">
      <w:pPr>
        <w:pStyle w:val="Default"/>
        <w:spacing w:line="276" w:lineRule="auto"/>
      </w:pPr>
      <w:r w:rsidRPr="257C6BD0">
        <w:rPr>
          <w:rFonts w:ascii="Times New Roman" w:eastAsia="Times New Roman" w:hAnsi="Times New Roman" w:cs="Times New Roman"/>
          <w:sz w:val="18"/>
          <w:szCs w:val="18"/>
        </w:rPr>
        <w:t xml:space="preserve"> </w:t>
      </w:r>
    </w:p>
    <w:p w14:paraId="519A0243" w14:textId="712356BD" w:rsidR="257C6BD0" w:rsidRDefault="257C6BD0" w:rsidP="257C6BD0">
      <w:pPr>
        <w:pStyle w:val="Default"/>
        <w:spacing w:line="276" w:lineRule="auto"/>
      </w:pPr>
      <w:r w:rsidRPr="257C6BD0">
        <w:rPr>
          <w:rFonts w:ascii="Times New Roman" w:eastAsia="Times New Roman" w:hAnsi="Times New Roman" w:cs="Times New Roman"/>
          <w:sz w:val="18"/>
          <w:szCs w:val="18"/>
        </w:rPr>
        <w:lastRenderedPageBreak/>
        <w:t xml:space="preserve"> </w:t>
      </w:r>
    </w:p>
    <w:p w14:paraId="7262D53B" w14:textId="0629EF70" w:rsidR="257C6BD0" w:rsidRDefault="257C6BD0" w:rsidP="257C6BD0">
      <w:pPr>
        <w:pStyle w:val="Default"/>
        <w:spacing w:line="276" w:lineRule="auto"/>
      </w:pPr>
      <w:r w:rsidRPr="257C6BD0">
        <w:rPr>
          <w:rFonts w:ascii="Times New Roman" w:eastAsia="Times New Roman" w:hAnsi="Times New Roman" w:cs="Times New Roman"/>
          <w:b/>
          <w:bCs/>
          <w:sz w:val="26"/>
          <w:szCs w:val="26"/>
        </w:rPr>
        <w:t>4.0 Applications and Predictions</w:t>
      </w:r>
    </w:p>
    <w:p w14:paraId="34EE2FEB" w14:textId="7ED16045" w:rsidR="257C6BD0" w:rsidRDefault="257C6BD0" w:rsidP="257C6BD0">
      <w:pPr>
        <w:pStyle w:val="Default"/>
        <w:spacing w:line="276" w:lineRule="auto"/>
      </w:pPr>
      <w:r w:rsidRPr="257C6BD0">
        <w:rPr>
          <w:rFonts w:ascii="Times New Roman" w:eastAsia="Times New Roman" w:hAnsi="Times New Roman" w:cs="Times New Roman"/>
          <w:sz w:val="18"/>
          <w:szCs w:val="18"/>
        </w:rPr>
        <w:t>GIE yields immediately testable predictions suitable for laboratory creativity tasks, neuroimaging, and real-world innovation settings.</w:t>
      </w:r>
    </w:p>
    <w:p w14:paraId="198BBAB7" w14:textId="1060AEBE" w:rsidR="257C6BD0" w:rsidRDefault="257C6BD0" w:rsidP="257C6BD0">
      <w:pPr>
        <w:pStyle w:val="Default"/>
        <w:spacing w:line="276" w:lineRule="auto"/>
      </w:pPr>
      <w:r w:rsidRPr="257C6BD0">
        <w:rPr>
          <w:rFonts w:ascii="Times New Roman" w:eastAsia="Times New Roman" w:hAnsi="Times New Roman" w:cs="Times New Roman"/>
          <w:sz w:val="18"/>
          <w:szCs w:val="18"/>
        </w:rPr>
        <w:t xml:space="preserve"> </w:t>
      </w:r>
    </w:p>
    <w:p w14:paraId="7134E7C0" w14:textId="3B24E1AE" w:rsidR="257C6BD0" w:rsidRDefault="257C6BD0" w:rsidP="257C6BD0">
      <w:pPr>
        <w:pStyle w:val="Default"/>
        <w:spacing w:line="276" w:lineRule="auto"/>
      </w:pPr>
      <w:r w:rsidRPr="257C6BD0">
        <w:rPr>
          <w:rFonts w:ascii="Times New Roman" w:eastAsia="Times New Roman" w:hAnsi="Times New Roman" w:cs="Times New Roman"/>
          <w:b/>
          <w:bCs/>
          <w:sz w:val="22"/>
          <w:szCs w:val="22"/>
        </w:rPr>
        <w:t>4.1 Neural Signature of Insight Moments</w:t>
      </w:r>
    </w:p>
    <w:p w14:paraId="70BDC4D2" w14:textId="4C4B6413" w:rsidR="257C6BD0" w:rsidRDefault="257C6BD0" w:rsidP="257C6BD0">
      <w:pPr>
        <w:pStyle w:val="Default"/>
        <w:spacing w:line="276" w:lineRule="auto"/>
      </w:pPr>
      <w:r w:rsidRPr="257C6BD0">
        <w:rPr>
          <w:rFonts w:ascii="Times New Roman" w:eastAsia="Times New Roman" w:hAnsi="Times New Roman" w:cs="Times New Roman"/>
          <w:sz w:val="18"/>
          <w:szCs w:val="18"/>
        </w:rPr>
        <w:t>Prediction: Sudden “aha!” solutions in insight problems will be preceded by a sharp increase in gamma–theta phase-locking across prefrontal and posterior regions, accompanied by a transient pupil dilation surge and drop in alpha power.</w:t>
      </w:r>
    </w:p>
    <w:p w14:paraId="53C110A3" w14:textId="1CE55793" w:rsidR="257C6BD0" w:rsidRDefault="257C6BD0" w:rsidP="257C6BD0">
      <w:pPr>
        <w:pStyle w:val="Default"/>
        <w:spacing w:line="276" w:lineRule="auto"/>
      </w:pPr>
      <w:r w:rsidRPr="257C6BD0">
        <w:rPr>
          <w:rFonts w:ascii="Times New Roman" w:eastAsia="Times New Roman" w:hAnsi="Times New Roman" w:cs="Times New Roman"/>
          <w:sz w:val="18"/>
          <w:szCs w:val="18"/>
        </w:rPr>
        <w:t xml:space="preserve"> </w:t>
      </w:r>
    </w:p>
    <w:p w14:paraId="56D6E998" w14:textId="7B132DF0" w:rsidR="257C6BD0" w:rsidRDefault="257C6BD0" w:rsidP="257C6BD0">
      <w:pPr>
        <w:pStyle w:val="Default"/>
        <w:spacing w:line="276" w:lineRule="auto"/>
      </w:pPr>
      <w:r w:rsidRPr="257C6BD0">
        <w:rPr>
          <w:rFonts w:ascii="Times New Roman" w:eastAsia="Times New Roman" w:hAnsi="Times New Roman" w:cs="Times New Roman"/>
          <w:b/>
          <w:bCs/>
          <w:sz w:val="22"/>
          <w:szCs w:val="22"/>
        </w:rPr>
        <w:t>4.2 Affective Charge as Insight Gate</w:t>
      </w:r>
    </w:p>
    <w:p w14:paraId="596785B7" w14:textId="40B2F14F" w:rsidR="257C6BD0" w:rsidRDefault="257C6BD0" w:rsidP="257C6BD0">
      <w:pPr>
        <w:pStyle w:val="Default"/>
        <w:spacing w:line="276" w:lineRule="auto"/>
      </w:pPr>
      <w:r w:rsidRPr="257C6BD0">
        <w:rPr>
          <w:rFonts w:ascii="Times New Roman" w:eastAsia="Times New Roman" w:hAnsi="Times New Roman" w:cs="Times New Roman"/>
          <w:sz w:val="18"/>
          <w:szCs w:val="18"/>
        </w:rPr>
        <w:t>Prediction: Creative tasks performed under moderate positive emotional priming will show higher insight rates and faster resonance-cascade onset than neutral or high-anxiety conditions, measurable via EEG coherence and self-reported breakthrough frequency.</w:t>
      </w:r>
    </w:p>
    <w:p w14:paraId="17FBD63D" w14:textId="0B884F1A" w:rsidR="257C6BD0" w:rsidRDefault="257C6BD0" w:rsidP="257C6BD0">
      <w:pPr>
        <w:pStyle w:val="Default"/>
        <w:spacing w:line="276" w:lineRule="auto"/>
      </w:pPr>
      <w:r w:rsidRPr="257C6BD0">
        <w:rPr>
          <w:rFonts w:ascii="Times New Roman" w:eastAsia="Times New Roman" w:hAnsi="Times New Roman" w:cs="Times New Roman"/>
          <w:sz w:val="18"/>
          <w:szCs w:val="18"/>
        </w:rPr>
        <w:t xml:space="preserve"> </w:t>
      </w:r>
    </w:p>
    <w:p w14:paraId="695019C0" w14:textId="5164CCDB" w:rsidR="257C6BD0" w:rsidRDefault="257C6BD0" w:rsidP="257C6BD0">
      <w:pPr>
        <w:pStyle w:val="Default"/>
        <w:spacing w:line="276" w:lineRule="auto"/>
      </w:pPr>
      <w:r w:rsidRPr="257C6BD0">
        <w:rPr>
          <w:rFonts w:ascii="Times New Roman" w:eastAsia="Times New Roman" w:hAnsi="Times New Roman" w:cs="Times New Roman"/>
          <w:b/>
          <w:bCs/>
          <w:sz w:val="22"/>
          <w:szCs w:val="22"/>
        </w:rPr>
        <w:t>4.3 Training Resonance Efficiency</w:t>
      </w:r>
    </w:p>
    <w:p w14:paraId="3BD42F6E" w14:textId="44529248" w:rsidR="257C6BD0" w:rsidRDefault="257C6BD0" w:rsidP="257C6BD0">
      <w:pPr>
        <w:pStyle w:val="Default"/>
        <w:spacing w:line="276" w:lineRule="auto"/>
      </w:pPr>
      <w:r w:rsidRPr="257C6BD0">
        <w:rPr>
          <w:rFonts w:ascii="Times New Roman" w:eastAsia="Times New Roman" w:hAnsi="Times New Roman" w:cs="Times New Roman"/>
          <w:sz w:val="18"/>
          <w:szCs w:val="18"/>
        </w:rPr>
        <w:t>Prediction: Brief daily resonance-training protocols (e.g., structured improvisation or surprise-based problem sets) will produce measurable increases in baseline GIN efficiency, visible as faster phase-locking during subsequent creativity tests and higher real-world innovative output.</w:t>
      </w:r>
    </w:p>
    <w:p w14:paraId="6067B104" w14:textId="6FDACE34" w:rsidR="257C6BD0" w:rsidRDefault="257C6BD0" w:rsidP="257C6BD0">
      <w:pPr>
        <w:pStyle w:val="Default"/>
        <w:spacing w:line="276" w:lineRule="auto"/>
      </w:pPr>
      <w:r w:rsidRPr="257C6BD0">
        <w:rPr>
          <w:rFonts w:ascii="Times New Roman" w:eastAsia="Times New Roman" w:hAnsi="Times New Roman" w:cs="Times New Roman"/>
          <w:sz w:val="18"/>
          <w:szCs w:val="18"/>
        </w:rPr>
        <w:t xml:space="preserve"> </w:t>
      </w:r>
    </w:p>
    <w:p w14:paraId="4F039CD5" w14:textId="41FBEAA1" w:rsidR="257C6BD0" w:rsidRDefault="257C6BD0" w:rsidP="257C6BD0">
      <w:pPr>
        <w:pStyle w:val="Default"/>
        <w:spacing w:line="276" w:lineRule="auto"/>
      </w:pPr>
      <w:r w:rsidRPr="257C6BD0">
        <w:rPr>
          <w:rFonts w:ascii="Times New Roman" w:eastAsia="Times New Roman" w:hAnsi="Times New Roman" w:cs="Times New Roman"/>
          <w:b/>
          <w:bCs/>
          <w:sz w:val="22"/>
          <w:szCs w:val="22"/>
        </w:rPr>
        <w:t>4.4 Collective Creative Flow</w:t>
      </w:r>
    </w:p>
    <w:p w14:paraId="24A099F9" w14:textId="5CEE8427" w:rsidR="257C6BD0" w:rsidRDefault="257C6BD0" w:rsidP="257C6BD0">
      <w:pPr>
        <w:pStyle w:val="Default"/>
        <w:spacing w:line="276" w:lineRule="auto"/>
      </w:pPr>
      <w:r w:rsidRPr="257C6BD0">
        <w:rPr>
          <w:rFonts w:ascii="Times New Roman" w:eastAsia="Times New Roman" w:hAnsi="Times New Roman" w:cs="Times New Roman"/>
          <w:sz w:val="18"/>
          <w:szCs w:val="18"/>
        </w:rPr>
        <w:t>Prediction: Group brainstorming sessions will exhibit elevated interpersonal phase-locking during collective insight events, correlating with higher-quality shared ideas and faster consensus formation.</w:t>
      </w:r>
    </w:p>
    <w:p w14:paraId="258A1139" w14:textId="54CA382A" w:rsidR="257C6BD0" w:rsidRDefault="257C6BD0" w:rsidP="257C6BD0">
      <w:pPr>
        <w:pStyle w:val="Default"/>
        <w:spacing w:line="276" w:lineRule="auto"/>
      </w:pPr>
      <w:r w:rsidRPr="257C6BD0">
        <w:rPr>
          <w:rFonts w:ascii="Times New Roman" w:eastAsia="Times New Roman" w:hAnsi="Times New Roman" w:cs="Times New Roman"/>
          <w:sz w:val="18"/>
          <w:szCs w:val="18"/>
        </w:rPr>
        <w:t>These predictions are directly evaluable using high-density EEG/MEG, pupillometry, behavioral insight batteries, and real-time group creativity paradigms.</w:t>
      </w:r>
    </w:p>
    <w:p w14:paraId="1614EC6F" w14:textId="53F19132" w:rsidR="257C6BD0" w:rsidRDefault="257C6BD0" w:rsidP="257C6BD0">
      <w:pPr>
        <w:pStyle w:val="Default"/>
        <w:spacing w:line="276" w:lineRule="auto"/>
      </w:pPr>
      <w:r w:rsidRPr="257C6BD0">
        <w:rPr>
          <w:rFonts w:ascii="Times New Roman" w:eastAsia="Times New Roman" w:hAnsi="Times New Roman" w:cs="Times New Roman"/>
          <w:sz w:val="18"/>
          <w:szCs w:val="18"/>
        </w:rPr>
        <w:t xml:space="preserve"> </w:t>
      </w:r>
    </w:p>
    <w:p w14:paraId="7BCA69BF" w14:textId="1CA31329" w:rsidR="257C6BD0" w:rsidRDefault="257C6BD0" w:rsidP="257C6BD0">
      <w:pPr>
        <w:pStyle w:val="Default"/>
        <w:spacing w:line="276" w:lineRule="auto"/>
      </w:pPr>
      <w:r w:rsidRPr="257C6BD0">
        <w:rPr>
          <w:rFonts w:ascii="Times New Roman" w:eastAsia="Times New Roman" w:hAnsi="Times New Roman" w:cs="Times New Roman"/>
          <w:sz w:val="18"/>
          <w:szCs w:val="18"/>
        </w:rPr>
        <w:t xml:space="preserve"> </w:t>
      </w:r>
    </w:p>
    <w:p w14:paraId="126365E4" w14:textId="40C7B828" w:rsidR="257C6BD0" w:rsidRDefault="257C6BD0" w:rsidP="257C6BD0">
      <w:pPr>
        <w:pStyle w:val="Default"/>
        <w:spacing w:line="276" w:lineRule="auto"/>
      </w:pPr>
      <w:r w:rsidRPr="257C6BD0">
        <w:rPr>
          <w:rFonts w:ascii="Times New Roman" w:eastAsia="Times New Roman" w:hAnsi="Times New Roman" w:cs="Times New Roman"/>
          <w:b/>
          <w:bCs/>
          <w:sz w:val="26"/>
          <w:szCs w:val="26"/>
        </w:rPr>
        <w:t>5.0 Limitations and Future Work</w:t>
      </w:r>
    </w:p>
    <w:p w14:paraId="2F6FFDBF" w14:textId="1C1A1261" w:rsidR="257C6BD0" w:rsidRDefault="257C6BD0" w:rsidP="257C6BD0">
      <w:pPr>
        <w:pStyle w:val="Default"/>
        <w:spacing w:line="276" w:lineRule="auto"/>
      </w:pPr>
      <w:r w:rsidRPr="257C6BD0">
        <w:rPr>
          <w:rFonts w:ascii="Times New Roman" w:eastAsia="Times New Roman" w:hAnsi="Times New Roman" w:cs="Times New Roman"/>
          <w:sz w:val="18"/>
          <w:szCs w:val="18"/>
        </w:rPr>
        <w:t>GIE is currently a high-level neurodynamic model. Precise mapping of the GIN across individuals, cultures, and neurodivergent populations, along with the exact mathematics of multi-model resonance, require further refinement. Baseline differences in generative-model diversity are not yet fully modeled.</w:t>
      </w:r>
    </w:p>
    <w:p w14:paraId="60504E67" w14:textId="7DEFD386" w:rsidR="257C6BD0" w:rsidRDefault="257C6BD0" w:rsidP="257C6BD0">
      <w:pPr>
        <w:pStyle w:val="Default"/>
        <w:spacing w:line="276" w:lineRule="auto"/>
      </w:pPr>
      <w:r w:rsidRPr="257C6BD0">
        <w:rPr>
          <w:rFonts w:ascii="Times New Roman" w:eastAsia="Times New Roman" w:hAnsi="Times New Roman" w:cs="Times New Roman"/>
          <w:sz w:val="18"/>
          <w:szCs w:val="18"/>
        </w:rPr>
        <w:t>Future directions include:</w:t>
      </w:r>
    </w:p>
    <w:p w14:paraId="4E6C96F8" w14:textId="7C1DD5EC" w:rsidR="257C6BD0" w:rsidRDefault="257C6BD0" w:rsidP="257C6BD0">
      <w:pPr>
        <w:pStyle w:val="ListParagraph"/>
        <w:numPr>
          <w:ilvl w:val="0"/>
          <w:numId w:val="1"/>
        </w:numPr>
        <w:spacing w:line="276" w:lineRule="auto"/>
      </w:pPr>
      <w:r w:rsidRPr="257C6BD0">
        <w:rPr>
          <w:rFonts w:eastAsia="Times New Roman"/>
          <w:sz w:val="18"/>
          <w:szCs w:val="18"/>
        </w:rPr>
        <w:t>High-density neuroimaging studies capturing real-time resonance cascades during insight tasks.</w:t>
      </w:r>
    </w:p>
    <w:p w14:paraId="4A80FF3B" w14:textId="0FD8C563" w:rsidR="257C6BD0" w:rsidRDefault="257C6BD0" w:rsidP="257C6BD0">
      <w:pPr>
        <w:pStyle w:val="ListParagraph"/>
        <w:numPr>
          <w:ilvl w:val="0"/>
          <w:numId w:val="1"/>
        </w:numPr>
        <w:spacing w:line="276" w:lineRule="auto"/>
      </w:pPr>
      <w:r w:rsidRPr="257C6BD0">
        <w:rPr>
          <w:rFonts w:eastAsia="Times New Roman"/>
          <w:sz w:val="18"/>
          <w:szCs w:val="18"/>
        </w:rPr>
        <w:t>Computational simulations of the IE equation.</w:t>
      </w:r>
    </w:p>
    <w:p w14:paraId="592B1719" w14:textId="64CE95A9" w:rsidR="257C6BD0" w:rsidRDefault="257C6BD0" w:rsidP="257C6BD0">
      <w:pPr>
        <w:pStyle w:val="ListParagraph"/>
        <w:numPr>
          <w:ilvl w:val="0"/>
          <w:numId w:val="1"/>
        </w:numPr>
        <w:spacing w:line="276" w:lineRule="auto"/>
      </w:pPr>
      <w:r w:rsidRPr="257C6BD0">
        <w:rPr>
          <w:rFonts w:eastAsia="Times New Roman"/>
          <w:sz w:val="18"/>
          <w:szCs w:val="18"/>
        </w:rPr>
        <w:t>Applied interventions in education, innovation labs, and clinical creativity enhancement.</w:t>
      </w:r>
    </w:p>
    <w:p w14:paraId="3242FCEF" w14:textId="6DDF0DFC" w:rsidR="257C6BD0" w:rsidRDefault="257C6BD0" w:rsidP="257C6BD0">
      <w:pPr>
        <w:pStyle w:val="Default"/>
        <w:spacing w:line="276" w:lineRule="auto"/>
      </w:pPr>
      <w:r w:rsidRPr="257C6BD0">
        <w:rPr>
          <w:rFonts w:ascii="Times New Roman" w:eastAsia="Times New Roman" w:hAnsi="Times New Roman" w:cs="Times New Roman"/>
          <w:sz w:val="18"/>
          <w:szCs w:val="18"/>
        </w:rPr>
        <w:t xml:space="preserve"> </w:t>
      </w:r>
    </w:p>
    <w:p w14:paraId="6A922FA0" w14:textId="3411AFAF" w:rsidR="257C6BD0" w:rsidRDefault="257C6BD0" w:rsidP="257C6BD0">
      <w:pPr>
        <w:pStyle w:val="Default"/>
        <w:spacing w:line="276" w:lineRule="auto"/>
      </w:pPr>
      <w:r w:rsidRPr="257C6BD0">
        <w:rPr>
          <w:rFonts w:ascii="Times New Roman" w:eastAsia="Times New Roman" w:hAnsi="Times New Roman" w:cs="Times New Roman"/>
          <w:sz w:val="18"/>
          <w:szCs w:val="18"/>
        </w:rPr>
        <w:lastRenderedPageBreak/>
        <w:t xml:space="preserve"> </w:t>
      </w:r>
    </w:p>
    <w:p w14:paraId="5D3B12CD" w14:textId="401E2AA4" w:rsidR="257C6BD0" w:rsidRDefault="257C6BD0" w:rsidP="257C6BD0">
      <w:pPr>
        <w:pStyle w:val="Default"/>
        <w:spacing w:line="276" w:lineRule="auto"/>
      </w:pPr>
      <w:r w:rsidRPr="257C6BD0">
        <w:rPr>
          <w:rFonts w:ascii="Times New Roman" w:eastAsia="Times New Roman" w:hAnsi="Times New Roman" w:cs="Times New Roman"/>
          <w:b/>
          <w:bCs/>
          <w:sz w:val="26"/>
          <w:szCs w:val="26"/>
        </w:rPr>
        <w:t>6.0 Final Synthesis</w:t>
      </w:r>
    </w:p>
    <w:p w14:paraId="10B5E29F" w14:textId="7A2EA436" w:rsidR="257C6BD0" w:rsidRDefault="257C6BD0" w:rsidP="257C6BD0">
      <w:pPr>
        <w:pStyle w:val="Default"/>
        <w:spacing w:line="276" w:lineRule="auto"/>
      </w:pPr>
      <w:r w:rsidRPr="257C6BD0">
        <w:rPr>
          <w:rFonts w:ascii="Times New Roman" w:eastAsia="Times New Roman" w:hAnsi="Times New Roman" w:cs="Times New Roman"/>
          <w:sz w:val="18"/>
          <w:szCs w:val="18"/>
        </w:rPr>
        <w:t>Generative Insight Engine offers a mechanistic account of how creative breakthroughs and sudden understanding can emerge through resonance among competing generative models. By centering creativity on a distributed Generative Insight Node and a dynamic resonance cascade, GIE aims to explain both the phenomenology of the “aha!” moment and the conditions under which insight becomes more frequent and reliable.</w:t>
      </w:r>
    </w:p>
    <w:p w14:paraId="14CFBD4E" w14:textId="480E7A8E" w:rsidR="257C6BD0" w:rsidRDefault="257C6BD0" w:rsidP="257C6BD0">
      <w:pPr>
        <w:pStyle w:val="Default"/>
        <w:spacing w:line="276" w:lineRule="auto"/>
      </w:pPr>
      <w:r w:rsidRPr="257C6BD0">
        <w:rPr>
          <w:rFonts w:ascii="Times New Roman" w:eastAsia="Times New Roman" w:hAnsi="Times New Roman" w:cs="Times New Roman"/>
          <w:sz w:val="18"/>
          <w:szCs w:val="18"/>
        </w:rPr>
        <w:t>By pairing a formal insight-emergence metric with a staged entrainment process and explicit, testable predictions, the framework is positioned to be evaluated empirically and refined iteratively. The model is intended as a falsifiable lens for studying how minds transform surprise and exploration into stable creative coherence, with potential applications across science, art, education, and innovation.</w:t>
      </w:r>
    </w:p>
    <w:p w14:paraId="518B404E" w14:textId="62E6B466" w:rsidR="257C6BD0" w:rsidRDefault="257C6BD0" w:rsidP="257C6BD0">
      <w:pPr>
        <w:pStyle w:val="Default"/>
        <w:spacing w:line="276" w:lineRule="auto"/>
      </w:pPr>
      <w:r w:rsidRPr="257C6BD0">
        <w:rPr>
          <w:rFonts w:ascii="Times New Roman" w:eastAsia="Times New Roman" w:hAnsi="Times New Roman" w:cs="Times New Roman"/>
          <w:sz w:val="18"/>
          <w:szCs w:val="18"/>
        </w:rPr>
        <w:t xml:space="preserve"> </w:t>
      </w:r>
    </w:p>
    <w:p w14:paraId="404B499E" w14:textId="4711C6B0" w:rsidR="257C6BD0" w:rsidRDefault="257C6BD0" w:rsidP="257C6BD0">
      <w:pPr>
        <w:pStyle w:val="Default"/>
        <w:spacing w:line="276" w:lineRule="auto"/>
      </w:pPr>
      <w:r w:rsidRPr="257C6BD0">
        <w:rPr>
          <w:rFonts w:ascii="Times New Roman" w:eastAsia="Times New Roman" w:hAnsi="Times New Roman" w:cs="Times New Roman"/>
          <w:sz w:val="18"/>
          <w:szCs w:val="18"/>
        </w:rPr>
        <w:t xml:space="preserve"> </w:t>
      </w:r>
    </w:p>
    <w:p w14:paraId="1930641F" w14:textId="4D7BD68A" w:rsidR="257C6BD0" w:rsidRDefault="257C6BD0" w:rsidP="257C6BD0">
      <w:pPr>
        <w:pStyle w:val="Default"/>
        <w:spacing w:line="276" w:lineRule="auto"/>
      </w:pPr>
      <w:r w:rsidRPr="257C6BD0">
        <w:rPr>
          <w:rFonts w:ascii="Times New Roman" w:eastAsia="Times New Roman" w:hAnsi="Times New Roman" w:cs="Times New Roman"/>
          <w:b/>
          <w:bCs/>
          <w:sz w:val="26"/>
          <w:szCs w:val="26"/>
        </w:rPr>
        <w:t>References</w:t>
      </w:r>
    </w:p>
    <w:p w14:paraId="0EA3C595" w14:textId="05F25DE8" w:rsidR="257C6BD0" w:rsidRDefault="257C6BD0" w:rsidP="257C6BD0">
      <w:pPr>
        <w:pStyle w:val="Default"/>
        <w:spacing w:line="276" w:lineRule="auto"/>
      </w:pPr>
      <w:r w:rsidRPr="257C6BD0">
        <w:rPr>
          <w:rFonts w:ascii="Times New Roman" w:eastAsia="Times New Roman" w:hAnsi="Times New Roman" w:cs="Times New Roman"/>
          <w:sz w:val="18"/>
          <w:szCs w:val="18"/>
        </w:rPr>
        <w:t>Brisart, J. (2025). The Brisart Format: A Standardized Template for Theoretical, Conceptual, and Methodological Manuscripts (Version v2). Zenodo. https://doi.org/10.5281/zenodo.15725824</w:t>
      </w:r>
    </w:p>
    <w:p w14:paraId="3C83460B" w14:textId="4D75288F" w:rsidR="257C6BD0" w:rsidRDefault="257C6BD0" w:rsidP="257C6BD0">
      <w:pPr>
        <w:pStyle w:val="Default"/>
        <w:spacing w:line="276" w:lineRule="auto"/>
      </w:pPr>
      <w:r w:rsidRPr="257C6BD0">
        <w:rPr>
          <w:rFonts w:ascii="Times New Roman" w:eastAsia="Times New Roman" w:hAnsi="Times New Roman" w:cs="Times New Roman"/>
          <w:sz w:val="18"/>
          <w:szCs w:val="18"/>
        </w:rPr>
        <w:t xml:space="preserve"> </w:t>
      </w:r>
    </w:p>
    <w:p w14:paraId="06D16934" w14:textId="59DEE621" w:rsidR="257C6BD0" w:rsidRDefault="257C6BD0" w:rsidP="257C6BD0">
      <w:pPr>
        <w:pStyle w:val="Default"/>
        <w:spacing w:line="276" w:lineRule="auto"/>
      </w:pPr>
      <w:r w:rsidRPr="257C6BD0">
        <w:rPr>
          <w:rFonts w:ascii="Times New Roman" w:eastAsia="Times New Roman" w:hAnsi="Times New Roman" w:cs="Times New Roman"/>
          <w:sz w:val="18"/>
          <w:szCs w:val="18"/>
        </w:rPr>
        <w:t xml:space="preserve">Buzsáki, G. (2006). </w:t>
      </w:r>
      <w:r w:rsidRPr="257C6BD0">
        <w:rPr>
          <w:rFonts w:ascii="Times New Roman" w:eastAsia="Times New Roman" w:hAnsi="Times New Roman" w:cs="Times New Roman"/>
          <w:i/>
          <w:iCs/>
          <w:sz w:val="18"/>
          <w:szCs w:val="18"/>
        </w:rPr>
        <w:t>Rhythms of the Brain</w:t>
      </w:r>
      <w:r w:rsidRPr="257C6BD0">
        <w:rPr>
          <w:rFonts w:ascii="Times New Roman" w:eastAsia="Times New Roman" w:hAnsi="Times New Roman" w:cs="Times New Roman"/>
          <w:sz w:val="18"/>
          <w:szCs w:val="18"/>
        </w:rPr>
        <w:t>. Oxford University Press.</w:t>
      </w:r>
    </w:p>
    <w:p w14:paraId="6B320291" w14:textId="3276E441" w:rsidR="257C6BD0" w:rsidRDefault="257C6BD0" w:rsidP="257C6BD0">
      <w:pPr>
        <w:pStyle w:val="Default"/>
        <w:spacing w:line="276" w:lineRule="auto"/>
      </w:pPr>
      <w:r w:rsidRPr="257C6BD0">
        <w:rPr>
          <w:rFonts w:ascii="Times New Roman" w:eastAsia="Times New Roman" w:hAnsi="Times New Roman" w:cs="Times New Roman"/>
          <w:sz w:val="18"/>
          <w:szCs w:val="18"/>
        </w:rPr>
        <w:t xml:space="preserve"> </w:t>
      </w:r>
    </w:p>
    <w:p w14:paraId="3F7048AE" w14:textId="4F9040AF" w:rsidR="257C6BD0" w:rsidRDefault="257C6BD0" w:rsidP="257C6BD0">
      <w:pPr>
        <w:pStyle w:val="Default"/>
        <w:spacing w:line="276" w:lineRule="auto"/>
      </w:pPr>
      <w:r w:rsidRPr="257C6BD0">
        <w:rPr>
          <w:rFonts w:ascii="Times New Roman" w:eastAsia="Times New Roman" w:hAnsi="Times New Roman" w:cs="Times New Roman"/>
          <w:sz w:val="18"/>
          <w:szCs w:val="18"/>
        </w:rPr>
        <w:t xml:space="preserve">Friston, K. (2010). The free-energy principle: A unified brain theory? </w:t>
      </w:r>
      <w:r w:rsidRPr="257C6BD0">
        <w:rPr>
          <w:rFonts w:ascii="Times New Roman" w:eastAsia="Times New Roman" w:hAnsi="Times New Roman" w:cs="Times New Roman"/>
          <w:i/>
          <w:iCs/>
          <w:sz w:val="18"/>
          <w:szCs w:val="18"/>
        </w:rPr>
        <w:t>Nature Reviews Neuroscience</w:t>
      </w:r>
      <w:r w:rsidRPr="257C6BD0">
        <w:rPr>
          <w:rFonts w:ascii="Times New Roman" w:eastAsia="Times New Roman" w:hAnsi="Times New Roman" w:cs="Times New Roman"/>
          <w:sz w:val="18"/>
          <w:szCs w:val="18"/>
        </w:rPr>
        <w:t>, 11(2), 127–138. https://doi.org/10.1038/nrn2787</w:t>
      </w:r>
    </w:p>
    <w:p w14:paraId="0BE85E78" w14:textId="0DB47892" w:rsidR="257C6BD0" w:rsidRDefault="257C6BD0" w:rsidP="257C6BD0">
      <w:pPr>
        <w:pStyle w:val="Default"/>
        <w:spacing w:line="276" w:lineRule="auto"/>
      </w:pPr>
      <w:r w:rsidRPr="257C6BD0">
        <w:rPr>
          <w:rFonts w:ascii="Times New Roman" w:eastAsia="Times New Roman" w:hAnsi="Times New Roman" w:cs="Times New Roman"/>
          <w:sz w:val="18"/>
          <w:szCs w:val="18"/>
        </w:rPr>
        <w:t xml:space="preserve"> </w:t>
      </w:r>
    </w:p>
    <w:p w14:paraId="482E96C9" w14:textId="7FAA6223" w:rsidR="257C6BD0" w:rsidRDefault="257C6BD0" w:rsidP="257C6BD0">
      <w:pPr>
        <w:pStyle w:val="Default"/>
        <w:spacing w:line="276" w:lineRule="auto"/>
      </w:pPr>
      <w:r w:rsidRPr="257C6BD0">
        <w:rPr>
          <w:rFonts w:ascii="Times New Roman" w:eastAsia="Times New Roman" w:hAnsi="Times New Roman" w:cs="Times New Roman"/>
          <w:sz w:val="18"/>
          <w:szCs w:val="18"/>
        </w:rPr>
        <w:t xml:space="preserve">Lakatos, P., et al. (2008). Entrainment of neuronal oscillations as a mechanism of attentional selection. </w:t>
      </w:r>
      <w:r w:rsidRPr="257C6BD0">
        <w:rPr>
          <w:rFonts w:ascii="Times New Roman" w:eastAsia="Times New Roman" w:hAnsi="Times New Roman" w:cs="Times New Roman"/>
          <w:i/>
          <w:iCs/>
          <w:sz w:val="18"/>
          <w:szCs w:val="18"/>
        </w:rPr>
        <w:t>Science</w:t>
      </w:r>
      <w:r w:rsidRPr="257C6BD0">
        <w:rPr>
          <w:rFonts w:ascii="Times New Roman" w:eastAsia="Times New Roman" w:hAnsi="Times New Roman" w:cs="Times New Roman"/>
          <w:sz w:val="18"/>
          <w:szCs w:val="18"/>
        </w:rPr>
        <w:t>, 320(5872), 110–113. https://doi.org/10.1126/science.1154735</w:t>
      </w:r>
    </w:p>
    <w:p w14:paraId="795059B9" w14:textId="145D38C7" w:rsidR="257C6BD0" w:rsidRDefault="257C6BD0" w:rsidP="257C6BD0">
      <w:pPr>
        <w:pStyle w:val="Default"/>
        <w:spacing w:line="276" w:lineRule="auto"/>
      </w:pPr>
      <w:r w:rsidRPr="257C6BD0">
        <w:rPr>
          <w:rFonts w:ascii="Times New Roman" w:eastAsia="Times New Roman" w:hAnsi="Times New Roman" w:cs="Times New Roman"/>
          <w:sz w:val="18"/>
          <w:szCs w:val="18"/>
        </w:rPr>
        <w:t xml:space="preserve"> </w:t>
      </w:r>
    </w:p>
    <w:p w14:paraId="4341CDE6" w14:textId="50F2C60A" w:rsidR="257C6BD0" w:rsidRDefault="257C6BD0" w:rsidP="257C6BD0">
      <w:pPr>
        <w:pStyle w:val="Default"/>
        <w:spacing w:line="276" w:lineRule="auto"/>
      </w:pPr>
      <w:r w:rsidRPr="257C6BD0">
        <w:rPr>
          <w:rFonts w:ascii="Times New Roman" w:eastAsia="Times New Roman" w:hAnsi="Times New Roman" w:cs="Times New Roman"/>
          <w:sz w:val="18"/>
          <w:szCs w:val="18"/>
        </w:rPr>
        <w:t xml:space="preserve">Kounios, J., &amp; Beeman, M. (2014). The cognitive neuroscience of insight. </w:t>
      </w:r>
      <w:r w:rsidRPr="257C6BD0">
        <w:rPr>
          <w:rFonts w:ascii="Times New Roman" w:eastAsia="Times New Roman" w:hAnsi="Times New Roman" w:cs="Times New Roman"/>
          <w:i/>
          <w:iCs/>
          <w:sz w:val="18"/>
          <w:szCs w:val="18"/>
        </w:rPr>
        <w:t>Annual Review of Psychology</w:t>
      </w:r>
      <w:r w:rsidRPr="257C6BD0">
        <w:rPr>
          <w:rFonts w:ascii="Times New Roman" w:eastAsia="Times New Roman" w:hAnsi="Times New Roman" w:cs="Times New Roman"/>
          <w:sz w:val="18"/>
          <w:szCs w:val="18"/>
        </w:rPr>
        <w:t>, 65, 71–93. https://doi.org/10.1146/annurev-psych-010213-115154</w:t>
      </w:r>
    </w:p>
    <w:sectPr w:rsidR="257C6BD0">
      <w:headerReference w:type="default" r:id="rId10"/>
      <w:footerReference w:type="default" r:id="rId11"/>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D21F0" w14:textId="77777777" w:rsidR="00F14FA0" w:rsidRDefault="00F14FA0">
      <w:r>
        <w:separator/>
      </w:r>
    </w:p>
  </w:endnote>
  <w:endnote w:type="continuationSeparator" w:id="0">
    <w:p w14:paraId="4337294C" w14:textId="77777777" w:rsidR="00F14FA0" w:rsidRDefault="00F14F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7501D" w14:textId="77777777" w:rsidR="00EE5C97" w:rsidRDefault="00EE5C9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D40E1" w14:textId="77777777" w:rsidR="00F14FA0" w:rsidRDefault="00F14FA0">
      <w:r>
        <w:separator/>
      </w:r>
    </w:p>
  </w:footnote>
  <w:footnote w:type="continuationSeparator" w:id="0">
    <w:p w14:paraId="7612D7EE" w14:textId="77777777" w:rsidR="00F14FA0" w:rsidRDefault="00F14F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A6659" w14:textId="77777777" w:rsidR="00EE5C97" w:rsidRDefault="00EE5C9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EBBA"/>
    <w:multiLevelType w:val="hybridMultilevel"/>
    <w:tmpl w:val="35D496F6"/>
    <w:lvl w:ilvl="0" w:tplc="D0000F90">
      <w:start w:val="1"/>
      <w:numFmt w:val="bullet"/>
      <w:lvlText w:val=""/>
      <w:lvlJc w:val="left"/>
      <w:pPr>
        <w:ind w:left="720" w:hanging="360"/>
      </w:pPr>
      <w:rPr>
        <w:rFonts w:ascii="Symbol" w:hAnsi="Symbol" w:hint="default"/>
      </w:rPr>
    </w:lvl>
    <w:lvl w:ilvl="1" w:tplc="7E24ADB8">
      <w:start w:val="1"/>
      <w:numFmt w:val="bullet"/>
      <w:lvlText w:val="o"/>
      <w:lvlJc w:val="left"/>
      <w:pPr>
        <w:ind w:left="1440" w:hanging="360"/>
      </w:pPr>
      <w:rPr>
        <w:rFonts w:ascii="Courier New" w:hAnsi="Courier New" w:hint="default"/>
      </w:rPr>
    </w:lvl>
    <w:lvl w:ilvl="2" w:tplc="168A0B94">
      <w:start w:val="1"/>
      <w:numFmt w:val="bullet"/>
      <w:lvlText w:val=""/>
      <w:lvlJc w:val="left"/>
      <w:pPr>
        <w:ind w:left="2160" w:hanging="360"/>
      </w:pPr>
      <w:rPr>
        <w:rFonts w:ascii="Wingdings" w:hAnsi="Wingdings" w:hint="default"/>
      </w:rPr>
    </w:lvl>
    <w:lvl w:ilvl="3" w:tplc="70922424">
      <w:start w:val="1"/>
      <w:numFmt w:val="bullet"/>
      <w:lvlText w:val=""/>
      <w:lvlJc w:val="left"/>
      <w:pPr>
        <w:ind w:left="2880" w:hanging="360"/>
      </w:pPr>
      <w:rPr>
        <w:rFonts w:ascii="Symbol" w:hAnsi="Symbol" w:hint="default"/>
      </w:rPr>
    </w:lvl>
    <w:lvl w:ilvl="4" w:tplc="057C9FD6">
      <w:start w:val="1"/>
      <w:numFmt w:val="bullet"/>
      <w:lvlText w:val="o"/>
      <w:lvlJc w:val="left"/>
      <w:pPr>
        <w:ind w:left="3600" w:hanging="360"/>
      </w:pPr>
      <w:rPr>
        <w:rFonts w:ascii="Courier New" w:hAnsi="Courier New" w:hint="default"/>
      </w:rPr>
    </w:lvl>
    <w:lvl w:ilvl="5" w:tplc="67A2465E">
      <w:start w:val="1"/>
      <w:numFmt w:val="bullet"/>
      <w:lvlText w:val=""/>
      <w:lvlJc w:val="left"/>
      <w:pPr>
        <w:ind w:left="4320" w:hanging="360"/>
      </w:pPr>
      <w:rPr>
        <w:rFonts w:ascii="Wingdings" w:hAnsi="Wingdings" w:hint="default"/>
      </w:rPr>
    </w:lvl>
    <w:lvl w:ilvl="6" w:tplc="DB6C3E3A">
      <w:start w:val="1"/>
      <w:numFmt w:val="bullet"/>
      <w:lvlText w:val=""/>
      <w:lvlJc w:val="left"/>
      <w:pPr>
        <w:ind w:left="5040" w:hanging="360"/>
      </w:pPr>
      <w:rPr>
        <w:rFonts w:ascii="Symbol" w:hAnsi="Symbol" w:hint="default"/>
      </w:rPr>
    </w:lvl>
    <w:lvl w:ilvl="7" w:tplc="A6AA65E4">
      <w:start w:val="1"/>
      <w:numFmt w:val="bullet"/>
      <w:lvlText w:val="o"/>
      <w:lvlJc w:val="left"/>
      <w:pPr>
        <w:ind w:left="5760" w:hanging="360"/>
      </w:pPr>
      <w:rPr>
        <w:rFonts w:ascii="Courier New" w:hAnsi="Courier New" w:hint="default"/>
      </w:rPr>
    </w:lvl>
    <w:lvl w:ilvl="8" w:tplc="459012DA">
      <w:start w:val="1"/>
      <w:numFmt w:val="bullet"/>
      <w:lvlText w:val=""/>
      <w:lvlJc w:val="left"/>
      <w:pPr>
        <w:ind w:left="6480" w:hanging="360"/>
      </w:pPr>
      <w:rPr>
        <w:rFonts w:ascii="Wingdings" w:hAnsi="Wingdings" w:hint="default"/>
      </w:rPr>
    </w:lvl>
  </w:abstractNum>
  <w:abstractNum w:abstractNumId="1" w15:restartNumberingAfterBreak="0">
    <w:nsid w:val="211D702D"/>
    <w:multiLevelType w:val="hybridMultilevel"/>
    <w:tmpl w:val="59A0AF9C"/>
    <w:lvl w:ilvl="0" w:tplc="9AE6EFB2">
      <w:start w:val="1"/>
      <w:numFmt w:val="bullet"/>
      <w:lvlText w:val=""/>
      <w:lvlJc w:val="left"/>
      <w:pPr>
        <w:ind w:left="720" w:hanging="360"/>
      </w:pPr>
      <w:rPr>
        <w:rFonts w:ascii="Symbol" w:hAnsi="Symbol" w:hint="default"/>
      </w:rPr>
    </w:lvl>
    <w:lvl w:ilvl="1" w:tplc="2AC4F6AA">
      <w:start w:val="1"/>
      <w:numFmt w:val="bullet"/>
      <w:lvlText w:val="o"/>
      <w:lvlJc w:val="left"/>
      <w:pPr>
        <w:ind w:left="1440" w:hanging="360"/>
      </w:pPr>
      <w:rPr>
        <w:rFonts w:ascii="Courier New" w:hAnsi="Courier New" w:hint="default"/>
      </w:rPr>
    </w:lvl>
    <w:lvl w:ilvl="2" w:tplc="6FC8E2C8">
      <w:start w:val="1"/>
      <w:numFmt w:val="bullet"/>
      <w:lvlText w:val=""/>
      <w:lvlJc w:val="left"/>
      <w:pPr>
        <w:ind w:left="2160" w:hanging="360"/>
      </w:pPr>
      <w:rPr>
        <w:rFonts w:ascii="Wingdings" w:hAnsi="Wingdings" w:hint="default"/>
      </w:rPr>
    </w:lvl>
    <w:lvl w:ilvl="3" w:tplc="B67EA998">
      <w:start w:val="1"/>
      <w:numFmt w:val="bullet"/>
      <w:lvlText w:val=""/>
      <w:lvlJc w:val="left"/>
      <w:pPr>
        <w:ind w:left="2880" w:hanging="360"/>
      </w:pPr>
      <w:rPr>
        <w:rFonts w:ascii="Symbol" w:hAnsi="Symbol" w:hint="default"/>
      </w:rPr>
    </w:lvl>
    <w:lvl w:ilvl="4" w:tplc="A0149146">
      <w:start w:val="1"/>
      <w:numFmt w:val="bullet"/>
      <w:lvlText w:val="o"/>
      <w:lvlJc w:val="left"/>
      <w:pPr>
        <w:ind w:left="3600" w:hanging="360"/>
      </w:pPr>
      <w:rPr>
        <w:rFonts w:ascii="Courier New" w:hAnsi="Courier New" w:hint="default"/>
      </w:rPr>
    </w:lvl>
    <w:lvl w:ilvl="5" w:tplc="A55C3438">
      <w:start w:val="1"/>
      <w:numFmt w:val="bullet"/>
      <w:lvlText w:val=""/>
      <w:lvlJc w:val="left"/>
      <w:pPr>
        <w:ind w:left="4320" w:hanging="360"/>
      </w:pPr>
      <w:rPr>
        <w:rFonts w:ascii="Wingdings" w:hAnsi="Wingdings" w:hint="default"/>
      </w:rPr>
    </w:lvl>
    <w:lvl w:ilvl="6" w:tplc="A0AC96D2">
      <w:start w:val="1"/>
      <w:numFmt w:val="bullet"/>
      <w:lvlText w:val=""/>
      <w:lvlJc w:val="left"/>
      <w:pPr>
        <w:ind w:left="5040" w:hanging="360"/>
      </w:pPr>
      <w:rPr>
        <w:rFonts w:ascii="Symbol" w:hAnsi="Symbol" w:hint="default"/>
      </w:rPr>
    </w:lvl>
    <w:lvl w:ilvl="7" w:tplc="97FC493C">
      <w:start w:val="1"/>
      <w:numFmt w:val="bullet"/>
      <w:lvlText w:val="o"/>
      <w:lvlJc w:val="left"/>
      <w:pPr>
        <w:ind w:left="5760" w:hanging="360"/>
      </w:pPr>
      <w:rPr>
        <w:rFonts w:ascii="Courier New" w:hAnsi="Courier New" w:hint="default"/>
      </w:rPr>
    </w:lvl>
    <w:lvl w:ilvl="8" w:tplc="DC00ABCE">
      <w:start w:val="1"/>
      <w:numFmt w:val="bullet"/>
      <w:lvlText w:val=""/>
      <w:lvlJc w:val="left"/>
      <w:pPr>
        <w:ind w:left="6480" w:hanging="360"/>
      </w:pPr>
      <w:rPr>
        <w:rFonts w:ascii="Wingdings" w:hAnsi="Wingdings" w:hint="default"/>
      </w:rPr>
    </w:lvl>
  </w:abstractNum>
  <w:abstractNum w:abstractNumId="2" w15:restartNumberingAfterBreak="0">
    <w:nsid w:val="2C3239D0"/>
    <w:multiLevelType w:val="hybridMultilevel"/>
    <w:tmpl w:val="A36E2F4C"/>
    <w:lvl w:ilvl="0" w:tplc="CA107156">
      <w:start w:val="1"/>
      <w:numFmt w:val="bullet"/>
      <w:lvlText w:val=""/>
      <w:lvlJc w:val="left"/>
      <w:pPr>
        <w:ind w:left="720" w:hanging="360"/>
      </w:pPr>
      <w:rPr>
        <w:rFonts w:ascii="Symbol" w:hAnsi="Symbol" w:hint="default"/>
      </w:rPr>
    </w:lvl>
    <w:lvl w:ilvl="1" w:tplc="8C229B16">
      <w:start w:val="1"/>
      <w:numFmt w:val="bullet"/>
      <w:lvlText w:val="o"/>
      <w:lvlJc w:val="left"/>
      <w:pPr>
        <w:ind w:left="1440" w:hanging="360"/>
      </w:pPr>
      <w:rPr>
        <w:rFonts w:ascii="Courier New" w:hAnsi="Courier New" w:hint="default"/>
      </w:rPr>
    </w:lvl>
    <w:lvl w:ilvl="2" w:tplc="07A6C4C6">
      <w:start w:val="1"/>
      <w:numFmt w:val="bullet"/>
      <w:lvlText w:val=""/>
      <w:lvlJc w:val="left"/>
      <w:pPr>
        <w:ind w:left="2160" w:hanging="360"/>
      </w:pPr>
      <w:rPr>
        <w:rFonts w:ascii="Wingdings" w:hAnsi="Wingdings" w:hint="default"/>
      </w:rPr>
    </w:lvl>
    <w:lvl w:ilvl="3" w:tplc="8E3C096C">
      <w:start w:val="1"/>
      <w:numFmt w:val="bullet"/>
      <w:lvlText w:val=""/>
      <w:lvlJc w:val="left"/>
      <w:pPr>
        <w:ind w:left="2880" w:hanging="360"/>
      </w:pPr>
      <w:rPr>
        <w:rFonts w:ascii="Symbol" w:hAnsi="Symbol" w:hint="default"/>
      </w:rPr>
    </w:lvl>
    <w:lvl w:ilvl="4" w:tplc="B5728308">
      <w:start w:val="1"/>
      <w:numFmt w:val="bullet"/>
      <w:lvlText w:val="o"/>
      <w:lvlJc w:val="left"/>
      <w:pPr>
        <w:ind w:left="3600" w:hanging="360"/>
      </w:pPr>
      <w:rPr>
        <w:rFonts w:ascii="Courier New" w:hAnsi="Courier New" w:hint="default"/>
      </w:rPr>
    </w:lvl>
    <w:lvl w:ilvl="5" w:tplc="6FBCEEF8">
      <w:start w:val="1"/>
      <w:numFmt w:val="bullet"/>
      <w:lvlText w:val=""/>
      <w:lvlJc w:val="left"/>
      <w:pPr>
        <w:ind w:left="4320" w:hanging="360"/>
      </w:pPr>
      <w:rPr>
        <w:rFonts w:ascii="Wingdings" w:hAnsi="Wingdings" w:hint="default"/>
      </w:rPr>
    </w:lvl>
    <w:lvl w:ilvl="6" w:tplc="48043FE4">
      <w:start w:val="1"/>
      <w:numFmt w:val="bullet"/>
      <w:lvlText w:val=""/>
      <w:lvlJc w:val="left"/>
      <w:pPr>
        <w:ind w:left="5040" w:hanging="360"/>
      </w:pPr>
      <w:rPr>
        <w:rFonts w:ascii="Symbol" w:hAnsi="Symbol" w:hint="default"/>
      </w:rPr>
    </w:lvl>
    <w:lvl w:ilvl="7" w:tplc="5D9ED640">
      <w:start w:val="1"/>
      <w:numFmt w:val="bullet"/>
      <w:lvlText w:val="o"/>
      <w:lvlJc w:val="left"/>
      <w:pPr>
        <w:ind w:left="5760" w:hanging="360"/>
      </w:pPr>
      <w:rPr>
        <w:rFonts w:ascii="Courier New" w:hAnsi="Courier New" w:hint="default"/>
      </w:rPr>
    </w:lvl>
    <w:lvl w:ilvl="8" w:tplc="0FC414FA">
      <w:start w:val="1"/>
      <w:numFmt w:val="bullet"/>
      <w:lvlText w:val=""/>
      <w:lvlJc w:val="left"/>
      <w:pPr>
        <w:ind w:left="6480" w:hanging="360"/>
      </w:pPr>
      <w:rPr>
        <w:rFonts w:ascii="Wingdings" w:hAnsi="Wingdings" w:hint="default"/>
      </w:rPr>
    </w:lvl>
  </w:abstractNum>
  <w:num w:numId="1" w16cid:durableId="1357579812">
    <w:abstractNumId w:val="2"/>
  </w:num>
  <w:num w:numId="2" w16cid:durableId="31076583">
    <w:abstractNumId w:val="1"/>
  </w:num>
  <w:num w:numId="3" w16cid:durableId="1023440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AE1EA31"/>
    <w:rsid w:val="001759A5"/>
    <w:rsid w:val="005732D3"/>
    <w:rsid w:val="007641B5"/>
    <w:rsid w:val="00825B0A"/>
    <w:rsid w:val="00B7026D"/>
    <w:rsid w:val="00EE5C97"/>
    <w:rsid w:val="00F14FA0"/>
    <w:rsid w:val="0AE1EA31"/>
    <w:rsid w:val="0F90899E"/>
    <w:rsid w:val="1D664C7E"/>
    <w:rsid w:val="257C6BD0"/>
    <w:rsid w:val="323FD7C4"/>
    <w:rsid w:val="4A206FF9"/>
    <w:rsid w:val="4AD2C9F7"/>
    <w:rsid w:val="54C00084"/>
    <w:rsid w:val="69E21B22"/>
    <w:rsid w:val="6B5D07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2C3B0"/>
  <w15:docId w15:val="{15F83BB9-6D94-408D-8550-5F7C2ACAE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customStyle="1" w:styleId="Hyperlink0">
    <w:name w:val="Hyperlink.0"/>
    <w:basedOn w:val="Hyperlink"/>
    <w:rPr>
      <w:u w:val="single"/>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19EDAD6CC8A44BADBF5390A7549DBA" ma:contentTypeVersion="11" ma:contentTypeDescription="Create a new document." ma:contentTypeScope="" ma:versionID="ab6f55c28e73582c465e71dd7b1e612b">
  <xsd:schema xmlns:xsd="http://www.w3.org/2001/XMLSchema" xmlns:xs="http://www.w3.org/2001/XMLSchema" xmlns:p="http://schemas.microsoft.com/office/2006/metadata/properties" xmlns:ns2="40915466-697b-4597-97a8-8ce3ba18083c" xmlns:ns3="ce5264cd-2933-4f1d-9ccf-564f0c8f34c0" targetNamespace="http://schemas.microsoft.com/office/2006/metadata/properties" ma:root="true" ma:fieldsID="9843b965ebdc657e2ca15c09c806933b" ns2:_="" ns3:_="">
    <xsd:import namespace="40915466-697b-4597-97a8-8ce3ba18083c"/>
    <xsd:import namespace="ce5264cd-2933-4f1d-9ccf-564f0c8f34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15466-697b-4597-97a8-8ce3ba180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de88d5-d8e1-4db5-b2e0-2f2e38be31f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e5264cd-2933-4f1d-9ccf-564f0c8f34c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862f93-8d66-448f-9c6f-a9e8d49d7fc9}" ma:internalName="TaxCatchAll" ma:showField="CatchAllData" ma:web="ce5264cd-2933-4f1d-9ccf-564f0c8f34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e5264cd-2933-4f1d-9ccf-564f0c8f34c0" xsi:nil="true"/>
    <lcf76f155ced4ddcb4097134ff3c332f xmlns="40915466-697b-4597-97a8-8ce3ba1808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CCC316A-0A9A-48D2-91AF-BE22749D09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915466-697b-4597-97a8-8ce3ba18083c"/>
    <ds:schemaRef ds:uri="ce5264cd-2933-4f1d-9ccf-564f0c8f34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75D75E4-0B1C-4752-928E-DC0C136FD31F}">
  <ds:schemaRefs>
    <ds:schemaRef ds:uri="http://schemas.microsoft.com/sharepoint/v3/contenttype/forms"/>
  </ds:schemaRefs>
</ds:datastoreItem>
</file>

<file path=customXml/itemProps3.xml><?xml version="1.0" encoding="utf-8"?>
<ds:datastoreItem xmlns:ds="http://schemas.openxmlformats.org/officeDocument/2006/customXml" ds:itemID="{B6513853-38E9-4997-A02D-48304EB862A8}">
  <ds:schemaRefs>
    <ds:schemaRef ds:uri="http://schemas.microsoft.com/office/2006/metadata/properties"/>
    <ds:schemaRef ds:uri="http://schemas.microsoft.com/office/infopath/2007/PartnerControls"/>
    <ds:schemaRef ds:uri="ce5264cd-2933-4f1d-9ccf-564f0c8f34c0"/>
    <ds:schemaRef ds:uri="40915466-697b-4597-97a8-8ce3ba18083c"/>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1251</Words>
  <Characters>7135</Characters>
  <Application>Microsoft Office Word</Application>
  <DocSecurity>0</DocSecurity>
  <Lines>59</Lines>
  <Paragraphs>16</Paragraphs>
  <ScaleCrop>false</ScaleCrop>
  <Company/>
  <LinksUpToDate>false</LinksUpToDate>
  <CharactersWithSpaces>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Brisart</cp:lastModifiedBy>
  <cp:revision>3</cp:revision>
  <dcterms:created xsi:type="dcterms:W3CDTF">2026-09-17T19:26:00Z</dcterms:created>
  <dcterms:modified xsi:type="dcterms:W3CDTF">2026-09-17T19:34:00Z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0x010100CA19EDAD6CC8A44BADBF5390A7549DBA</vt:lpwstr>
  </property>
</Properties>
</file>