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A6C2"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Harmonic Convergence Dynamics (HCD): A Temporal-Affective Framework for Multilayer Phase Alignment and Behavioral Coherence</w:t>
      </w:r>
    </w:p>
    <w:p w14:paraId="3FF5A6C3"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Jason Brisart</w:t>
      </w:r>
    </w:p>
    <w:p w14:paraId="3FF5A6C4"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Independent Researcher</w:t>
      </w:r>
    </w:p>
    <w:p w14:paraId="3FF5A6C5" w14:textId="77777777" w:rsidR="000A204F" w:rsidRPr="00402DF9" w:rsidRDefault="000A20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402DF9">
          <w:rPr>
            <w:rStyle w:val="Hyperlink0"/>
            <w:rFonts w:ascii="Aptos" w:hAnsi="Aptos"/>
          </w:rPr>
          <w:t>jason@brisartresearcharchive.com</w:t>
        </w:r>
      </w:hyperlink>
    </w:p>
    <w:p w14:paraId="3FF5A6C6" w14:textId="77777777" w:rsidR="000A204F" w:rsidRPr="00402DF9" w:rsidRDefault="000A20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402DF9">
          <w:rPr>
            <w:rStyle w:val="Hyperlink0"/>
            <w:rFonts w:ascii="Aptos" w:hAnsi="Aptos"/>
          </w:rPr>
          <w:t>www.brisartresearcharchive.com</w:t>
        </w:r>
      </w:hyperlink>
    </w:p>
    <w:p w14:paraId="3FF5A6C8" w14:textId="77777777" w:rsidR="000A204F" w:rsidRPr="00402DF9" w:rsidRDefault="000A20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3FF5A6C9"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Abstract</w:t>
      </w:r>
    </w:p>
    <w:p w14:paraId="3FF5A6CA"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Harmonic Convergence Dynamics (HCD) presents a novel temporal-affective framework that models internal coherence as an emergent property of multilayer phase alignment between affective rhythms and cognitive processing loops. At its core is the Convergent Phase Engine (CPE), a synchronization module that integrates affective predictions and goal-directed intentions through oscillatory resonance, phase-locking, and entrainment adaptation. Affectively charged temporal pulses — termed harmonic markers — propagate across cortical and subcortical substrates, encoding motivational salience, urgency, and valence as rhythmic attractors. These signals modulate perception, attention, and volition by dynamically adjusting their phase relationship with competing internal processes.</w:t>
      </w:r>
    </w:p>
    <w:p w14:paraId="3FF5A6CB"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HCD proposes that stable behavior arises from successful phase convergence across nested systems, while dissonant or conflicting rhythms manifest as indecision, attentional drift, or affective fragmentation. Real-time entrainment and mismatch correction are handled by the CPE through threshold-governed arbitration logic. HCD offers a falsifiable model grounded in oscillatory neuroscience and cognitive-affective interaction, with applications in attentional control, emotion regulation, and psychiatric dysregulation.</w:t>
      </w:r>
    </w:p>
    <w:p w14:paraId="3FF5A6CC"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lang w:val="fr-FR"/>
        </w:rPr>
        <w:lastRenderedPageBreak/>
        <w:t>1.0 Introduction</w:t>
      </w:r>
    </w:p>
    <w:p w14:paraId="3FF5A6CD"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Human cognition is not a sequence of isolated computations, but an ongoing negotiation of fluctuating internal states distributed across time. While existing models of cognitive control, affective processing, and attentional dynamics often treat these domains independently, mounting evidence suggests that their coordination is temporally governed. Oscillatory activity across cortical and subcortical systems regulates the timing and integration of affect, perception, intention, and behavior. However, a unifying theory that describes how these diverse signals align to produce coherent mental states has remained elusive.</w:t>
      </w:r>
    </w:p>
    <w:p w14:paraId="3FF5A6CE"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Harmonic Convergence Dynamics (HCD) addresses this gap by proposing that coherence within the cognitive-affective system is achieved through dynamic phase alignment of temporally encoded emotional signals — what this framework terms harmonic markers. These markers are rhythmic affective pulses that encode motivational intensity, urgency, and valence. Generated in part by limbic-cortical feedback circuits, they modulate internal processing by influencing which intentions are amplified, suppressed, or sustained.</w:t>
      </w:r>
    </w:p>
    <w:p w14:paraId="3FF5A6CF"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At the center of this process is the Convergent Phase Engine (CPE) — a multilayered integration mechanism that continuously adjusts the phase relationships among nested oscillatory loops. When these subsystems phase-align within specific coherence thresholds, the system enters a harmonized state conducive to fluent behavior and focused cognition. Conversely, when misalignment persists, the system produces dissonance, manifesting as affective turbulence, cognitive hesitation, or motivational fragmentation.</w:t>
      </w:r>
    </w:p>
    <w:p w14:paraId="3FF5A6D0"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2.0 Core Mechanism</w:t>
      </w:r>
    </w:p>
    <w:p w14:paraId="3FF5A6D1"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lastRenderedPageBreak/>
        <w:t>At the heart of Harmonic Convergence Dynamics (HCD) is the premise that cognition and emotion are temporally entangled systems governed by oscillatory resonance. The brain continuously generates affective signals — harmonic markers — that modulate the timing, intensity, and stability of cognitive processes. These markers form a layered signal network that guides the prioritization, persistence, or inhibition of intentional states based on real-time affective alignment.</w:t>
      </w:r>
    </w:p>
    <w:p w14:paraId="3FF5A6D2"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HCD formalizes this interaction through a central control system called the Convergent Phase Engine (CPE). The CPE detects phase coherence between internal oscillatory signals and regulates convergence or divergence based on resonance thresholds.</w:t>
      </w:r>
    </w:p>
    <w:p w14:paraId="3FF5A6D3"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2.1 Harmonic Markers</w:t>
      </w:r>
    </w:p>
    <w:p w14:paraId="3FF5A6D4"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Harmonic markers are periodic, predictive pulses that encode affective weight (urgency, valence, motivational intensity). These signals emerge from emotionally modulated neural circuits and function as temporal tags that highlight moments of significance. Markers are layered across multiple time-scales for both rapid adaptation and sustained goal pursuit.</w:t>
      </w:r>
    </w:p>
    <w:p w14:paraId="3FF5A6D5"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2.2 Convergent Phase Engine (CPE)</w:t>
      </w:r>
    </w:p>
    <w:p w14:paraId="3FF5A6D6"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The CPE integrates harmonic markers across subsystems using three regulatory processes:</w:t>
      </w:r>
    </w:p>
    <w:p w14:paraId="3FF5A6D7"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Phase Locking: Detects alignment between ongoing oscillations and affective pulses.</w:t>
      </w:r>
    </w:p>
    <w:p w14:paraId="3FF5A6D8"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Entrainment Adjustment: Alters internal signal frequency to reduce prediction error.</w:t>
      </w:r>
    </w:p>
    <w:p w14:paraId="3FF5A6D9"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Resonance Arbitration: Selects the marker with the greatest phase-amplitude consistency when multiple signals compete.</w:t>
      </w:r>
    </w:p>
    <w:p w14:paraId="3FF5A6DA"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2.3 Divergence-Driven Realignment</w:t>
      </w:r>
    </w:p>
    <w:p w14:paraId="3FF5A6DB"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lastRenderedPageBreak/>
        <w:t>When phase mismatch becomes too large, the CPE triggers a divergence response. It reduces the weight of unstable signals and initiates resynchronization loops until convergence is re-established.</w:t>
      </w:r>
    </w:p>
    <w:p w14:paraId="3FF5A6DC"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3.0 Internal Processing Dynamics</w:t>
      </w:r>
    </w:p>
    <w:p w14:paraId="3FF5A6DD"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HCD operates through a sequence of real-time oscillatory processes that manage the coherence, alignment, and recalibration of affective-cognitive integration. These internal processes unfold across nested neural loops and are governed by signal timing, resonance amplitude, and predictive mismatch dynamics.</w:t>
      </w:r>
    </w:p>
    <w:p w14:paraId="3FF5A6DE"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lang w:val="it-IT"/>
        </w:rPr>
        <w:t>3.1 Baseline Oscillatory Encoding</w:t>
      </w:r>
    </w:p>
    <w:p w14:paraId="3FF5A6DF"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The brain maintains a constant background of rhythmic activity, with each major frequency band supporting specific cognitive-affective operations. Harmonic markers are overlaid on this baseline, tagging time windows with enhanced salience.</w:t>
      </w:r>
    </w:p>
    <w:p w14:paraId="3FF5A6E0"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3.2 Real-Time Phase Synchronization</w:t>
      </w:r>
    </w:p>
    <w:p w14:paraId="3FF5A6E1"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The CPE continuously monitors phase relationships between subsystems. When phase alignment surpasses a defined coherence threshold, system-wide convergence occurs, resulting in unified focus, accelerated reaction times, and enhanced error correction.</w:t>
      </w:r>
    </w:p>
    <w:p w14:paraId="3FF5A6E2"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3.3 Dissonance Detection and Feedback Triggering</w:t>
      </w:r>
    </w:p>
    <w:p w14:paraId="3FF5A6E3"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Misalignment produces a resonance error signal. The CPE detects this mismatch and initiates a feedback process that down-regulates unstable markers, modifies attention allocation, and increases error-monitoring sensitivity.</w:t>
      </w:r>
    </w:p>
    <w:p w14:paraId="3FF5A6E4"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lang w:val="it-IT"/>
        </w:rPr>
        <w:t>3.4 Systemic Re-Entrainment</w:t>
      </w:r>
    </w:p>
    <w:p w14:paraId="3FF5A6E5"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lastRenderedPageBreak/>
        <w:t>When primary convergence fails, HCD initiates re-entrainment through compensatory loops, rhythmic resets, or mood-based arbitration. Successful re-entrainment reestablishes harmonic convergence.</w:t>
      </w:r>
    </w:p>
    <w:p w14:paraId="3FF5A6E6"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4.0 Applications and Predictions</w:t>
      </w:r>
    </w:p>
    <w:p w14:paraId="3FF5A6E7"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HCD produces a range of testable predictions and applied use cases in performance optimization, mood regulation, attentional tuning, and psychiatric diagnosis.</w:t>
      </w:r>
    </w:p>
    <w:p w14:paraId="3FF5A6E8"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4.1 Behavioral Entrainment Under Rhythmic Predictability</w:t>
      </w:r>
    </w:p>
    <w:p w14:paraId="3FF5A6E9"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Prediction: Cognitive task accuracy and reaction speed will increase when external rhythmic stimuli align with an individual</w:t>
      </w:r>
      <w:r w:rsidRPr="00402DF9">
        <w:rPr>
          <w:rFonts w:ascii="Aptos" w:hAnsi="Aptos"/>
          <w:rtl/>
        </w:rPr>
        <w:t>’</w:t>
      </w:r>
      <w:r w:rsidRPr="00402DF9">
        <w:rPr>
          <w:rFonts w:ascii="Aptos" w:hAnsi="Aptos"/>
        </w:rPr>
        <w:t>s dominant harmonic marker frequency.</w:t>
      </w:r>
    </w:p>
    <w:p w14:paraId="3FF5A6EA"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4.2 Affective Drift During Intentional Misalignment</w:t>
      </w:r>
    </w:p>
    <w:p w14:paraId="3FF5A6EB"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Prediction: When affective harmonic markers and goal-related intentions become phase-misaligned, participants will report reduced motivation, affective instability, and task-switching tendencies.</w:t>
      </w:r>
    </w:p>
    <w:p w14:paraId="3FF5A6EC"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4.3 Restorative Resonance Through Phase-Reset Stimuli</w:t>
      </w:r>
    </w:p>
    <w:p w14:paraId="3FF5A6ED"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Prediction: Exposure to structured temporal stimuli (binaural beats, pulsed light, synchronized breath cues) will restore internal harmonic alignment in cognitively or emotionally destabilized individuals.</w:t>
      </w:r>
    </w:p>
    <w:p w14:paraId="3FF5A6EE"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4.4 Oscillatory Signatures of Flow States</w:t>
      </w:r>
    </w:p>
    <w:p w14:paraId="3FF5A6EF"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Prediction: During periods of high convergence, EEG will reveal heightened theta-gamma coupling and consistent cross-region phase synchrony.</w:t>
      </w:r>
    </w:p>
    <w:p w14:paraId="3FF5A6F0"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These predictions are directly evaluable using EEG phase-locking, HRV, skin conductance, and behavioral performance measures.</w:t>
      </w:r>
    </w:p>
    <w:p w14:paraId="3FF5A6F1"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lastRenderedPageBreak/>
        <w:t>5.0 Limitations and Future Work</w:t>
      </w:r>
    </w:p>
    <w:p w14:paraId="3FF5A6F2"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While Harmonic Convergence Dynamics offers a novel temporal-affective framework with strong theoretical coherence, it is important to acknowledge its current limitations. The model abstracts specific neuroanatomical origins and transmission pathways of harmonic markers and CPE operations. Inter-individual variability in oscillatory baselines may limit generalizability. Accurate real-time measurement of phase synchronization across subsystems poses technical challenges.</w:t>
      </w:r>
    </w:p>
    <w:p w14:paraId="3FF5A6F3"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Future directions include:</w:t>
      </w:r>
    </w:p>
    <w:p w14:paraId="3FF5A6F4"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Empirical studies combining EEG, MEG, and fMRI to identify convergence sites.</w:t>
      </w:r>
    </w:p>
    <w:p w14:paraId="3FF5A6F5"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Individual calibration protocols to tailor harmonic marker measurement.</w:t>
      </w:r>
    </w:p>
    <w:p w14:paraId="3FF5A6F6"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Integrated EEG-HRV-GSR platforms with adaptive entrainment modules.</w:t>
      </w:r>
    </w:p>
    <w:p w14:paraId="3FF5A6F7"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Clinical mapping of HCD with DSM-5 disorders and resonance-based interventions.</w:t>
      </w:r>
    </w:p>
    <w:p w14:paraId="3FF5A6F8"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rPr>
        <w:t>6.0 Final Synthesis</w:t>
      </w:r>
    </w:p>
    <w:p w14:paraId="3FF5A6F9"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Harmonic Convergence Dynamics offers a coherent, mechanistically precise account of how the brain achieves internal coherence through temporal-affective phase alignment and dynamic entrainment. By centering the mind on the Convergent Phase Engine and the propagation of harmonic markers, HCD explains not only moment-to-moment emotional-cognitive integration but also longer-term phenomena such as flow states, affective stability, attentional control, and behavioral fluency.</w:t>
      </w:r>
    </w:p>
    <w:p w14:paraId="3FF5A6FA"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The inclusion of clear phase-locking mechanics, resonance arbitration logic, and directly testable predictions positions HCD as a bridge between oscillatory neuroscience and broader models of volition and consciousness. While further refinement of </w:t>
      </w:r>
      <w:r w:rsidRPr="00402DF9">
        <w:rPr>
          <w:rFonts w:ascii="Aptos" w:hAnsi="Aptos"/>
        </w:rPr>
        <w:lastRenderedPageBreak/>
        <w:t>neuroanatomical mappings and individual-difference parameters remains, the framework already provides a practical and falsifiable lens for understanding how the mind transforms fluctuating internal signals into coherent, purposeful experience. HCD thus stands as a foundational model ready for experimental validation, clinical application, and interdisciplinary extension.</w:t>
      </w:r>
    </w:p>
    <w:p w14:paraId="3FF5A6FB"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b/>
          <w:bCs/>
          <w:lang w:val="fr-FR"/>
        </w:rPr>
        <w:t>References</w:t>
      </w:r>
    </w:p>
    <w:p w14:paraId="3FF5A6FC"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Başar, E. (2013). Brain oscillations in neuropsychiatric disease. </w:t>
      </w:r>
      <w:r w:rsidRPr="00402DF9">
        <w:rPr>
          <w:rFonts w:ascii="Aptos" w:hAnsi="Aptos"/>
          <w:i/>
          <w:iCs/>
          <w:lang w:val="fr-FR"/>
        </w:rPr>
        <w:t>Dialogues in Clinical Neuroscience</w:t>
      </w:r>
      <w:r w:rsidRPr="00402DF9">
        <w:rPr>
          <w:rFonts w:ascii="Aptos" w:hAnsi="Aptos"/>
        </w:rPr>
        <w:t xml:space="preserve">, 15(3), 291–300. </w:t>
      </w:r>
      <w:hyperlink r:id="rId11" w:history="1">
        <w:r w:rsidR="000A204F" w:rsidRPr="00402DF9">
          <w:rPr>
            <w:rStyle w:val="Hyperlink0"/>
            <w:rFonts w:ascii="Aptos" w:hAnsi="Aptos"/>
            <w:lang w:val="de-DE"/>
          </w:rPr>
          <w:t>https://doi.org/10.31887/DCNS.2013.15.3/ebasar</w:t>
        </w:r>
      </w:hyperlink>
    </w:p>
    <w:p w14:paraId="3FF5A6FD"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Brisart, J. (2025). The Brisart Format: A Standardized Template for Theoretical, Conceptual, and Methodological Manuscripts (Version v2). Zenodo. </w:t>
      </w:r>
      <w:hyperlink r:id="rId12" w:history="1">
        <w:r w:rsidR="000A204F" w:rsidRPr="00402DF9">
          <w:rPr>
            <w:rStyle w:val="Hyperlink0"/>
            <w:rFonts w:ascii="Aptos" w:hAnsi="Aptos"/>
          </w:rPr>
          <w:t>https://doi.org/10.5281/zenodo.15725824</w:t>
        </w:r>
      </w:hyperlink>
    </w:p>
    <w:p w14:paraId="3FF5A6FE"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Buzsáki, G., &amp; Draguhn, A. (2004). Neuronal oscillations in cortical networks. </w:t>
      </w:r>
      <w:r w:rsidRPr="00402DF9">
        <w:rPr>
          <w:rFonts w:ascii="Aptos" w:hAnsi="Aptos"/>
          <w:i/>
          <w:iCs/>
        </w:rPr>
        <w:t>Science</w:t>
      </w:r>
      <w:r w:rsidRPr="00402DF9">
        <w:rPr>
          <w:rFonts w:ascii="Aptos" w:hAnsi="Aptos"/>
        </w:rPr>
        <w:t xml:space="preserve">, 304(5679), 1926–1929. </w:t>
      </w:r>
      <w:hyperlink r:id="rId13" w:history="1">
        <w:r w:rsidR="000A204F" w:rsidRPr="00402DF9">
          <w:rPr>
            <w:rStyle w:val="Hyperlink0"/>
            <w:rFonts w:ascii="Aptos" w:hAnsi="Aptos"/>
          </w:rPr>
          <w:t>https://doi.org/10.1126/science.1099745</w:t>
        </w:r>
      </w:hyperlink>
    </w:p>
    <w:p w14:paraId="3FF5A6FF"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Fell, J., &amp; Axmacher, N. (2011). The role of phase synchronization in memory processes. </w:t>
      </w:r>
      <w:r w:rsidRPr="00402DF9">
        <w:rPr>
          <w:rFonts w:ascii="Aptos" w:hAnsi="Aptos"/>
          <w:i/>
          <w:iCs/>
          <w:lang w:val="fr-FR"/>
        </w:rPr>
        <w:t>Nature Reviews Neuroscience</w:t>
      </w:r>
      <w:r w:rsidRPr="00402DF9">
        <w:rPr>
          <w:rFonts w:ascii="Aptos" w:hAnsi="Aptos"/>
        </w:rPr>
        <w:t xml:space="preserve">, 12(2), 105–118. </w:t>
      </w:r>
      <w:hyperlink r:id="rId14" w:history="1">
        <w:r w:rsidR="000A204F" w:rsidRPr="00402DF9">
          <w:rPr>
            <w:rStyle w:val="Hyperlink0"/>
            <w:rFonts w:ascii="Aptos" w:hAnsi="Aptos"/>
          </w:rPr>
          <w:t>https://doi.org/10.1038/nrn2979</w:t>
        </w:r>
      </w:hyperlink>
    </w:p>
    <w:p w14:paraId="3FF5A700"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Fries, P. (2005). A mechanism for cognitive dynamics: neuronal communication through neuronal coherence. </w:t>
      </w:r>
      <w:r w:rsidRPr="00402DF9">
        <w:rPr>
          <w:rFonts w:ascii="Aptos" w:hAnsi="Aptos"/>
          <w:i/>
          <w:iCs/>
        </w:rPr>
        <w:t>Trends in Cognitive Sciences</w:t>
      </w:r>
      <w:r w:rsidRPr="00402DF9">
        <w:rPr>
          <w:rFonts w:ascii="Aptos" w:hAnsi="Aptos"/>
        </w:rPr>
        <w:t xml:space="preserve">, 9(10), 474–480. </w:t>
      </w:r>
      <w:hyperlink r:id="rId15" w:history="1">
        <w:r w:rsidR="000A204F" w:rsidRPr="00402DF9">
          <w:rPr>
            <w:rStyle w:val="Hyperlink0"/>
            <w:rFonts w:ascii="Aptos" w:hAnsi="Aptos"/>
          </w:rPr>
          <w:t>https://doi.org/10.1016/j.tics.2005.08.011</w:t>
        </w:r>
      </w:hyperlink>
    </w:p>
    <w:p w14:paraId="3FF5A701"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Klimesch, W. (2012). Alpha-band oscillations, attention, and controlled access to stored information. </w:t>
      </w:r>
      <w:r w:rsidRPr="00402DF9">
        <w:rPr>
          <w:rFonts w:ascii="Aptos" w:hAnsi="Aptos"/>
          <w:i/>
          <w:iCs/>
        </w:rPr>
        <w:t>Trends in Cognitive Sciences</w:t>
      </w:r>
      <w:r w:rsidRPr="00402DF9">
        <w:rPr>
          <w:rFonts w:ascii="Aptos" w:hAnsi="Aptos"/>
        </w:rPr>
        <w:t xml:space="preserve">, 16(12), 606–617. </w:t>
      </w:r>
      <w:hyperlink r:id="rId16" w:history="1">
        <w:r w:rsidR="000A204F" w:rsidRPr="00402DF9">
          <w:rPr>
            <w:rStyle w:val="Hyperlink0"/>
            <w:rFonts w:ascii="Aptos" w:hAnsi="Aptos"/>
          </w:rPr>
          <w:t>https://doi.org/10.1016/j.tics.2012.10.007</w:t>
        </w:r>
      </w:hyperlink>
    </w:p>
    <w:p w14:paraId="3FF5A702"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lastRenderedPageBreak/>
        <w:t xml:space="preserve">Lakatos, P., Karmos, G., Mehta, A. D., Ulbert, I., &amp; Schroeder, C. E. (2008). Entrainment of neuronal oscillations as a mechanism of attentional selection. </w:t>
      </w:r>
      <w:r w:rsidRPr="00402DF9">
        <w:rPr>
          <w:rFonts w:ascii="Aptos" w:hAnsi="Aptos"/>
          <w:i/>
          <w:iCs/>
        </w:rPr>
        <w:t>Science</w:t>
      </w:r>
      <w:r w:rsidRPr="00402DF9">
        <w:rPr>
          <w:rFonts w:ascii="Aptos" w:hAnsi="Aptos"/>
        </w:rPr>
        <w:t xml:space="preserve">, 320(5872), 110–113. </w:t>
      </w:r>
      <w:hyperlink r:id="rId17" w:history="1">
        <w:r w:rsidR="000A204F" w:rsidRPr="00402DF9">
          <w:rPr>
            <w:rStyle w:val="Hyperlink0"/>
            <w:rFonts w:ascii="Aptos" w:hAnsi="Aptos"/>
          </w:rPr>
          <w:t>https://doi.org/10.1126/science.1154735</w:t>
        </w:r>
      </w:hyperlink>
    </w:p>
    <w:p w14:paraId="3FF5A703"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Reynolds, J. H., &amp; Heeger, D. J. (2009). The normalization model of attention. </w:t>
      </w:r>
      <w:r w:rsidRPr="00402DF9">
        <w:rPr>
          <w:rFonts w:ascii="Aptos" w:hAnsi="Aptos"/>
          <w:i/>
          <w:iCs/>
          <w:lang w:val="de-DE"/>
        </w:rPr>
        <w:t>Neuron</w:t>
      </w:r>
      <w:r w:rsidRPr="00402DF9">
        <w:rPr>
          <w:rFonts w:ascii="Aptos" w:hAnsi="Aptos"/>
        </w:rPr>
        <w:t xml:space="preserve">, 61(2), 168–185. </w:t>
      </w:r>
      <w:hyperlink r:id="rId18" w:history="1">
        <w:r w:rsidRPr="00402DF9">
          <w:rPr>
            <w:rStyle w:val="Hyperlink0"/>
            <w:rFonts w:ascii="Aptos" w:hAnsi="Aptos"/>
          </w:rPr>
          <w:t>https://doi.org/10.1016/j.neuron.2009.01.002</w:t>
        </w:r>
      </w:hyperlink>
    </w:p>
    <w:p w14:paraId="3FF5A704"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02DF9">
        <w:rPr>
          <w:rFonts w:ascii="Aptos" w:hAnsi="Aptos"/>
        </w:rPr>
        <w:t xml:space="preserve">Sadaghiani, S., &amp; Kleinschmidt, A. (2016). Brain networks and alpha-oscillations: Structural and functional foundations of cognitive control. </w:t>
      </w:r>
      <w:r w:rsidRPr="00402DF9">
        <w:rPr>
          <w:rFonts w:ascii="Aptos" w:hAnsi="Aptos"/>
          <w:i/>
          <w:iCs/>
        </w:rPr>
        <w:t>Trends in Cognitive Sciences</w:t>
      </w:r>
      <w:r w:rsidRPr="00402DF9">
        <w:rPr>
          <w:rFonts w:ascii="Aptos" w:hAnsi="Aptos"/>
        </w:rPr>
        <w:t xml:space="preserve">, 20(11), 805–817. </w:t>
      </w:r>
      <w:hyperlink r:id="rId19" w:history="1">
        <w:r w:rsidR="000A204F" w:rsidRPr="00402DF9">
          <w:rPr>
            <w:rStyle w:val="Hyperlink0"/>
            <w:rFonts w:ascii="Aptos" w:hAnsi="Aptos"/>
          </w:rPr>
          <w:t>https://doi.org/10.1016/j.tics.2016.09.004</w:t>
        </w:r>
      </w:hyperlink>
    </w:p>
    <w:p w14:paraId="3FF5A705" w14:textId="77777777" w:rsidR="000A204F" w:rsidRPr="00402DF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402DF9">
        <w:rPr>
          <w:rFonts w:ascii="Aptos" w:hAnsi="Aptos"/>
        </w:rPr>
        <w:t xml:space="preserve">Thut, G., Schyns, P. G., &amp; Gross, J. (2011). Entrainment of perceptually relevant brain oscillations by non-invasive rhythmic stimulation of the human brain. </w:t>
      </w:r>
      <w:r w:rsidRPr="00402DF9">
        <w:rPr>
          <w:rFonts w:ascii="Aptos" w:hAnsi="Aptos"/>
          <w:i/>
          <w:iCs/>
        </w:rPr>
        <w:t>Frontiers in Psychology</w:t>
      </w:r>
      <w:r w:rsidRPr="00402DF9">
        <w:rPr>
          <w:rFonts w:ascii="Aptos" w:hAnsi="Aptos"/>
        </w:rPr>
        <w:t xml:space="preserve">, 2, 170. </w:t>
      </w:r>
      <w:hyperlink r:id="rId20" w:history="1">
        <w:r w:rsidR="000A204F" w:rsidRPr="00402DF9">
          <w:rPr>
            <w:rStyle w:val="Hyperlink0"/>
            <w:rFonts w:ascii="Aptos" w:hAnsi="Aptos"/>
          </w:rPr>
          <w:t>https://doi.org/10.3389/fpsyg.2011.00170</w:t>
        </w:r>
      </w:hyperlink>
    </w:p>
    <w:sectPr w:rsidR="000A204F" w:rsidRPr="00402DF9">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C25D" w14:textId="77777777" w:rsidR="00934A48" w:rsidRDefault="00934A48">
      <w:r>
        <w:separator/>
      </w:r>
    </w:p>
  </w:endnote>
  <w:endnote w:type="continuationSeparator" w:id="0">
    <w:p w14:paraId="69398EB2" w14:textId="77777777" w:rsidR="00934A48" w:rsidRDefault="00934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A707" w14:textId="77777777" w:rsidR="000A204F" w:rsidRDefault="000A204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FE53" w14:textId="77777777" w:rsidR="00934A48" w:rsidRDefault="00934A48">
      <w:r>
        <w:separator/>
      </w:r>
    </w:p>
  </w:footnote>
  <w:footnote w:type="continuationSeparator" w:id="0">
    <w:p w14:paraId="14F85EB9" w14:textId="77777777" w:rsidR="00934A48" w:rsidRDefault="00934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A706" w14:textId="77777777" w:rsidR="000A204F" w:rsidRDefault="000A204F">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04F"/>
    <w:rsid w:val="000A204F"/>
    <w:rsid w:val="002522F3"/>
    <w:rsid w:val="00402DF9"/>
    <w:rsid w:val="007641B5"/>
    <w:rsid w:val="00934A48"/>
    <w:rsid w:val="00B27149"/>
    <w:rsid w:val="00E8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A6C2"/>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26/science.1099745" TargetMode="External"/><Relationship Id="rId18" Type="http://schemas.openxmlformats.org/officeDocument/2006/relationships/hyperlink" Target="https://doi.org/10.1016/j.neuron.2009.01.002"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5281/zenodo.15725824" TargetMode="External"/><Relationship Id="rId17" Type="http://schemas.openxmlformats.org/officeDocument/2006/relationships/hyperlink" Target="https://doi.org/10.1126/science.1154735" TargetMode="External"/><Relationship Id="rId2" Type="http://schemas.openxmlformats.org/officeDocument/2006/relationships/customXml" Target="../customXml/item2.xml"/><Relationship Id="rId16" Type="http://schemas.openxmlformats.org/officeDocument/2006/relationships/hyperlink" Target="https://doi.org/10.1016/j.tics.2012.10.007" TargetMode="External"/><Relationship Id="rId20" Type="http://schemas.openxmlformats.org/officeDocument/2006/relationships/hyperlink" Target="https://doi.org/10.3389/fpsyg.2011.0017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1887/DCNS.2013.15.3/ebasar"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16/j.tics.2005.08.011" TargetMode="External"/><Relationship Id="rId23" Type="http://schemas.openxmlformats.org/officeDocument/2006/relationships/fontTable" Target="fontTable.xml"/><Relationship Id="rId10" Type="http://schemas.openxmlformats.org/officeDocument/2006/relationships/hyperlink" Target="http://www.brisartresearcharchive.com" TargetMode="External"/><Relationship Id="rId19" Type="http://schemas.openxmlformats.org/officeDocument/2006/relationships/hyperlink" Target="https://doi.org/10.1016/j.tics.2016.09.004"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1038/nrn2979"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5C40B7-C387-401A-A8E0-1E7B8F2D9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C22214-C3D9-46DB-B89E-1B73393D54B0}">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3.xml><?xml version="1.0" encoding="utf-8"?>
<ds:datastoreItem xmlns:ds="http://schemas.openxmlformats.org/officeDocument/2006/customXml" ds:itemID="{CEF15F47-F5A4-48EF-B736-FC9F66300E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1810</Words>
  <Characters>10320</Characters>
  <Application>Microsoft Office Word</Application>
  <DocSecurity>0</DocSecurity>
  <Lines>86</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