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8A2BE"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Linguistic Resonance Architecture (LRA): A Vibrational Resonance Model of Symbolic Meaning and Language Dynamics</w:t>
      </w:r>
    </w:p>
    <w:p w14:paraId="1088A2BF"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Jason Brisart</w:t>
      </w:r>
    </w:p>
    <w:p w14:paraId="1088A2C0"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Independent Researcher</w:t>
      </w:r>
    </w:p>
    <w:p w14:paraId="1088A2C1" w14:textId="77777777" w:rsidR="00D74D69" w:rsidRPr="00A55071" w:rsidRDefault="00D74D69">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9" w:history="1">
        <w:r w:rsidRPr="00A55071">
          <w:rPr>
            <w:rStyle w:val="Hyperlink0"/>
            <w:rFonts w:ascii="Aptos" w:hAnsi="Aptos"/>
          </w:rPr>
          <w:t>jason@brisartresearcharchive.com</w:t>
        </w:r>
      </w:hyperlink>
    </w:p>
    <w:p w14:paraId="1088A2C2" w14:textId="77777777" w:rsidR="00D74D69" w:rsidRPr="00A55071" w:rsidRDefault="00D74D69">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10" w:history="1">
        <w:r w:rsidRPr="00A55071">
          <w:rPr>
            <w:rStyle w:val="Hyperlink0"/>
            <w:rFonts w:ascii="Aptos" w:hAnsi="Aptos"/>
          </w:rPr>
          <w:t>www.brisartresearcharchive.com</w:t>
        </w:r>
      </w:hyperlink>
    </w:p>
    <w:p w14:paraId="1088A2C4"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Abstract</w:t>
      </w:r>
    </w:p>
    <w:p w14:paraId="1088A2C5"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Linguistic Resonance Architecture (LRA) proposes that language and symbolic meaning emerge from dynamic, multi-scale vibrational resonance across phonetic, semantic, syntactic, and narrative processing streams. Rather than treating language as a static symbolic system or a mere statistical mapping, LRA models it as an active resonant field in which acoustic rhythms, conceptual vectors, grammatical structures, and autobiographical threads entrain in real time to produce coherent utterance, comprehension, and shared meaning. Central to the framework is the Linguistic Resonance Node (LRN), a distributed neurodynamic hub that continuously tunes cross-stream frequencies to minimize linguistic dissonance and maximize symbolic coherence. LRA explains core phenomena such as fluent speech production, semantic disambiguation, syntactic parsing, narrative persuasion, language acquisition, aphasia recovery, and collective discourse while generating clear, testable predictions for EEG phase-locking, multi-person linguistic synchrony, and clinical language interventions. The model offers a precise, falsifiable account of how vibration and intention scale from individual phonemes to coherent symbolic systems and collective meaning fields.</w:t>
      </w:r>
    </w:p>
    <w:p w14:paraId="1088A2C6"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lang w:val="fr-FR"/>
        </w:rPr>
        <w:t>1.0 Introduction</w:t>
      </w:r>
    </w:p>
    <w:p w14:paraId="1088A2C7"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lastRenderedPageBreak/>
        <w:t>Human language feels effortless and continuous: we speak, listen, read, and write with a seamless sense of shared meaning. Yet existing models—whether classical symbolic, connectionist, statistical, or embodied—rarely address the underlying neurodynamic mechanism that allows disparate processing streams to function as a unified symbolic system. Linguistic Resonance Architecture (LRA) addresses this gap by proposing that symbolic meaning and language dynamics emerge when phonetic, semantic, syntactic, and narrative streams achieve real-time vibrational entrainment.</w:t>
      </w:r>
    </w:p>
    <w:p w14:paraId="1088A2C8"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This framework treats language not as a loose collection of rules or probabilities but as a higher-order resonant field capable of self-organization. When alignment occurs, utterance becomes fluent, comprehension instantaneous, and shared meaning stable. When misalignment persists, language fragments into disfluency, ambiguity, or misunderstanding. LRA provides a unified, empirically grounded account of how vibration and symbolic intention scale from individual sounds to coherent discourse and collective linguistic fields.</w:t>
      </w:r>
    </w:p>
    <w:p w14:paraId="1088A2C9"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2.0 Core Mechanism</w:t>
      </w:r>
    </w:p>
    <w:p w14:paraId="1088A2CA"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At the heart of LRA is the Linguistic Resonance Node (LRN), a distributed neurodynamic hub (primarily involving superior temporal, inferior frontal, and default-mode networks) that continuously tunes cross-stream frequencies to minimize linguistic dissonance and maximize symbolic coherence.</w:t>
      </w:r>
    </w:p>
    <w:p w14:paraId="1088A2CB"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The core components are:</w:t>
      </w:r>
    </w:p>
    <w:p w14:paraId="1088A2CC"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 xml:space="preserve">• </w:t>
      </w:r>
      <w:r w:rsidRPr="00A55071">
        <w:rPr>
          <w:rFonts w:ascii="Aptos" w:hAnsi="Aptos"/>
          <w:b/>
          <w:bCs/>
        </w:rPr>
        <w:t>Processing Streams</w:t>
      </w:r>
      <w:r w:rsidRPr="00A55071">
        <w:rPr>
          <w:rFonts w:ascii="Aptos" w:hAnsi="Aptos"/>
        </w:rPr>
        <w:t>: Phonetic (sound rhythm), semantic (conceptual vectors), syntactic (grammatical structure), and narrative (autobiographical thread).</w:t>
      </w:r>
    </w:p>
    <w:p w14:paraId="1088A2CD"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lastRenderedPageBreak/>
        <w:t xml:space="preserve">• </w:t>
      </w:r>
      <w:r w:rsidRPr="00A55071">
        <w:rPr>
          <w:rFonts w:ascii="Aptos" w:hAnsi="Aptos"/>
          <w:b/>
          <w:bCs/>
        </w:rPr>
        <w:t>Cross-Stream Coupling</w:t>
      </w:r>
      <w:r w:rsidRPr="00A55071">
        <w:rPr>
          <w:rFonts w:ascii="Aptos" w:hAnsi="Aptos"/>
        </w:rPr>
        <w:t>: Signals propagate through auditory, motor, and conceptual channels, creating measurable intrapersonal and interpersonal entrainment.</w:t>
      </w:r>
    </w:p>
    <w:p w14:paraId="1088A2CE"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 xml:space="preserve">• </w:t>
      </w:r>
      <w:r w:rsidRPr="00A55071">
        <w:rPr>
          <w:rFonts w:ascii="Aptos" w:hAnsi="Aptos"/>
          <w:b/>
          <w:bCs/>
          <w:lang w:val="it-IT"/>
        </w:rPr>
        <w:t>Linguistic Resonance Node (LRN)</w:t>
      </w:r>
      <w:r w:rsidRPr="00A55071">
        <w:rPr>
          <w:rFonts w:ascii="Aptos" w:hAnsi="Aptos"/>
        </w:rPr>
        <w:t>: The emergent hub that computes mismatch and drives corrective alignment.</w:t>
      </w:r>
    </w:p>
    <w:p w14:paraId="1088A2CF"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The symbolic model of linguistic coherence is expressed as:</w:t>
      </w:r>
    </w:p>
    <w:p w14:paraId="1088A2D0"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 xml:space="preserve">Linguistic Coherence (LC) = (Phonetic Phase Alignment × </w:t>
      </w:r>
      <w:r w:rsidRPr="00A55071">
        <w:rPr>
          <w:rFonts w:ascii="Aptos" w:hAnsi="Aptos"/>
          <w:b/>
          <w:bCs/>
          <w:lang w:val="nl-NL"/>
        </w:rPr>
        <w:t xml:space="preserve">Semantic Vector Overlap </w:t>
      </w:r>
      <w:r w:rsidRPr="00A55071">
        <w:rPr>
          <w:rFonts w:ascii="Aptos" w:hAnsi="Aptos"/>
          <w:b/>
          <w:bCs/>
        </w:rPr>
        <w:t xml:space="preserve">× </w:t>
      </w:r>
      <w:r w:rsidRPr="00A55071">
        <w:rPr>
          <w:rFonts w:ascii="Aptos" w:hAnsi="Aptos"/>
          <w:b/>
          <w:bCs/>
          <w:lang w:val="fr-FR"/>
        </w:rPr>
        <w:t xml:space="preserve">Syntactic Entrainment </w:t>
      </w:r>
      <w:r w:rsidRPr="00A55071">
        <w:rPr>
          <w:rFonts w:ascii="Aptos" w:hAnsi="Aptos"/>
          <w:b/>
          <w:bCs/>
        </w:rPr>
        <w:t>× Narrative Thread Integration)</w:t>
      </w:r>
    </w:p>
    <w:p w14:paraId="1088A2D1"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When LC exceeds a dynamic threshold, the system enters a stable resonant state characterized by fluent production, effortless comprehension, and amplified shared meaning.</w:t>
      </w:r>
    </w:p>
    <w:p w14:paraId="1088A2D2"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3.0 Internal Processing Dynamics</w:t>
      </w:r>
    </w:p>
    <w:p w14:paraId="1088A2D3"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LRA operates through a continuous four-phase cycle that scales acoustic resonance to symbolic stability.</w:t>
      </w:r>
    </w:p>
    <w:p w14:paraId="1088A2D4"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3.1 Stream Activation and Frequency Emission</w:t>
      </w:r>
    </w:p>
    <w:p w14:paraId="1088A2D5"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Each linguistic stream independently generates its characteristic rhythms (gamma for phonetic precision, theta–alpha for semantic valence, beta for syntactic structure, infra-slow for narrative continuity). These signals are broadcast through speech, gesture, inner speech, and conceptual activation.</w:t>
      </w:r>
    </w:p>
    <w:p w14:paraId="1088A2D6"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3.2 Mismatch Detection</w:t>
      </w:r>
    </w:p>
    <w:p w14:paraId="1088A2D7"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The LRN continuously monitors cross-stream and interpersonal desynchronization. Mismatch appears as phonetic drift, semantic ambiguity, syntactic violation, or narrative incoherence.</w:t>
      </w:r>
    </w:p>
    <w:p w14:paraId="1088A2D8"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lastRenderedPageBreak/>
        <w:t>3.3 Entrainment and Field Tuning</w:t>
      </w:r>
    </w:p>
    <w:p w14:paraId="1088A2D9"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The LRN broadcasts corrective signals (via prosodic cues, lexical priming, syntactic priming, or shared narrative context) that adjust lagging streams. Successful entrainment produces cross-stream locking, experienced as fluent speech, immediate understanding, or persuasive resonance.</w:t>
      </w:r>
    </w:p>
    <w:p w14:paraId="1088A2DA"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3.4 Resonance Stabilization and Adaptive Feedback</w:t>
      </w:r>
    </w:p>
    <w:p w14:paraId="1088A2DB"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Once alignment is achieved, the resonant field stabilizes through positive feedback. The system then monitors for new external or internal perturbations and repeats the cycle, maintaining adaptive symbolic coherence over time.</w:t>
      </w:r>
    </w:p>
    <w:p w14:paraId="1088A2DC"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4.0 Applications and Predictions</w:t>
      </w:r>
    </w:p>
    <w:p w14:paraId="1088A2DD"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LRA yields immediately testable predictions suitable for psycholinguistics, neuroscience, clinical, and collective settings.</w:t>
      </w:r>
    </w:p>
    <w:p w14:paraId="1088A2DE"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4.1 Fluent Speech and Semantic Disambiguation</w:t>
      </w:r>
    </w:p>
    <w:p w14:paraId="1088A2DF"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Prediction: High-coherence speech will show elevated gamma–theta phase-locking between auditory and motor cortices; ambiguous sentences will produce measurable drops in LC scores until re-entrainment restores fluency.</w:t>
      </w:r>
    </w:p>
    <w:p w14:paraId="1088A2E0"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4.2 Language Acquisition and Narrative Development</w:t>
      </w:r>
    </w:p>
    <w:p w14:paraId="1088A2E1"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Prediction: Children</w:t>
      </w:r>
      <w:r w:rsidRPr="00A55071">
        <w:rPr>
          <w:rFonts w:ascii="Aptos" w:hAnsi="Aptos"/>
          <w:rtl/>
        </w:rPr>
        <w:t>’</w:t>
      </w:r>
      <w:r w:rsidRPr="00A55071">
        <w:rPr>
          <w:rFonts w:ascii="Aptos" w:hAnsi="Aptos"/>
        </w:rPr>
        <w:t>s language learning trajectories will correlate with progressive increases in cross-stream entrainment (measurable via EEG during story-time); interventions that boost phonetic–narrative resonance will accelerate vocabulary and narrative complexity.</w:t>
      </w:r>
    </w:p>
    <w:p w14:paraId="1088A2E2"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4.3 Aphasia Recovery and Clinical Interventions</w:t>
      </w:r>
    </w:p>
    <w:p w14:paraId="1088A2E3"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lastRenderedPageBreak/>
        <w:t>Prediction: Targeted rhythmic or prosodic therapies that restore LRN entrainment will produce faster recovery of fluent speech and comprehension than standard lexical drills, visible in pre–post EEG coherence measures.</w:t>
      </w:r>
    </w:p>
    <w:p w14:paraId="1088A2E4"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4.4 Collective Discourse and Shared Meaning</w:t>
      </w:r>
    </w:p>
    <w:p w14:paraId="1088A2E5"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Prediction: Group discussions will exhibit elevated interpersonal phase-locking (multi-person EEG) and correlated narrative-thread integration when collective LC scores are high, leading to faster consensus and creative linguistic output.</w:t>
      </w:r>
    </w:p>
    <w:p w14:paraId="1088A2E6"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These predictions are directly evaluable using simultaneous EEG/MEG, eye-tracking during reading, prosodic analysis, and real-time group language tasks.</w:t>
      </w:r>
    </w:p>
    <w:p w14:paraId="1088A2E7"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5.0 Limitations and Future Work</w:t>
      </w:r>
    </w:p>
    <w:p w14:paraId="1088A2E8"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LRA is currently a high-level neurodynamic model. Precise mapping of the LRN across languages, cultural variations in prosody, and the exact mathematics of multi-stream symbolic entrainment require further refinement. Neurodivergent and multilingual variations in resonance baselines are not yet fully modeled.</w:t>
      </w:r>
    </w:p>
    <w:p w14:paraId="1088A2E9"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Future directions include:</w:t>
      </w:r>
    </w:p>
    <w:p w14:paraId="1088A2EA"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 Large-scale multi-person neuroimaging of discourse resonance.</w:t>
      </w:r>
    </w:p>
    <w:p w14:paraId="1088A2EB"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 Computational simulations of the LC equation.</w:t>
      </w:r>
    </w:p>
    <w:p w14:paraId="1088A2EC"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 Applied interventions in language therapy, education, and human–</w:t>
      </w:r>
      <w:r w:rsidRPr="00A55071">
        <w:rPr>
          <w:rFonts w:ascii="Aptos" w:hAnsi="Aptos"/>
          <w:lang w:val="pt-PT"/>
        </w:rPr>
        <w:t>AI dialogue systems.</w:t>
      </w:r>
    </w:p>
    <w:p w14:paraId="1088A2ED"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rPr>
        <w:t>6.0 Final Synthesis</w:t>
      </w:r>
    </w:p>
    <w:p w14:paraId="1088A2EE"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 xml:space="preserve">Linguistic Resonance Architecture offers a coherent, mechanistically precise account of how symbolic meaning and language dynamics emerge through vibrational resonance across phonetic, semantic, syntactic, and narrative streams. By centering language on the </w:t>
      </w:r>
      <w:r w:rsidRPr="00A55071">
        <w:rPr>
          <w:rFonts w:ascii="Aptos" w:hAnsi="Aptos"/>
        </w:rPr>
        <w:lastRenderedPageBreak/>
        <w:t>Linguistic Resonance Node and dynamic cross-stream alignment, LRA explains not only everyday fluent communication but also the emergence of shared meaning, narrative persuasion, language acquisition, and collective discourse.</w:t>
      </w:r>
    </w:p>
    <w:p w14:paraId="1088A2EF"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The inclusion of a formal linguistic coherence metric, clear entrainment phases, and directly testable predictions positions LRA as a practical and falsifiable lens for understanding how vibration and intention scale from individual sounds to coherent symbolic systems. LRA stands ready for experimental validation and real-world application in linguistics, neuroscience, clinical practice, and human–</w:t>
      </w:r>
      <w:r w:rsidRPr="00A55071">
        <w:rPr>
          <w:rFonts w:ascii="Aptos" w:hAnsi="Aptos"/>
          <w:lang w:val="fr-FR"/>
        </w:rPr>
        <w:t>AI interaction.</w:t>
      </w:r>
    </w:p>
    <w:p w14:paraId="1088A2F0"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b/>
          <w:bCs/>
          <w:lang w:val="fr-FR"/>
        </w:rPr>
        <w:t>References</w:t>
      </w:r>
    </w:p>
    <w:p w14:paraId="1088A2F1"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 xml:space="preserve">Brisart, J. (2025). The Brisart Format: A Standardized Template for Theoretical, Conceptual, and Methodological Manuscripts (Version v2). Zenodo. </w:t>
      </w:r>
      <w:hyperlink r:id="rId11" w:history="1">
        <w:r w:rsidR="00D74D69" w:rsidRPr="00A55071">
          <w:rPr>
            <w:rStyle w:val="Hyperlink0"/>
            <w:rFonts w:ascii="Aptos" w:hAnsi="Aptos"/>
          </w:rPr>
          <w:t>https://doi.org/10.5281/zenodo.15725824</w:t>
        </w:r>
      </w:hyperlink>
    </w:p>
    <w:p w14:paraId="1088A2F2"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 xml:space="preserve">Buzsáki, G. (2006). </w:t>
      </w:r>
      <w:r w:rsidRPr="00A55071">
        <w:rPr>
          <w:rFonts w:ascii="Aptos" w:hAnsi="Aptos"/>
          <w:i/>
          <w:iCs/>
        </w:rPr>
        <w:t>Rhythms of the Brain</w:t>
      </w:r>
      <w:r w:rsidRPr="00A55071">
        <w:rPr>
          <w:rFonts w:ascii="Aptos" w:hAnsi="Aptos"/>
        </w:rPr>
        <w:t>. Oxford University Press.</w:t>
      </w:r>
    </w:p>
    <w:p w14:paraId="1088A2F3"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 xml:space="preserve">Friston, K. (2010). The free-energy principle: A unified brain theory? </w:t>
      </w:r>
      <w:r w:rsidRPr="00A55071">
        <w:rPr>
          <w:rFonts w:ascii="Aptos" w:hAnsi="Aptos"/>
          <w:i/>
          <w:iCs/>
        </w:rPr>
        <w:t>Nature Reviews Neuroscience</w:t>
      </w:r>
      <w:r w:rsidRPr="00A55071">
        <w:rPr>
          <w:rFonts w:ascii="Aptos" w:hAnsi="Aptos"/>
        </w:rPr>
        <w:t xml:space="preserve">, 11(2), 127–138. </w:t>
      </w:r>
      <w:hyperlink r:id="rId12" w:history="1">
        <w:r w:rsidR="00D74D69" w:rsidRPr="00A55071">
          <w:rPr>
            <w:rStyle w:val="Hyperlink0"/>
            <w:rFonts w:ascii="Aptos" w:hAnsi="Aptos"/>
          </w:rPr>
          <w:t>https://doi.org/10.1038/nrn2787</w:t>
        </w:r>
      </w:hyperlink>
    </w:p>
    <w:p w14:paraId="1088A2F4"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A55071">
        <w:rPr>
          <w:rFonts w:ascii="Aptos" w:hAnsi="Aptos"/>
        </w:rPr>
        <w:t xml:space="preserve">Lakatos, P., et al. (2008). Entrainment of neuronal oscillations as a mechanism of attentional selection. </w:t>
      </w:r>
      <w:r w:rsidRPr="00A55071">
        <w:rPr>
          <w:rFonts w:ascii="Aptos" w:hAnsi="Aptos"/>
          <w:i/>
          <w:iCs/>
        </w:rPr>
        <w:t>Science</w:t>
      </w:r>
      <w:r w:rsidRPr="00A55071">
        <w:rPr>
          <w:rFonts w:ascii="Aptos" w:hAnsi="Aptos"/>
        </w:rPr>
        <w:t xml:space="preserve">, 320(5872), 110–113. </w:t>
      </w:r>
      <w:hyperlink r:id="rId13" w:history="1">
        <w:r w:rsidR="00D74D69" w:rsidRPr="00A55071">
          <w:rPr>
            <w:rStyle w:val="Hyperlink0"/>
            <w:rFonts w:ascii="Aptos" w:hAnsi="Aptos"/>
          </w:rPr>
          <w:t>https://doi.org/10.1126/science.1154735</w:t>
        </w:r>
      </w:hyperlink>
    </w:p>
    <w:p w14:paraId="1088A2F5" w14:textId="77777777" w:rsidR="00D74D69" w:rsidRPr="00A55071"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r w:rsidRPr="00A55071">
        <w:rPr>
          <w:rFonts w:ascii="Aptos" w:hAnsi="Aptos"/>
        </w:rPr>
        <w:t xml:space="preserve">Thut, G., et al. (2011). Entrainment of perceptually relevant brain oscillations by non-invasive rhythmic stimulation. </w:t>
      </w:r>
      <w:r w:rsidRPr="00A55071">
        <w:rPr>
          <w:rFonts w:ascii="Aptos" w:hAnsi="Aptos"/>
          <w:i/>
          <w:iCs/>
        </w:rPr>
        <w:t>Frontiers in Psychology</w:t>
      </w:r>
      <w:r w:rsidRPr="00A55071">
        <w:rPr>
          <w:rFonts w:ascii="Aptos" w:hAnsi="Aptos"/>
        </w:rPr>
        <w:t xml:space="preserve">, 2, 170. </w:t>
      </w:r>
      <w:hyperlink r:id="rId14" w:history="1">
        <w:r w:rsidR="00D74D69" w:rsidRPr="00A55071">
          <w:rPr>
            <w:rStyle w:val="Hyperlink0"/>
            <w:rFonts w:ascii="Aptos" w:hAnsi="Aptos"/>
          </w:rPr>
          <w:t>https://doi.org/10.3389/fpsyg.2011.00170</w:t>
        </w:r>
      </w:hyperlink>
    </w:p>
    <w:sectPr w:rsidR="00D74D69" w:rsidRPr="00A55071">
      <w:headerReference w:type="default" r:id="rId15"/>
      <w:footerReference w:type="default" r:id="rId16"/>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ED1A7" w14:textId="77777777" w:rsidR="003246AF" w:rsidRDefault="003246AF">
      <w:r>
        <w:separator/>
      </w:r>
    </w:p>
  </w:endnote>
  <w:endnote w:type="continuationSeparator" w:id="0">
    <w:p w14:paraId="681216C4" w14:textId="77777777" w:rsidR="003246AF" w:rsidRDefault="00324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A2F7" w14:textId="77777777" w:rsidR="00D74D69" w:rsidRDefault="00D74D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357B9" w14:textId="77777777" w:rsidR="003246AF" w:rsidRDefault="003246AF">
      <w:r>
        <w:separator/>
      </w:r>
    </w:p>
  </w:footnote>
  <w:footnote w:type="continuationSeparator" w:id="0">
    <w:p w14:paraId="399E43AF" w14:textId="77777777" w:rsidR="003246AF" w:rsidRDefault="00324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A2F6" w14:textId="77777777" w:rsidR="00D74D69" w:rsidRDefault="00D74D6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D69"/>
    <w:rsid w:val="003246AF"/>
    <w:rsid w:val="004328EE"/>
    <w:rsid w:val="00456ADD"/>
    <w:rsid w:val="007641B5"/>
    <w:rsid w:val="00A55071"/>
    <w:rsid w:val="00B27149"/>
    <w:rsid w:val="00D74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8A2BE"/>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126/science.1154735"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doi.org/10.1038/nrn2787"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5281/zenodo.15725824"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www.brisartresearcharchive.com" TargetMode="External"/><Relationship Id="rId4" Type="http://schemas.openxmlformats.org/officeDocument/2006/relationships/styles" Target="styles.xml"/><Relationship Id="rId9" Type="http://schemas.openxmlformats.org/officeDocument/2006/relationships/hyperlink" Target="mailto:jason@brisartresearcharchive.com" TargetMode="External"/><Relationship Id="rId14" Type="http://schemas.openxmlformats.org/officeDocument/2006/relationships/hyperlink" Target="https://doi.org/10.3389/fpsyg.2011.00170"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68B968-4196-4B24-A745-15BAD7822CC0}">
  <ds:schemaRefs>
    <ds:schemaRef ds:uri="http://schemas.microsoft.com/office/2006/metadata/properties"/>
    <ds:schemaRef ds:uri="http://schemas.microsoft.com/office/infopath/2007/PartnerControls"/>
    <ds:schemaRef ds:uri="ce5264cd-2933-4f1d-9ccf-564f0c8f34c0"/>
    <ds:schemaRef ds:uri="40915466-697b-4597-97a8-8ce3ba18083c"/>
  </ds:schemaRefs>
</ds:datastoreItem>
</file>

<file path=customXml/itemProps2.xml><?xml version="1.0" encoding="utf-8"?>
<ds:datastoreItem xmlns:ds="http://schemas.openxmlformats.org/officeDocument/2006/customXml" ds:itemID="{F40ECE3F-767B-48F4-A66D-B3010B1C203B}">
  <ds:schemaRefs>
    <ds:schemaRef ds:uri="http://schemas.microsoft.com/sharepoint/v3/contenttype/forms"/>
  </ds:schemaRefs>
</ds:datastoreItem>
</file>

<file path=customXml/itemProps3.xml><?xml version="1.0" encoding="utf-8"?>
<ds:datastoreItem xmlns:ds="http://schemas.openxmlformats.org/officeDocument/2006/customXml" ds:itemID="{64CF3A74-3D73-499C-AB83-B550E21DF4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15466-697b-4597-97a8-8ce3ba18083c"/>
    <ds:schemaRef ds:uri="ce5264cd-2933-4f1d-9ccf-564f0c8f3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1347</Words>
  <Characters>7684</Characters>
  <Application>Microsoft Office Word</Application>
  <DocSecurity>0</DocSecurity>
  <Lines>64</Lines>
  <Paragraphs>18</Paragraphs>
  <ScaleCrop>false</ScaleCrop>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3</cp:revision>
  <dcterms:created xsi:type="dcterms:W3CDTF">2026-06-22T00:02:00Z</dcterms:created>
  <dcterms:modified xsi:type="dcterms:W3CDTF">2026-09-17T19:26:00Z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