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D198"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Developmental Resonance Trajectory (DRT): A Lifespan Model of Resonance Maturation and Self-Organization</w:t>
      </w:r>
    </w:p>
    <w:p w14:paraId="6BCBD199"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Jason Brisart</w:t>
      </w:r>
    </w:p>
    <w:p w14:paraId="6BCBD19A"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Independent Researcher</w:t>
      </w:r>
    </w:p>
    <w:p w14:paraId="6BCBD19B"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6" w:history="1">
        <w:r w:rsidRPr="002E75AF">
          <w:rPr>
            <w:rStyle w:val="Hyperlink0"/>
            <w:rFonts w:ascii="Aptos" w:hAnsi="Aptos"/>
          </w:rPr>
          <w:t>jason@brisartresearcharchive.com</w:t>
        </w:r>
      </w:hyperlink>
    </w:p>
    <w:p w14:paraId="6BCBD19C"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7" w:history="1">
        <w:r w:rsidRPr="002E75AF">
          <w:rPr>
            <w:rStyle w:val="Hyperlink0"/>
            <w:rFonts w:ascii="Aptos" w:hAnsi="Aptos"/>
          </w:rPr>
          <w:t>www.brisartresearcharchive.com</w:t>
        </w:r>
      </w:hyperlink>
    </w:p>
    <w:p w14:paraId="6BCBD19D"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lang w:val="fr-FR"/>
        </w:rPr>
        <w:t>June 2025</w:t>
      </w:r>
    </w:p>
    <w:p w14:paraId="6BCBD19E"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Abstract</w:t>
      </w:r>
    </w:p>
    <w:p w14:paraId="6BCBD19F"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Developmental Resonance Trajectory (DRT) proposes that the human cognitive system self-organizes across the entire lifespan through progressive maturation of vibrational resonance capacities. Rather than treating development as a sequence of domain-specific milestones or fixed stages, DRT models it as a single, continuous trajectory in which resonance thresholds, entrainment efficiency, and cross-stream coherence gradually expand and stabilize. Central to the framework is the Developmental Resonance Engine (DRE), a distributed neurodynamic system that continuously recalibrates frequency alignment, affective gating, and generative-model integration as the brain and body mature. DRT explains core phenomena such as the emergence of coherent perception in infancy, narrative self-formation in childhood, creative flexibility in adolescence, adaptive stabilization in adulthood, and graceful coherence maintenance in later life, while generating clear, testable predictions for longitudinal EEG, behavioral synchrony, and lifespan neuroimaging studies. The model offers a precise, falsifiable account of how vibration and intention scale from early sensory entrainment to lifelong adaptive coherence.</w:t>
      </w:r>
    </w:p>
    <w:p w14:paraId="6BCBD1A0"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lang w:val="fr-FR"/>
        </w:rPr>
        <w:lastRenderedPageBreak/>
        <w:t>1.0 Introduction</w:t>
      </w:r>
    </w:p>
    <w:p w14:paraId="6BCBD1A1"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Human cognition changes dramatically from infancy to old age, yet most theories describe development as a patchwork of separate abilities rather than a unified, self-organizing process. Developmental Resonance Trajectory (DRT) addresses this gap by proposing that the entire cognitive system matures through the progressive expansion and refinement of vibrational resonance mechanisms.</w:t>
      </w:r>
    </w:p>
    <w:p w14:paraId="6BCBD1A2"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xml:space="preserve">This framework treats development not as the addition of new modules but as the continuous tuning of a single resonant architecture. When resonance capacities mature smoothly, the individual experiences </w:t>
      </w:r>
      <w:proofErr w:type="gramStart"/>
      <w:r w:rsidRPr="002E75AF">
        <w:rPr>
          <w:rFonts w:ascii="Aptos" w:hAnsi="Aptos"/>
        </w:rPr>
        <w:t>increasing</w:t>
      </w:r>
      <w:proofErr w:type="gramEnd"/>
      <w:r w:rsidRPr="002E75AF">
        <w:rPr>
          <w:rFonts w:ascii="Aptos" w:hAnsi="Aptos"/>
        </w:rPr>
        <w:t xml:space="preserve"> coherence, agency, and adaptability; when maturation is disrupted, fragmentation or rigidity can occur. DRT provides a unified, empirically grounded account of how vibration and symbolic intention scale across the entire human lifespan.</w:t>
      </w:r>
    </w:p>
    <w:p w14:paraId="6BCBD1A3"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2.0 Core Mechanism</w:t>
      </w:r>
    </w:p>
    <w:p w14:paraId="6BCBD1A4"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At the heart of DRT is the Developmental Resonance Engine (DRE), a distributed neurodynamic system (spanning thalamocortical loops, prefrontal networks, and limbic structures) that continuously recalibrates resonance thresholds, entrainment efficiency, and cross-stream coherence as the organism ages.</w:t>
      </w:r>
    </w:p>
    <w:p w14:paraId="6BCBD1A5"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The core components are:</w:t>
      </w:r>
    </w:p>
    <w:p w14:paraId="6BCBD1A6"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xml:space="preserve">• </w:t>
      </w:r>
      <w:r w:rsidRPr="002E75AF">
        <w:rPr>
          <w:rFonts w:ascii="Aptos" w:hAnsi="Aptos"/>
          <w:b/>
          <w:bCs/>
        </w:rPr>
        <w:t>Maturing Streams</w:t>
      </w:r>
      <w:r w:rsidRPr="002E75AF">
        <w:rPr>
          <w:rFonts w:ascii="Aptos" w:hAnsi="Aptos"/>
        </w:rPr>
        <w:t>: Parallel channels of perception, emotion, intention, memory, and narrative that evolve in characteristic frequency bands across life stages.</w:t>
      </w:r>
    </w:p>
    <w:p w14:paraId="6BCBD1A7"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xml:space="preserve">• </w:t>
      </w:r>
      <w:r w:rsidRPr="002E75AF">
        <w:rPr>
          <w:rFonts w:ascii="Aptos" w:hAnsi="Aptos"/>
          <w:b/>
          <w:bCs/>
        </w:rPr>
        <w:t>Threshold Calibration</w:t>
      </w:r>
      <w:r w:rsidRPr="002E75AF">
        <w:rPr>
          <w:rFonts w:ascii="Aptos" w:hAnsi="Aptos"/>
        </w:rPr>
        <w:t>: Dynamic adjustment of coherence thresholds based on neural maturation, experience, and environmental demands.</w:t>
      </w:r>
    </w:p>
    <w:p w14:paraId="6BCBD1A8"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lastRenderedPageBreak/>
        <w:t xml:space="preserve">• </w:t>
      </w:r>
      <w:r w:rsidRPr="002E75AF">
        <w:rPr>
          <w:rFonts w:ascii="Aptos" w:hAnsi="Aptos"/>
          <w:b/>
          <w:bCs/>
        </w:rPr>
        <w:t>Developmental Resonance Engine (DRE)</w:t>
      </w:r>
      <w:r w:rsidRPr="002E75AF">
        <w:rPr>
          <w:rFonts w:ascii="Aptos" w:hAnsi="Aptos"/>
        </w:rPr>
        <w:t>: The emergent hub that detects developmental mismatch and drives corrective alignment.</w:t>
      </w:r>
    </w:p>
    <w:p w14:paraId="6BCBD1A9"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The symbolic model of developmental coherence is expressed as:</w:t>
      </w:r>
    </w:p>
    <w:p w14:paraId="6BCBD1AA"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Developmental Coherence (DC) = (Stream Maturation Rate × Entrainment Efficiency × Affective Gating Strength)</w:t>
      </w:r>
    </w:p>
    <w:p w14:paraId="6BCBD1AB"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When DC exceeds a stage-specific threshold, the system advances to a new stable resonant configuration, experienced as expanded cognitive and emotional capacities.</w:t>
      </w:r>
    </w:p>
    <w:p w14:paraId="6BCBD1AC"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3.0 Internal Processing Dynamics</w:t>
      </w:r>
    </w:p>
    <w:p w14:paraId="6BCBD1AD"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DRT operates through a continuous four-phase cycle that unfolds across the entire lifespan.</w:t>
      </w:r>
    </w:p>
    <w:p w14:paraId="6BCBD1AE"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3.1 Stream Emergence and Initial Tuning</w:t>
      </w:r>
    </w:p>
    <w:p w14:paraId="6BCBD1AF"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Early in life, basic sensory and motor streams activate and begin emitting characteristic rhythms; the DRE tunes initial phase relationships to establish foundational coherence.</w:t>
      </w:r>
    </w:p>
    <w:p w14:paraId="6BCBD1B0"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3.2 Threshold Expansion and Mismatch Detection</w:t>
      </w:r>
    </w:p>
    <w:p w14:paraId="6BCBD1B1"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As neural architecture matures, the DRE continuously monitors developmental mismatch (e.g., new environmental demands outpacing current resonance capacity) and raises or lowers coherence thresholds accordingly.</w:t>
      </w:r>
    </w:p>
    <w:p w14:paraId="6BCBD1B2"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3.3 Entrainment Cascade and Reconfiguration</w:t>
      </w:r>
    </w:p>
    <w:p w14:paraId="6BCBD1B3"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The DRE broadcasts corrective signals that force maturing streams into tighter alignment, producing rapid cross-stream locking experienced as qualitative leaps in cognition, emotion, and self-understanding.</w:t>
      </w:r>
    </w:p>
    <w:p w14:paraId="6BCBD1B4"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lastRenderedPageBreak/>
        <w:t>3.4 Stabilization and Adaptive Maintenance</w:t>
      </w:r>
    </w:p>
    <w:p w14:paraId="6BCBD1B5"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Once a new resonant configuration is achieved, the system stabilizes through positive feedback, then monitors for future maturational or environmental perturbations and repeats the cycle, ensuring lifelong adaptive coherence.</w:t>
      </w:r>
    </w:p>
    <w:p w14:paraId="6BCBD1B6"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4.0 Applications and Predictions</w:t>
      </w:r>
    </w:p>
    <w:p w14:paraId="6BCBD1B7"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DRT yields immediately testable predictions suitable for developmental neuroscience, education, and clinical lifespan studies.</w:t>
      </w:r>
    </w:p>
    <w:p w14:paraId="6BCBD1B8"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4.1 Emergence of Coherent Perception and Language</w:t>
      </w:r>
    </w:p>
    <w:p w14:paraId="6BCBD1B9"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Prediction: Infants will show progressive increases in gamma–theta phase-locking during joint attention and proto-conversational episodes; interventions that support rhythmic entrainment will accelerate language and social milestones.</w:t>
      </w:r>
    </w:p>
    <w:p w14:paraId="6BCBD1BA"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4.2 Narrative Self-Formation in Childhood and Adolescence</w:t>
      </w:r>
    </w:p>
    <w:p w14:paraId="6BCBD1BB"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Prediction: Longitudinal EEG will reveal stepwise increases in infra-slow–cortical coupling during life-story tasks; adolescents with higher baseline resonance efficiency will demonstrate greater identity stability and creative flexibility.</w:t>
      </w:r>
    </w:p>
    <w:p w14:paraId="6BCBD1BC"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4.3 Adaptive Stabilization in Adulthood and Aging</w:t>
      </w:r>
    </w:p>
    <w:p w14:paraId="6BCBD1BD"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Prediction: Healthy aging will correlate with maintained or enhanced cross-network phase-locking during complex tasks; targeted resonance-training protocols (e.g., rhythmic movement or narrative reflection) will slow age-related coherence decline.</w:t>
      </w:r>
    </w:p>
    <w:p w14:paraId="6BCBD1BE"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4.4 Clinical Developmental Interventions</w:t>
      </w:r>
    </w:p>
    <w:p w14:paraId="6BCBD1BF"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lastRenderedPageBreak/>
        <w:t>Prediction: Resonance-based therapies for neurodevelopmental conditions will produce measurable gains in cross-stream entrainment and functional outcomes within 8–</w:t>
      </w:r>
      <w:r w:rsidRPr="002E75AF">
        <w:rPr>
          <w:rFonts w:ascii="Aptos" w:hAnsi="Aptos"/>
          <w:lang w:val="nl-NL"/>
        </w:rPr>
        <w:t>12 weeks.</w:t>
      </w:r>
    </w:p>
    <w:p w14:paraId="6BCBD1C0"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These predictions are directly evaluable using longitudinal high-density EEG, wearable synchrony devices, behavioral batteries, and lifespan neuroimaging.</w:t>
      </w:r>
    </w:p>
    <w:p w14:paraId="6BCBD1C1"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5.0 Limitations and Future Work</w:t>
      </w:r>
    </w:p>
    <w:p w14:paraId="6BCBD1C2"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DRT is currently a high-level neurodynamic model. Precise mapping of DRE maturation trajectories across diverse populations and the exact mathematics of lifespan threshold dynamics require further refinement. Cultural and socioeconomic variations in resonance calibration are not yet fully modeled.</w:t>
      </w:r>
    </w:p>
    <w:p w14:paraId="6BCBD1C3"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Future directions include:</w:t>
      </w:r>
    </w:p>
    <w:p w14:paraId="6BCBD1C4"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Large-scale longitudinal multi-modal neuroimaging of resonance maturation.</w:t>
      </w:r>
    </w:p>
    <w:p w14:paraId="6BCBD1C5"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Computational simulations of the DC equation across simulated lifespans.</w:t>
      </w:r>
    </w:p>
    <w:p w14:paraId="6BCBD1C6"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Applied interventions in education, clinical developmental support, and healthy aging programs.</w:t>
      </w:r>
    </w:p>
    <w:p w14:paraId="6BCBD1C7"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b/>
          <w:bCs/>
        </w:rPr>
        <w:t>6.0 Final Synthesis</w:t>
      </w:r>
    </w:p>
    <w:p w14:paraId="6BCBD1C8"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Developmental Resonance Trajectory offers a coherent, mechanistically precise account of how the human cognitive system self-organizes across the entire lifespan through progressive maturation of vibrational resonance capacities. By centering development on the Developmental Resonance Engine and dynamic threshold recalibration, DRT explains not only the emergence of core cognitive abilities but also the maintenance of adaptive coherence into later life.</w:t>
      </w:r>
    </w:p>
    <w:p w14:paraId="6BCBD1C9"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lastRenderedPageBreak/>
        <w:t>The inclusion of a formal developmental coherence metric, clear entrainment phases, and directly testable predictions positions DRT as a practical and falsifiable lens for understanding how vibration and intention scale from infancy to old age. DRT stands ready for experimental validation and real-world application in developmental science, education, and clinical practice.</w:t>
      </w:r>
    </w:p>
    <w:p w14:paraId="6BCBD1CA"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2E75AF">
        <w:rPr>
          <w:rFonts w:ascii="Aptos" w:hAnsi="Aptos"/>
          <w:b/>
          <w:bCs/>
          <w:lang w:val="fr-FR"/>
        </w:rPr>
        <w:t>References</w:t>
      </w:r>
      <w:proofErr w:type="spellEnd"/>
    </w:p>
    <w:p w14:paraId="6BCBD1CB"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xml:space="preserve">Brisart, J. (2025). The Brisart Format: A Standardized Template for Theoretical, Conceptual, and Methodological Manuscripts (Version v2). </w:t>
      </w:r>
      <w:proofErr w:type="spellStart"/>
      <w:r w:rsidRPr="002E75AF">
        <w:rPr>
          <w:rFonts w:ascii="Aptos" w:hAnsi="Aptos"/>
        </w:rPr>
        <w:t>Zenodo</w:t>
      </w:r>
      <w:proofErr w:type="spellEnd"/>
      <w:r w:rsidRPr="002E75AF">
        <w:rPr>
          <w:rFonts w:ascii="Aptos" w:hAnsi="Aptos"/>
        </w:rPr>
        <w:t xml:space="preserve">. </w:t>
      </w:r>
      <w:hyperlink r:id="rId8" w:history="1">
        <w:r w:rsidRPr="002E75AF">
          <w:rPr>
            <w:rStyle w:val="Hyperlink0"/>
            <w:rFonts w:ascii="Aptos" w:hAnsi="Aptos"/>
          </w:rPr>
          <w:t>https://doi.org/10.5281/zenodo.15725824</w:t>
        </w:r>
      </w:hyperlink>
    </w:p>
    <w:p w14:paraId="6BCBD1CC"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2E75AF">
        <w:rPr>
          <w:rFonts w:ascii="Aptos" w:hAnsi="Aptos"/>
        </w:rPr>
        <w:t>Buzsáki</w:t>
      </w:r>
      <w:proofErr w:type="spellEnd"/>
      <w:r w:rsidRPr="002E75AF">
        <w:rPr>
          <w:rFonts w:ascii="Aptos" w:hAnsi="Aptos"/>
        </w:rPr>
        <w:t xml:space="preserve">, G. (2006). </w:t>
      </w:r>
      <w:r w:rsidRPr="002E75AF">
        <w:rPr>
          <w:rFonts w:ascii="Aptos" w:hAnsi="Aptos"/>
          <w:i/>
          <w:iCs/>
        </w:rPr>
        <w:t>Rhythms of the Brain</w:t>
      </w:r>
      <w:r w:rsidRPr="002E75AF">
        <w:rPr>
          <w:rFonts w:ascii="Aptos" w:hAnsi="Aptos"/>
        </w:rPr>
        <w:t>. Oxford University Press.</w:t>
      </w:r>
    </w:p>
    <w:p w14:paraId="6BCBD1CD"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2E75AF">
        <w:rPr>
          <w:rFonts w:ascii="Aptos" w:hAnsi="Aptos"/>
        </w:rPr>
        <w:t xml:space="preserve">Friston, K. (2010). The free-energy principle: A unified brain theory? </w:t>
      </w:r>
      <w:r w:rsidRPr="002E75AF">
        <w:rPr>
          <w:rFonts w:ascii="Aptos" w:hAnsi="Aptos"/>
          <w:i/>
          <w:iCs/>
        </w:rPr>
        <w:t>Nature Reviews Neuroscience</w:t>
      </w:r>
      <w:r w:rsidRPr="002E75AF">
        <w:rPr>
          <w:rFonts w:ascii="Aptos" w:hAnsi="Aptos"/>
        </w:rPr>
        <w:t xml:space="preserve">, 11(2), 127–138. </w:t>
      </w:r>
      <w:hyperlink r:id="rId9" w:history="1">
        <w:r w:rsidRPr="002E75AF">
          <w:rPr>
            <w:rStyle w:val="Hyperlink0"/>
            <w:rFonts w:ascii="Aptos" w:hAnsi="Aptos"/>
          </w:rPr>
          <w:t>https://doi.org/10.1038/nrn2787</w:t>
        </w:r>
      </w:hyperlink>
    </w:p>
    <w:p w14:paraId="6BCBD1CE" w14:textId="77777777" w:rsidR="00344DB5" w:rsidRPr="002E75AF"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2E75AF">
        <w:rPr>
          <w:rFonts w:ascii="Aptos" w:hAnsi="Aptos"/>
        </w:rPr>
        <w:t xml:space="preserve">Lakatos, P., et al. (2008). Entrainment of neuronal oscillations as a mechanism of attentional selection. </w:t>
      </w:r>
      <w:r w:rsidRPr="002E75AF">
        <w:rPr>
          <w:rFonts w:ascii="Aptos" w:hAnsi="Aptos"/>
          <w:i/>
          <w:iCs/>
        </w:rPr>
        <w:t>Science</w:t>
      </w:r>
      <w:r w:rsidRPr="002E75AF">
        <w:rPr>
          <w:rFonts w:ascii="Aptos" w:hAnsi="Aptos"/>
        </w:rPr>
        <w:t xml:space="preserve">, 320(5872), 110–113. </w:t>
      </w:r>
      <w:hyperlink r:id="rId10" w:history="1">
        <w:r w:rsidRPr="002E75AF">
          <w:rPr>
            <w:rStyle w:val="Hyperlink0"/>
            <w:rFonts w:ascii="Aptos" w:hAnsi="Aptos"/>
          </w:rPr>
          <w:t>https://doi.org/10.1126/science.1154735</w:t>
        </w:r>
      </w:hyperlink>
    </w:p>
    <w:sectPr w:rsidR="00344DB5" w:rsidRPr="002E75AF">
      <w:headerReference w:type="default" r:id="rId11"/>
      <w:footerReference w:type="default" r:id="rId1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B0612" w14:textId="77777777" w:rsidR="00432885" w:rsidRDefault="00432885">
      <w:r>
        <w:separator/>
      </w:r>
    </w:p>
  </w:endnote>
  <w:endnote w:type="continuationSeparator" w:id="0">
    <w:p w14:paraId="0E332B4A" w14:textId="77777777" w:rsidR="00432885" w:rsidRDefault="0043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D1D0" w14:textId="77777777" w:rsidR="00344DB5" w:rsidRDefault="00344D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A3EB" w14:textId="77777777" w:rsidR="00432885" w:rsidRDefault="00432885">
      <w:r>
        <w:separator/>
      </w:r>
    </w:p>
  </w:footnote>
  <w:footnote w:type="continuationSeparator" w:id="0">
    <w:p w14:paraId="27DD3063" w14:textId="77777777" w:rsidR="00432885" w:rsidRDefault="0043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D1CF" w14:textId="77777777" w:rsidR="00344DB5" w:rsidRDefault="00344DB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DB5"/>
    <w:rsid w:val="002E75AF"/>
    <w:rsid w:val="00344DB5"/>
    <w:rsid w:val="00432885"/>
    <w:rsid w:val="00B2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D198"/>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572582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brisartresearcharchive.com"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mailto:jason@brisartresearcharchive.co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hyperlink" Target="https://doi.org/10.1126/science.1154735" TargetMode="External"/><Relationship Id="rId4" Type="http://schemas.openxmlformats.org/officeDocument/2006/relationships/footnotes" Target="footnotes.xml"/><Relationship Id="rId9" Type="http://schemas.openxmlformats.org/officeDocument/2006/relationships/hyperlink" Target="https://doi.org/10.1038/nrn2787" TargetMode="Externa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B475DC-EB65-434C-9646-01ABCE7CB185}"/>
</file>

<file path=customXml/itemProps2.xml><?xml version="1.0" encoding="utf-8"?>
<ds:datastoreItem xmlns:ds="http://schemas.openxmlformats.org/officeDocument/2006/customXml" ds:itemID="{086D18F7-ED1A-4D42-958F-6AD5BD58BC2A}"/>
</file>

<file path=customXml/itemProps3.xml><?xml version="1.0" encoding="utf-8"?>
<ds:datastoreItem xmlns:ds="http://schemas.openxmlformats.org/officeDocument/2006/customXml" ds:itemID="{048791D0-E1F5-488E-819E-4AF49B8FF0C6}"/>
</file>

<file path=docProps/app.xml><?xml version="1.0" encoding="utf-8"?>
<Properties xmlns="http://schemas.openxmlformats.org/officeDocument/2006/extended-properties" xmlns:vt="http://schemas.openxmlformats.org/officeDocument/2006/docPropsVTypes">
  <Template>Normal</Template>
  <TotalTime>8</TotalTime>
  <Pages>6</Pages>
  <Words>962</Words>
  <Characters>7279</Characters>
  <Application>Microsoft Office Word</Application>
  <DocSecurity>0</DocSecurity>
  <Lines>173</Lines>
  <Paragraphs>61</Paragraphs>
  <ScaleCrop>false</ScaleCrop>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2</cp:revision>
  <dcterms:created xsi:type="dcterms:W3CDTF">2026-06-22T00:02:00Z</dcterms:created>
  <dcterms:modified xsi:type="dcterms:W3CDTF">2026-06-22T00:33:00Z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