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15216"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Dynamic Expectation Field Theory (DEFT): An Adaptive Anticipatory Model of Cognitive Resource Allocation</w:t>
      </w:r>
    </w:p>
    <w:p w14:paraId="6B415217"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Jason Brisart</w:t>
      </w:r>
    </w:p>
    <w:p w14:paraId="6B415218"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Independent Researcher</w:t>
      </w:r>
    </w:p>
    <w:p w14:paraId="6B415219"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6" w:history="1">
        <w:r w:rsidRPr="003975EE">
          <w:rPr>
            <w:rStyle w:val="Hyperlink0"/>
            <w:rFonts w:ascii="Aptos" w:hAnsi="Aptos"/>
          </w:rPr>
          <w:t>jason@brisartresearcharchive.com</w:t>
        </w:r>
      </w:hyperlink>
    </w:p>
    <w:p w14:paraId="6B41521A"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hyperlink r:id="rId7" w:history="1">
        <w:r w:rsidRPr="003975EE">
          <w:rPr>
            <w:rStyle w:val="Hyperlink0"/>
            <w:rFonts w:ascii="Aptos" w:hAnsi="Aptos"/>
          </w:rPr>
          <w:t>www.brisartresearcharchive.com</w:t>
        </w:r>
      </w:hyperlink>
    </w:p>
    <w:p w14:paraId="6B41521B"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lang w:val="fr-FR"/>
        </w:rPr>
        <w:t>June 2025</w:t>
      </w:r>
    </w:p>
    <w:p w14:paraId="6B41521C" w14:textId="77777777" w:rsidR="00F675DB" w:rsidRPr="003975EE" w:rsidRDefault="00F675D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b/>
          <w:bCs/>
        </w:rPr>
      </w:pPr>
    </w:p>
    <w:p w14:paraId="6B41521D" w14:textId="77777777" w:rsidR="00F675DB" w:rsidRPr="003975EE" w:rsidRDefault="00F675DB">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b/>
          <w:bCs/>
        </w:rPr>
      </w:pPr>
    </w:p>
    <w:p w14:paraId="6B41521E"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Abstract</w:t>
      </w:r>
    </w:p>
    <w:p w14:paraId="6B41521F"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Dynamic Expectation Field Theory (DEFT) proposes a mechanism through which cognitive systems anticipate environmental demands by maintaining adaptive expectation fields. Expectation fields function as continuous predictive distributions, dynamically adjusted by observed mismatches between anticipated and actual sensory, cognitive, or affective events. These fields facilitate optimal allocation of cognitive resources by pre-emptively modulating attention, action readiness, and decision-making efficiency. Central to DEFT is the Anticipatory Field Generator (AFG), a computational engine responsible for updating expectation fields through prediction-error feedback, volatility estimation, and hierarchical calibration. The theory explains cognitive flexibility, resilience to uncertainty, and vulnerability to maladaptive anticipation such as anxiety or cognitive fatigue. DEFT yields empirically falsifiable predictions concerning cognitive load modulation, adaptive learning </w:t>
      </w:r>
      <w:r w:rsidRPr="003975EE">
        <w:rPr>
          <w:rFonts w:ascii="Aptos" w:hAnsi="Aptos"/>
        </w:rPr>
        <w:lastRenderedPageBreak/>
        <w:t>rates, and anticipatory signal attenuation, suitable for experimental validation through behavioral paradigms and neurocomputational modeling.</w:t>
      </w:r>
    </w:p>
    <w:p w14:paraId="6B415220"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lang w:val="fr-FR"/>
        </w:rPr>
        <w:t>1.0 Introduction</w:t>
      </w:r>
    </w:p>
    <w:p w14:paraId="6B415221"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Cognitive systems frequently operate under uncertainty, requiring the efficient anticipation of future states to guide action selection and resource allocation. Classical cognitive architectures address this via static or discrete predictive representations, inadequately capturing adaptive anticipatory behaviors observed under changing conditions. Dynamic Expectation Field Theory (DEFT) addresses this limitation by introducing continuous, probability-based anticipatory representations termed expectation fields. These fields dynamically adjust according to sensory-cognitive mismatches, enabling real-time adaptive modulation of cognitive functions, notably attention, decision-making, and learning. This manuscript details DEFT</w:t>
      </w:r>
      <w:r w:rsidRPr="003975EE">
        <w:rPr>
          <w:rFonts w:ascii="Aptos" w:hAnsi="Aptos"/>
          <w:rtl/>
        </w:rPr>
        <w:t>’</w:t>
      </w:r>
      <w:r w:rsidRPr="003975EE">
        <w:rPr>
          <w:rFonts w:ascii="Aptos" w:hAnsi="Aptos"/>
          <w:lang w:val="fr-FR"/>
        </w:rPr>
        <w:t xml:space="preserve">s </w:t>
      </w:r>
      <w:proofErr w:type="spellStart"/>
      <w:r w:rsidRPr="003975EE">
        <w:rPr>
          <w:rFonts w:ascii="Aptos" w:hAnsi="Aptos"/>
          <w:lang w:val="fr-FR"/>
        </w:rPr>
        <w:t>core</w:t>
      </w:r>
      <w:proofErr w:type="spellEnd"/>
      <w:r w:rsidRPr="003975EE">
        <w:rPr>
          <w:rFonts w:ascii="Aptos" w:hAnsi="Aptos"/>
          <w:lang w:val="fr-FR"/>
        </w:rPr>
        <w:t xml:space="preserve"> </w:t>
      </w:r>
      <w:proofErr w:type="spellStart"/>
      <w:proofErr w:type="gramStart"/>
      <w:r w:rsidRPr="003975EE">
        <w:rPr>
          <w:rFonts w:ascii="Aptos" w:hAnsi="Aptos"/>
          <w:lang w:val="fr-FR"/>
        </w:rPr>
        <w:t>mechanism</w:t>
      </w:r>
      <w:proofErr w:type="spellEnd"/>
      <w:r w:rsidRPr="003975EE">
        <w:rPr>
          <w:rFonts w:ascii="Aptos" w:hAnsi="Aptos"/>
        </w:rPr>
        <w:t>—</w:t>
      </w:r>
      <w:proofErr w:type="gramEnd"/>
      <w:r w:rsidRPr="003975EE">
        <w:rPr>
          <w:rFonts w:ascii="Aptos" w:hAnsi="Aptos"/>
        </w:rPr>
        <w:t>the Anticipatory Field Generator (AFG)</w:t>
      </w:r>
      <w:proofErr w:type="gramStart"/>
      <w:r w:rsidRPr="003975EE">
        <w:rPr>
          <w:rFonts w:ascii="Aptos" w:hAnsi="Aptos"/>
        </w:rPr>
        <w:t>—internal processing</w:t>
      </w:r>
      <w:proofErr w:type="gramEnd"/>
      <w:r w:rsidRPr="003975EE">
        <w:rPr>
          <w:rFonts w:ascii="Aptos" w:hAnsi="Aptos"/>
        </w:rPr>
        <w:t xml:space="preserve"> dynamics, and empirically testable predictions, contributing to theoretical refinement and practical application in cognitive and computational sciences.</w:t>
      </w:r>
    </w:p>
    <w:p w14:paraId="6B415222"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2.0 Core Mechanism</w:t>
      </w:r>
    </w:p>
    <w:p w14:paraId="6B415223"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DEFT formalizes anticipatory cognition through dynamic expectation fields and the central Anticipatory Field Generator (AFG).</w:t>
      </w:r>
    </w:p>
    <w:p w14:paraId="6B415224"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2.1 Expectation Fields</w:t>
      </w:r>
    </w:p>
    <w:p w14:paraId="6B415225"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Expectation fields are dynamic probability distributions encoding anticipated states or events across sensory, cognitive, and affective domains. They represent predicted occurrences weighted by uncertainty, enabling rapid cognitive and behavioral modulation.</w:t>
      </w:r>
    </w:p>
    <w:p w14:paraId="6B415226"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lang w:val="it-IT"/>
        </w:rPr>
        <w:t>2.2 Anticipatory Field Generator (AFG)</w:t>
      </w:r>
    </w:p>
    <w:p w14:paraId="6B415227"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lastRenderedPageBreak/>
        <w:t>The AFG continuously generates, adjusts, and calibrates expectation fields through three integrated processes:</w:t>
      </w:r>
    </w:p>
    <w:p w14:paraId="6B415228"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Prediction-Error Feedback: Adjusts field distributions based on discrepancies between expected and observed events.</w:t>
      </w:r>
    </w:p>
    <w:p w14:paraId="6B415229"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Volatility Estimation: Modulates field sensitivity, determining how rapidly fields update in response to environmental changes.</w:t>
      </w:r>
    </w:p>
    <w:p w14:paraId="6B41522A"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Hierarchical Calibration: Ensures multiple expectation fields maintain internal coherence across cognitive levels.</w:t>
      </w:r>
    </w:p>
    <w:p w14:paraId="6B41522B"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2.3 Adaptive Resource Allocation</w:t>
      </w:r>
    </w:p>
    <w:p w14:paraId="6B41522C"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Expectation fields influence cognitive resource distribution through anticipatory </w:t>
      </w:r>
      <w:proofErr w:type="gramStart"/>
      <w:r w:rsidRPr="003975EE">
        <w:rPr>
          <w:rFonts w:ascii="Aptos" w:hAnsi="Aptos"/>
        </w:rPr>
        <w:t>gating,</w:t>
      </w:r>
      <w:proofErr w:type="gramEnd"/>
      <w:r w:rsidRPr="003975EE">
        <w:rPr>
          <w:rFonts w:ascii="Aptos" w:hAnsi="Aptos"/>
        </w:rPr>
        <w:t xml:space="preserve"> dynamically prioritizing processing pathways associated with high predictive certainty or critical uncertainty. This ensures optimal cognitive readiness and minimizes resource wastage under uncertainty.</w:t>
      </w:r>
    </w:p>
    <w:p w14:paraId="6B41522D"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3.0 Internal Processing Dynamics</w:t>
      </w:r>
    </w:p>
    <w:p w14:paraId="6B41522E"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DEFT operates through a cyclical, stage-based architecture that unfolds across five interlinked processing phases.</w:t>
      </w:r>
    </w:p>
    <w:p w14:paraId="6B41522F"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3.1 Initialization and Baseline Field Formation</w:t>
      </w:r>
    </w:p>
    <w:p w14:paraId="6B415230"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Expectation fields are formed using previously learned associations, establishing baseline predictions of environmental and cognitive states.</w:t>
      </w:r>
    </w:p>
    <w:p w14:paraId="6B415231"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3.2 Prediction-Error Detection</w:t>
      </w:r>
    </w:p>
    <w:p w14:paraId="6B415232"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Incoming sensory or cognitive input is compared with current expectation fields. Deviations are encoded as prediction errors, quantified by magnitude and direction.</w:t>
      </w:r>
    </w:p>
    <w:p w14:paraId="6B415233"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lastRenderedPageBreak/>
        <w:t>3.3 Field Updating and Volatility Adjustment</w:t>
      </w:r>
    </w:p>
    <w:p w14:paraId="6B415234"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Prediction errors prompt immediate recalibration of expectation fields. High volatility leads to accelerated updating, while low volatility favors stable predictive states.</w:t>
      </w:r>
    </w:p>
    <w:p w14:paraId="6B415235"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3.4 Hierarchical Field Calibration</w:t>
      </w:r>
    </w:p>
    <w:p w14:paraId="6B415236"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Updated fields propagate adjustments upward or downward across cognitive hierarchy levels, harmonizing anticipatory signals for integrative cognitive coherence.</w:t>
      </w:r>
    </w:p>
    <w:p w14:paraId="6B415237"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lang w:val="fr-FR"/>
        </w:rPr>
        <w:t>3.5 Resource Allocation Modulation</w:t>
      </w:r>
    </w:p>
    <w:p w14:paraId="6B415238"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Cognitive resource allocation shifts toward pathways identified as most critical or uncertain, based on updated expectation fields. Adaptive modulation ensures efficient cognitive engagement.</w:t>
      </w:r>
    </w:p>
    <w:p w14:paraId="6B415239"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4.0 Applications and Predictions</w:t>
      </w:r>
    </w:p>
    <w:p w14:paraId="6B41523A"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DEFT yields clear, testable predictions across cognitive science and behavioral psychology.</w:t>
      </w:r>
    </w:p>
    <w:p w14:paraId="6B41523B"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4.1 Anticipatory Load Modulation in Multitasking Environments</w:t>
      </w:r>
    </w:p>
    <w:p w14:paraId="6B41523C"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Prediction: Cognitive efficiency improves significantly when multitasking demands are predictable compared to unpredictable conditions.</w:t>
      </w:r>
    </w:p>
    <w:p w14:paraId="6B41523D"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Illustrative Case: In simultaneous cognitive tasks with predictable versus random stimulus intervals, performance (accuracy, reaction time) and neurophysiological correlates will show enhanced resource allocation under predictable conditions.</w:t>
      </w:r>
    </w:p>
    <w:p w14:paraId="6B41523E"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lang w:val="de-DE"/>
        </w:rPr>
        <w:t>4.2 Adaptive Learning Rates Under Uncertainty</w:t>
      </w:r>
    </w:p>
    <w:p w14:paraId="6B41523F"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lastRenderedPageBreak/>
        <w:t>Prediction: Learning rate dynamically accelerates during initial periods of high uncertainty and gradually stabilizes as anticipatory fields mature.</w:t>
      </w:r>
    </w:p>
    <w:p w14:paraId="6B415240"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Illustrative Case: In novel probabilistic reinforcement tasks with changing probabilities, behavioral learning curves will show an initial steep rise followed by stabilization.</w:t>
      </w:r>
    </w:p>
    <w:p w14:paraId="6B415241"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4.3 Expectation Field Attenuation in Chronic Stress Conditions</w:t>
      </w:r>
    </w:p>
    <w:p w14:paraId="6B415242"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Prediction: Chronic stress will flatten expectation fields, reducing predictive accuracy and adaptive resource allocation.</w:t>
      </w:r>
    </w:p>
    <w:p w14:paraId="6B415243"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Illustrative Case: In stress-induction experiments paired with predictive learning tasks, physiological stress biomarkers will correlate with lowered cognitive performance and increased resource inefficiency.</w:t>
      </w:r>
    </w:p>
    <w:p w14:paraId="6B415244"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These predictions are directly evaluable using behavioral paradigms, EEG/</w:t>
      </w:r>
      <w:proofErr w:type="gramStart"/>
      <w:r w:rsidRPr="003975EE">
        <w:rPr>
          <w:rFonts w:ascii="Aptos" w:hAnsi="Aptos"/>
        </w:rPr>
        <w:t>fMRI</w:t>
      </w:r>
      <w:proofErr w:type="gramEnd"/>
      <w:r w:rsidRPr="003975EE">
        <w:rPr>
          <w:rFonts w:ascii="Aptos" w:hAnsi="Aptos"/>
        </w:rPr>
        <w:t>, pupil dilation, and computational modeling.</w:t>
      </w:r>
    </w:p>
    <w:p w14:paraId="6B415245"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5.0 Limitations and Future Work</w:t>
      </w:r>
    </w:p>
    <w:p w14:paraId="6B415246"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DEFT currently abstracts the neurobiological implementation details, relying on computational representations that require empirical validation through neuroimaging. Its predictive accuracy in complex real-world environments remains preliminary, necessitating extensive cross-validation.</w:t>
      </w:r>
    </w:p>
    <w:p w14:paraId="6B415247"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Future directions include:</w:t>
      </w:r>
    </w:p>
    <w:p w14:paraId="6B415248"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Refining volatility estimation algorithms and explicitly modeling hierarchical anticipatory processes.</w:t>
      </w:r>
    </w:p>
    <w:p w14:paraId="6B415249"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Longitudinal studies exploring expectation field dynamics over extended periods.</w:t>
      </w:r>
    </w:p>
    <w:p w14:paraId="6B41524A"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lastRenderedPageBreak/>
        <w:t>• Integration with clinical populations to investigate maladaptive anticipation in anxiety and cognitive fatigue.</w:t>
      </w:r>
    </w:p>
    <w:p w14:paraId="6B41524B"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Development of computational simulations for real-time resource allocation testing.</w:t>
      </w:r>
    </w:p>
    <w:p w14:paraId="6B41524C"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b/>
          <w:bCs/>
        </w:rPr>
        <w:t>6.0 Final Synthesis</w:t>
      </w:r>
    </w:p>
    <w:p w14:paraId="6B41524D"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Dynamic Expectation Field Theory offers a coherent, mechanistically precise account of how cognitive systems anticipate and adapt to uncertainty through dynamic expectation fields and the Anticipatory Field Generator. By centering cognition on the interplay of prediction-error feedback, volatility estimation, hierarchical calibration, and adaptive resource allocation, DEFT explains not only moment-to-moment cognitive flexibility but also longer-term phenomena such as resilience under uncertainty and vulnerability to chronic stress.</w:t>
      </w:r>
    </w:p>
    <w:p w14:paraId="6B41524E"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The inclusion of clear field-update mechanics, testable predictions, and direct applicability to real-world cognitive load positions DEFT as a bridge between anticipatory modeling and broader theories of attention and decision-making. While further refinement of neurobiological mappings and individual-difference parameters remains, the framework already provides a practical and falsifiable lens for understanding how the mind pre-emptively allocates resources to navigate an uncertain world. DEFT thus stands as a foundational model ready for experimental validation, clinical application, and interdisciplinary extension.</w:t>
      </w:r>
    </w:p>
    <w:p w14:paraId="6B41524F"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proofErr w:type="spellStart"/>
      <w:r w:rsidRPr="003975EE">
        <w:rPr>
          <w:rFonts w:ascii="Aptos" w:hAnsi="Aptos"/>
          <w:b/>
          <w:bCs/>
          <w:lang w:val="fr-FR"/>
        </w:rPr>
        <w:t>References</w:t>
      </w:r>
      <w:proofErr w:type="spellEnd"/>
    </w:p>
    <w:p w14:paraId="6B415250"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Behrens, T. E. J., Woolrich, M. W., Walton, M. E., &amp; Rushworth, M. F. S. (2007). Learning the value of information in an uncertain world. </w:t>
      </w:r>
      <w:r w:rsidRPr="003975EE">
        <w:rPr>
          <w:rFonts w:ascii="Aptos" w:hAnsi="Aptos"/>
          <w:i/>
          <w:iCs/>
          <w:lang w:val="fr-FR"/>
        </w:rPr>
        <w:t>Nature Neuroscience</w:t>
      </w:r>
      <w:r w:rsidRPr="003975EE">
        <w:rPr>
          <w:rFonts w:ascii="Aptos" w:hAnsi="Aptos"/>
        </w:rPr>
        <w:t xml:space="preserve">, 10(9), 1214–1221. </w:t>
      </w:r>
      <w:hyperlink r:id="rId8" w:history="1">
        <w:r w:rsidRPr="003975EE">
          <w:rPr>
            <w:rStyle w:val="Hyperlink0"/>
            <w:rFonts w:ascii="Aptos" w:hAnsi="Aptos"/>
          </w:rPr>
          <w:t>https://doi.org/10.1038/nn1954</w:t>
        </w:r>
      </w:hyperlink>
    </w:p>
    <w:p w14:paraId="6B415251"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proofErr w:type="spellStart"/>
      <w:r w:rsidRPr="003975EE">
        <w:rPr>
          <w:rFonts w:ascii="Aptos" w:hAnsi="Aptos"/>
        </w:rPr>
        <w:lastRenderedPageBreak/>
        <w:t>Botvinick</w:t>
      </w:r>
      <w:proofErr w:type="spellEnd"/>
      <w:r w:rsidRPr="003975EE">
        <w:rPr>
          <w:rFonts w:ascii="Aptos" w:hAnsi="Aptos"/>
        </w:rPr>
        <w:t xml:space="preserve">, M. M., Braver, T. S., Barch, D. M., Carter, C. S., &amp; Cohen, J. D. (2001). Conflict monitoring and cognitive control. </w:t>
      </w:r>
      <w:r w:rsidRPr="003975EE">
        <w:rPr>
          <w:rFonts w:ascii="Aptos" w:hAnsi="Aptos"/>
          <w:i/>
          <w:iCs/>
        </w:rPr>
        <w:t>Psychological Review</w:t>
      </w:r>
      <w:r w:rsidRPr="003975EE">
        <w:rPr>
          <w:rFonts w:ascii="Aptos" w:hAnsi="Aptos"/>
        </w:rPr>
        <w:t xml:space="preserve">, 108(3), 624–652. </w:t>
      </w:r>
      <w:hyperlink r:id="rId9" w:history="1">
        <w:r w:rsidRPr="003975EE">
          <w:rPr>
            <w:rStyle w:val="Hyperlink0"/>
            <w:rFonts w:ascii="Aptos" w:hAnsi="Aptos"/>
          </w:rPr>
          <w:t>https://doi.org/10.1037/0033-295X.108.3.624</w:t>
        </w:r>
      </w:hyperlink>
    </w:p>
    <w:p w14:paraId="6B415252"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Brisart, J. (2025). The Brisart Format: A Standardized Template for Theoretical, Conceptual, and Methodological Manuscripts (Version v2). </w:t>
      </w:r>
      <w:proofErr w:type="spellStart"/>
      <w:r w:rsidRPr="003975EE">
        <w:rPr>
          <w:rFonts w:ascii="Aptos" w:hAnsi="Aptos"/>
        </w:rPr>
        <w:t>Zenodo</w:t>
      </w:r>
      <w:proofErr w:type="spellEnd"/>
      <w:r w:rsidRPr="003975EE">
        <w:rPr>
          <w:rFonts w:ascii="Aptos" w:hAnsi="Aptos"/>
        </w:rPr>
        <w:t xml:space="preserve">. </w:t>
      </w:r>
      <w:hyperlink r:id="rId10" w:history="1">
        <w:r w:rsidRPr="003975EE">
          <w:rPr>
            <w:rStyle w:val="Hyperlink0"/>
            <w:rFonts w:ascii="Aptos" w:hAnsi="Aptos"/>
          </w:rPr>
          <w:t>https://doi.org/10.5281/zenodo.15725824</w:t>
        </w:r>
      </w:hyperlink>
    </w:p>
    <w:p w14:paraId="6B415253"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Bruckner, R., et al. (2025). Understanding learning through uncertainty and bias. </w:t>
      </w:r>
      <w:r w:rsidRPr="003975EE">
        <w:rPr>
          <w:rFonts w:ascii="Aptos" w:hAnsi="Aptos"/>
          <w:i/>
          <w:iCs/>
          <w:lang w:val="fr-FR"/>
        </w:rPr>
        <w:t xml:space="preserve">Nature Human </w:t>
      </w:r>
      <w:proofErr w:type="spellStart"/>
      <w:r w:rsidRPr="003975EE">
        <w:rPr>
          <w:rFonts w:ascii="Aptos" w:hAnsi="Aptos"/>
          <w:i/>
          <w:iCs/>
          <w:lang w:val="fr-FR"/>
        </w:rPr>
        <w:t>Behaviour</w:t>
      </w:r>
      <w:proofErr w:type="spellEnd"/>
      <w:r w:rsidRPr="003975EE">
        <w:rPr>
          <w:rFonts w:ascii="Aptos" w:hAnsi="Aptos"/>
        </w:rPr>
        <w:t xml:space="preserve">. </w:t>
      </w:r>
      <w:hyperlink r:id="rId11" w:history="1">
        <w:r w:rsidRPr="003975EE">
          <w:rPr>
            <w:rStyle w:val="Hyperlink0"/>
            <w:rFonts w:ascii="Aptos" w:hAnsi="Aptos"/>
          </w:rPr>
          <w:t>https://doi.org/10.1038/s44271-025-00203-y</w:t>
        </w:r>
      </w:hyperlink>
    </w:p>
    <w:p w14:paraId="6B415254"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Cavanagh, J. F., &amp; Frank, M. J. (2014). Frontal theta as a mechanism for cognitive control. </w:t>
      </w:r>
      <w:r w:rsidRPr="003975EE">
        <w:rPr>
          <w:rFonts w:ascii="Aptos" w:hAnsi="Aptos"/>
          <w:i/>
          <w:iCs/>
        </w:rPr>
        <w:t>Trends in Cognitive Sciences</w:t>
      </w:r>
      <w:r w:rsidRPr="003975EE">
        <w:rPr>
          <w:rFonts w:ascii="Aptos" w:hAnsi="Aptos"/>
        </w:rPr>
        <w:t xml:space="preserve">, 18(8), 414–421. </w:t>
      </w:r>
      <w:hyperlink r:id="rId12" w:history="1">
        <w:r w:rsidRPr="003975EE">
          <w:rPr>
            <w:rStyle w:val="Hyperlink0"/>
            <w:rFonts w:ascii="Aptos" w:hAnsi="Aptos"/>
          </w:rPr>
          <w:t>https://doi.org/10.1016/j.tics.2014.04.012</w:t>
        </w:r>
      </w:hyperlink>
    </w:p>
    <w:p w14:paraId="6B415255"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Foucault, C., et al. (2024). Two determinants of dynamic adaptive learning for humans. </w:t>
      </w:r>
      <w:r w:rsidRPr="003975EE">
        <w:rPr>
          <w:rFonts w:ascii="Aptos" w:hAnsi="Aptos"/>
          <w:i/>
          <w:iCs/>
          <w:lang w:val="de-DE"/>
        </w:rPr>
        <w:t>Open Mind</w:t>
      </w:r>
      <w:r w:rsidRPr="003975EE">
        <w:rPr>
          <w:rFonts w:ascii="Aptos" w:hAnsi="Aptos"/>
        </w:rPr>
        <w:t xml:space="preserve">. </w:t>
      </w:r>
      <w:hyperlink r:id="rId13" w:history="1">
        <w:r w:rsidRPr="003975EE">
          <w:rPr>
            <w:rStyle w:val="Hyperlink0"/>
            <w:rFonts w:ascii="Aptos" w:hAnsi="Aptos"/>
          </w:rPr>
          <w:t>https://doi.org/10.1162/opmi_a_00139</w:t>
        </w:r>
      </w:hyperlink>
    </w:p>
    <w:p w14:paraId="6B415256"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Friston, K. (2010). The free-energy principle: A unified brain theory? </w:t>
      </w:r>
      <w:r w:rsidRPr="003975EE">
        <w:rPr>
          <w:rFonts w:ascii="Aptos" w:hAnsi="Aptos"/>
          <w:i/>
          <w:iCs/>
        </w:rPr>
        <w:t>Nature Reviews Neuroscience</w:t>
      </w:r>
      <w:r w:rsidRPr="003975EE">
        <w:rPr>
          <w:rFonts w:ascii="Aptos" w:hAnsi="Aptos"/>
        </w:rPr>
        <w:t xml:space="preserve">, 11(2), 127–138. </w:t>
      </w:r>
      <w:hyperlink r:id="rId14" w:history="1">
        <w:r w:rsidRPr="003975EE">
          <w:rPr>
            <w:rStyle w:val="Hyperlink0"/>
            <w:rFonts w:ascii="Aptos" w:hAnsi="Aptos"/>
          </w:rPr>
          <w:t>https://doi.org/10.1038/nrn2787</w:t>
        </w:r>
      </w:hyperlink>
    </w:p>
    <w:p w14:paraId="6B415257"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Lee, J. K., Gold, J. I., &amp; Kable, J. W. (2023). Adaptive tuning of human learning and choice variability to unexpected uncertainty. </w:t>
      </w:r>
      <w:r w:rsidRPr="003975EE">
        <w:rPr>
          <w:rFonts w:ascii="Aptos" w:hAnsi="Aptos"/>
          <w:i/>
          <w:iCs/>
          <w:lang w:val="fr-FR"/>
        </w:rPr>
        <w:t xml:space="preserve">Science </w:t>
      </w:r>
      <w:proofErr w:type="spellStart"/>
      <w:r w:rsidRPr="003975EE">
        <w:rPr>
          <w:rFonts w:ascii="Aptos" w:hAnsi="Aptos"/>
          <w:i/>
          <w:iCs/>
          <w:lang w:val="fr-FR"/>
        </w:rPr>
        <w:t>Advances</w:t>
      </w:r>
      <w:proofErr w:type="spellEnd"/>
      <w:r w:rsidRPr="003975EE">
        <w:rPr>
          <w:rFonts w:ascii="Aptos" w:hAnsi="Aptos"/>
        </w:rPr>
        <w:t xml:space="preserve">, 9(13), eadd0501. </w:t>
      </w:r>
      <w:hyperlink r:id="rId15" w:history="1">
        <w:r w:rsidRPr="003975EE">
          <w:rPr>
            <w:rStyle w:val="Hyperlink0"/>
            <w:rFonts w:ascii="Aptos" w:hAnsi="Aptos"/>
            <w:lang w:val="it-IT"/>
          </w:rPr>
          <w:t>https://doi.org/10.1126/sciadv.add0501</w:t>
        </w:r>
      </w:hyperlink>
    </w:p>
    <w:p w14:paraId="6B415258"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r w:rsidRPr="003975EE">
        <w:rPr>
          <w:rFonts w:ascii="Aptos" w:hAnsi="Aptos"/>
        </w:rPr>
        <w:t xml:space="preserve">Nassar, M. R., et al. (2012). Rational regulation of learning dynamics by pupil-linked arousal systems. </w:t>
      </w:r>
      <w:r w:rsidRPr="003975EE">
        <w:rPr>
          <w:rFonts w:ascii="Aptos" w:hAnsi="Aptos"/>
          <w:i/>
          <w:iCs/>
          <w:lang w:val="fr-FR"/>
        </w:rPr>
        <w:t>Nature Neuroscience</w:t>
      </w:r>
      <w:r w:rsidRPr="003975EE">
        <w:rPr>
          <w:rFonts w:ascii="Aptos" w:hAnsi="Aptos"/>
        </w:rPr>
        <w:t xml:space="preserve">, 15(7), 1040–1046. </w:t>
      </w:r>
      <w:hyperlink r:id="rId16" w:history="1">
        <w:r w:rsidRPr="003975EE">
          <w:rPr>
            <w:rStyle w:val="Hyperlink0"/>
            <w:rFonts w:ascii="Aptos" w:hAnsi="Aptos"/>
          </w:rPr>
          <w:t>https://doi.org/10.1038/nn.3130</w:t>
        </w:r>
      </w:hyperlink>
    </w:p>
    <w:p w14:paraId="6B415259"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eastAsia="Helvetica" w:hAnsi="Aptos" w:cs="Helvetica"/>
        </w:rPr>
      </w:pPr>
      <w:proofErr w:type="spellStart"/>
      <w:r w:rsidRPr="003975EE">
        <w:rPr>
          <w:rFonts w:ascii="Aptos" w:hAnsi="Aptos"/>
        </w:rPr>
        <w:t>Pulcu</w:t>
      </w:r>
      <w:proofErr w:type="spellEnd"/>
      <w:r w:rsidRPr="003975EE">
        <w:rPr>
          <w:rFonts w:ascii="Aptos" w:hAnsi="Aptos"/>
        </w:rPr>
        <w:t xml:space="preserve">, E., et al. (2025). Humans adapt rationally to approximate estimates of uncertainty. </w:t>
      </w:r>
      <w:proofErr w:type="spellStart"/>
      <w:r w:rsidRPr="003975EE">
        <w:rPr>
          <w:rFonts w:ascii="Aptos" w:hAnsi="Aptos"/>
          <w:i/>
          <w:iCs/>
        </w:rPr>
        <w:t>eLife</w:t>
      </w:r>
      <w:proofErr w:type="spellEnd"/>
      <w:r w:rsidRPr="003975EE">
        <w:rPr>
          <w:rFonts w:ascii="Aptos" w:hAnsi="Aptos"/>
        </w:rPr>
        <w:t xml:space="preserve">. </w:t>
      </w:r>
      <w:hyperlink r:id="rId17" w:history="1">
        <w:r w:rsidRPr="003975EE">
          <w:rPr>
            <w:rStyle w:val="Hyperlink0"/>
            <w:rFonts w:ascii="Aptos" w:hAnsi="Aptos"/>
          </w:rPr>
          <w:t>https://doi.org/10.7554/eLife.103734</w:t>
        </w:r>
      </w:hyperlink>
    </w:p>
    <w:p w14:paraId="6B41525A" w14:textId="77777777" w:rsidR="00F675DB" w:rsidRPr="003975EE" w:rsidRDefault="00000000">
      <w:pPr>
        <w:pStyle w:val="Defaul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 w:val="left" w:pos="6740"/>
          <w:tab w:val="left" w:pos="6760"/>
          <w:tab w:val="left" w:pos="6780"/>
          <w:tab w:val="left" w:pos="6800"/>
          <w:tab w:val="left" w:pos="6820"/>
          <w:tab w:val="left" w:pos="6840"/>
          <w:tab w:val="left" w:pos="6860"/>
          <w:tab w:val="left" w:pos="6880"/>
          <w:tab w:val="left" w:pos="6900"/>
          <w:tab w:val="left" w:pos="6920"/>
          <w:tab w:val="left" w:pos="6940"/>
          <w:tab w:val="left" w:pos="6960"/>
          <w:tab w:val="left" w:pos="6980"/>
          <w:tab w:val="left" w:pos="7000"/>
          <w:tab w:val="left" w:pos="7020"/>
          <w:tab w:val="left" w:pos="7040"/>
          <w:tab w:val="left" w:pos="7060"/>
          <w:tab w:val="left" w:pos="7080"/>
          <w:tab w:val="left" w:pos="7100"/>
          <w:tab w:val="left" w:pos="7120"/>
          <w:tab w:val="left" w:pos="7140"/>
          <w:tab w:val="left" w:pos="7160"/>
          <w:tab w:val="left" w:pos="7180"/>
          <w:tab w:val="left" w:pos="7200"/>
          <w:tab w:val="left" w:pos="7220"/>
          <w:tab w:val="left" w:pos="7240"/>
          <w:tab w:val="left" w:pos="7260"/>
          <w:tab w:val="left" w:pos="7280"/>
          <w:tab w:val="left" w:pos="7300"/>
          <w:tab w:val="left" w:pos="7320"/>
          <w:tab w:val="left" w:pos="7340"/>
          <w:tab w:val="left" w:pos="7360"/>
          <w:tab w:val="left" w:pos="7380"/>
          <w:tab w:val="left" w:pos="7400"/>
          <w:tab w:val="left" w:pos="7420"/>
          <w:tab w:val="left" w:pos="7440"/>
          <w:tab w:val="left" w:pos="7460"/>
          <w:tab w:val="left" w:pos="7480"/>
          <w:tab w:val="left" w:pos="7500"/>
          <w:tab w:val="left" w:pos="7520"/>
          <w:tab w:val="left" w:pos="7540"/>
          <w:tab w:val="left" w:pos="7560"/>
          <w:tab w:val="left" w:pos="7580"/>
          <w:tab w:val="left" w:pos="7600"/>
          <w:tab w:val="left" w:pos="7620"/>
          <w:tab w:val="left" w:pos="7640"/>
          <w:tab w:val="left" w:pos="7660"/>
          <w:tab w:val="left" w:pos="7680"/>
          <w:tab w:val="left" w:pos="7700"/>
          <w:tab w:val="left" w:pos="7720"/>
          <w:tab w:val="left" w:pos="7740"/>
          <w:tab w:val="left" w:pos="7760"/>
        </w:tabs>
        <w:suppressAutoHyphens/>
        <w:spacing w:before="0" w:after="160" w:line="503" w:lineRule="exact"/>
        <w:rPr>
          <w:rFonts w:ascii="Aptos" w:hAnsi="Aptos"/>
        </w:rPr>
      </w:pPr>
      <w:r w:rsidRPr="003975EE">
        <w:rPr>
          <w:rFonts w:ascii="Aptos" w:hAnsi="Aptos"/>
        </w:rPr>
        <w:lastRenderedPageBreak/>
        <w:t xml:space="preserve">Shenhav, A., </w:t>
      </w:r>
      <w:proofErr w:type="spellStart"/>
      <w:r w:rsidRPr="003975EE">
        <w:rPr>
          <w:rFonts w:ascii="Aptos" w:hAnsi="Aptos"/>
        </w:rPr>
        <w:t>Botvinick</w:t>
      </w:r>
      <w:proofErr w:type="spellEnd"/>
      <w:r w:rsidRPr="003975EE">
        <w:rPr>
          <w:rFonts w:ascii="Aptos" w:hAnsi="Aptos"/>
        </w:rPr>
        <w:t xml:space="preserve">, M. M., &amp; Cohen, J. D. (2013). The expected value of control: An integrative theory of anterior cingulate cortex function. </w:t>
      </w:r>
      <w:r w:rsidRPr="003975EE">
        <w:rPr>
          <w:rFonts w:ascii="Aptos" w:hAnsi="Aptos"/>
          <w:i/>
          <w:iCs/>
          <w:lang w:val="de-DE"/>
        </w:rPr>
        <w:t>Neuron</w:t>
      </w:r>
      <w:r w:rsidRPr="003975EE">
        <w:rPr>
          <w:rFonts w:ascii="Aptos" w:hAnsi="Aptos"/>
        </w:rPr>
        <w:t xml:space="preserve">, 79(2), 217–240. </w:t>
      </w:r>
      <w:hyperlink r:id="rId18" w:history="1">
        <w:r w:rsidRPr="003975EE">
          <w:rPr>
            <w:rStyle w:val="Hyperlink0"/>
            <w:rFonts w:ascii="Aptos" w:hAnsi="Aptos"/>
          </w:rPr>
          <w:t>https://doi.org/10.1016/j.neuron.2013.07.007</w:t>
        </w:r>
      </w:hyperlink>
    </w:p>
    <w:sectPr w:rsidR="00F675DB" w:rsidRPr="003975EE">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6F71" w14:textId="77777777" w:rsidR="005D198F" w:rsidRDefault="005D198F">
      <w:r>
        <w:separator/>
      </w:r>
    </w:p>
  </w:endnote>
  <w:endnote w:type="continuationSeparator" w:id="0">
    <w:p w14:paraId="443BB6B2" w14:textId="77777777" w:rsidR="005D198F" w:rsidRDefault="005D19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Helvetica Neue">
    <w:altName w:val="Arial"/>
    <w:charset w:val="00"/>
    <w:family w:val="roman"/>
    <w:pitch w:val="default"/>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525C" w14:textId="77777777" w:rsidR="00F675DB" w:rsidRDefault="00F675DB">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5EB3D" w14:textId="77777777" w:rsidR="005D198F" w:rsidRDefault="005D198F">
      <w:r>
        <w:separator/>
      </w:r>
    </w:p>
  </w:footnote>
  <w:footnote w:type="continuationSeparator" w:id="0">
    <w:p w14:paraId="64EAD8DC" w14:textId="77777777" w:rsidR="005D198F" w:rsidRDefault="005D19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525B" w14:textId="77777777" w:rsidR="00F675DB" w:rsidRDefault="00F675DB">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75DB"/>
    <w:rsid w:val="00076643"/>
    <w:rsid w:val="003975EE"/>
    <w:rsid w:val="005D198F"/>
    <w:rsid w:val="00B27149"/>
    <w:rsid w:val="00F675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415216"/>
  <w15:docId w15:val="{6808C991-B9DC-46D8-9882-2259DFF49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Link">
    <w:name w:val="Link"/>
    <w:rPr>
      <w:outline w:val="0"/>
      <w:color w:val="0000FF"/>
      <w:u w:val="single" w:color="0000FF"/>
    </w:rPr>
  </w:style>
  <w:style w:type="character" w:customStyle="1" w:styleId="Hyperlink0">
    <w:name w:val="Hyperlink.0"/>
    <w:basedOn w:val="Link"/>
    <w:rPr>
      <w:outline w:val="0"/>
      <w:color w:val="000000"/>
      <w:u w:val="single" w:color="0000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38/nn1954" TargetMode="External"/><Relationship Id="rId13" Type="http://schemas.openxmlformats.org/officeDocument/2006/relationships/hyperlink" Target="https://doi.org/10.1162/opmi_a_00139" TargetMode="External"/><Relationship Id="rId18" Type="http://schemas.openxmlformats.org/officeDocument/2006/relationships/hyperlink" Target="https://doi.org/10.1016/j.neuron.2013.07.007"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hyperlink" Target="http://www.brisartresearcharchive.com" TargetMode="External"/><Relationship Id="rId12" Type="http://schemas.openxmlformats.org/officeDocument/2006/relationships/hyperlink" Target="https://doi.org/10.1016/j.tics.2014.04.012" TargetMode="External"/><Relationship Id="rId17" Type="http://schemas.openxmlformats.org/officeDocument/2006/relationships/hyperlink" Target="https://doi.org/10.7554/eLife.103734" TargetMode="External"/><Relationship Id="rId25" Type="http://schemas.openxmlformats.org/officeDocument/2006/relationships/customXml" Target="../customXml/item3.xml"/><Relationship Id="rId2" Type="http://schemas.openxmlformats.org/officeDocument/2006/relationships/settings" Target="settings.xml"/><Relationship Id="rId16" Type="http://schemas.openxmlformats.org/officeDocument/2006/relationships/hyperlink" Target="https://doi.org/10.1038/nn.3130" TargetMode="External"/><Relationship Id="rId20" Type="http://schemas.openxmlformats.org/officeDocument/2006/relationships/footer" Target="footer1.xml"/><Relationship Id="rId1" Type="http://schemas.openxmlformats.org/officeDocument/2006/relationships/styles" Target="styles.xml"/><Relationship Id="rId6" Type="http://schemas.openxmlformats.org/officeDocument/2006/relationships/hyperlink" Target="mailto:jason@brisartresearcharchive.com" TargetMode="External"/><Relationship Id="rId11" Type="http://schemas.openxmlformats.org/officeDocument/2006/relationships/hyperlink" Target="https://doi.org/10.1038/s44271-025-00203-y" TargetMode="External"/><Relationship Id="rId24" Type="http://schemas.openxmlformats.org/officeDocument/2006/relationships/customXml" Target="../customXml/item2.xml"/><Relationship Id="rId5" Type="http://schemas.openxmlformats.org/officeDocument/2006/relationships/endnotes" Target="endnotes.xml"/><Relationship Id="rId15" Type="http://schemas.openxmlformats.org/officeDocument/2006/relationships/hyperlink" Target="https://doi.org/10.1126/sciadv.add0501" TargetMode="External"/><Relationship Id="rId23" Type="http://schemas.openxmlformats.org/officeDocument/2006/relationships/customXml" Target="../customXml/item1.xml"/><Relationship Id="rId10" Type="http://schemas.openxmlformats.org/officeDocument/2006/relationships/hyperlink" Target="https://doi.org/10.5281/zenodo.15725824" TargetMode="External"/><Relationship Id="rId19"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37/0033-295X.108.3.624" TargetMode="External"/><Relationship Id="rId14" Type="http://schemas.openxmlformats.org/officeDocument/2006/relationships/hyperlink" Target="https://doi.org/10.1038/nrn278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A19EDAD6CC8A44BADBF5390A7549DBA" ma:contentTypeVersion="11" ma:contentTypeDescription="Create a new document." ma:contentTypeScope="" ma:versionID="ab6f55c28e73582c465e71dd7b1e612b">
  <xsd:schema xmlns:xsd="http://www.w3.org/2001/XMLSchema" xmlns:xs="http://www.w3.org/2001/XMLSchema" xmlns:p="http://schemas.microsoft.com/office/2006/metadata/properties" xmlns:ns2="40915466-697b-4597-97a8-8ce3ba18083c" xmlns:ns3="ce5264cd-2933-4f1d-9ccf-564f0c8f34c0" targetNamespace="http://schemas.microsoft.com/office/2006/metadata/properties" ma:root="true" ma:fieldsID="9843b965ebdc657e2ca15c09c806933b" ns2:_="" ns3:_="">
    <xsd:import namespace="40915466-697b-4597-97a8-8ce3ba18083c"/>
    <xsd:import namespace="ce5264cd-2933-4f1d-9ccf-564f0c8f34c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915466-697b-4597-97a8-8ce3ba180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cde88d5-d8e1-4db5-b2e0-2f2e38be31f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e5264cd-2933-4f1d-9ccf-564f0c8f34c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9862f93-8d66-448f-9c6f-a9e8d49d7fc9}" ma:internalName="TaxCatchAll" ma:showField="CatchAllData" ma:web="ce5264cd-2933-4f1d-9ccf-564f0c8f34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e5264cd-2933-4f1d-9ccf-564f0c8f34c0" xsi:nil="true"/>
    <lcf76f155ced4ddcb4097134ff3c332f xmlns="40915466-697b-4597-97a8-8ce3ba1808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839A5AA-D5B2-448E-8E80-748DC8768977}"/>
</file>

<file path=customXml/itemProps2.xml><?xml version="1.0" encoding="utf-8"?>
<ds:datastoreItem xmlns:ds="http://schemas.openxmlformats.org/officeDocument/2006/customXml" ds:itemID="{C6B94446-D4A7-4614-B9CE-BCEC445D9BAA}"/>
</file>

<file path=customXml/itemProps3.xml><?xml version="1.0" encoding="utf-8"?>
<ds:datastoreItem xmlns:ds="http://schemas.openxmlformats.org/officeDocument/2006/customXml" ds:itemID="{09E5B87E-EEFE-4EBA-B689-42B3931B1F25}"/>
</file>

<file path=docProps/app.xml><?xml version="1.0" encoding="utf-8"?>
<Properties xmlns="http://schemas.openxmlformats.org/officeDocument/2006/extended-properties" xmlns:vt="http://schemas.openxmlformats.org/officeDocument/2006/docPropsVTypes">
  <Template>Normal</Template>
  <TotalTime>10</TotalTime>
  <Pages>8</Pages>
  <Words>1263</Words>
  <Characters>9556</Characters>
  <Application>Microsoft Office Word</Application>
  <DocSecurity>0</DocSecurity>
  <Lines>227</Lines>
  <Paragraphs>80</Paragraphs>
  <ScaleCrop>false</ScaleCrop>
  <Company/>
  <LinksUpToDate>false</LinksUpToDate>
  <CharactersWithSpaces>10739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Jason Brisart</cp:lastModifiedBy>
  <cp:revision>3</cp:revision>
  <dcterms:created xsi:type="dcterms:W3CDTF">2026-06-22T00:02:00Z</dcterms:created>
  <dcterms:modified xsi:type="dcterms:W3CDTF">2026-06-22T00:13:00Z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0x010100CA19EDAD6CC8A44BADBF5390A7549DBA</vt:lpwstr>
  </property>
</Properties>
</file>