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0CE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Phenomenal Presence Theory (PPT): An Emergent Integration Model of Subjective Experience</w:t>
      </w:r>
    </w:p>
    <w:p w14:paraId="79280CE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Jason Brisart</w:t>
      </w:r>
    </w:p>
    <w:p w14:paraId="79280CE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Independent Researcher</w:t>
      </w:r>
    </w:p>
    <w:p w14:paraId="79280CE5"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6" w:history="1">
        <w:r w:rsidRPr="00470A8C">
          <w:rPr>
            <w:rStyle w:val="Hyperlink0"/>
            <w:rFonts w:ascii="Aptos" w:hAnsi="Aptos"/>
          </w:rPr>
          <w:t>jason@brisartresearcharchive.com</w:t>
        </w:r>
      </w:hyperlink>
    </w:p>
    <w:p w14:paraId="79280CE6"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7" w:history="1">
        <w:r w:rsidRPr="00470A8C">
          <w:rPr>
            <w:rStyle w:val="Hyperlink0"/>
            <w:rFonts w:ascii="Aptos" w:hAnsi="Aptos"/>
          </w:rPr>
          <w:t>www.brisartresearcharchive.com</w:t>
        </w:r>
      </w:hyperlink>
    </w:p>
    <w:p w14:paraId="79280CE7"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lang w:val="fr-FR"/>
        </w:rPr>
        <w:t>June 2025</w:t>
      </w:r>
    </w:p>
    <w:p w14:paraId="79280CE8" w14:textId="77777777" w:rsidR="008316EA" w:rsidRPr="00470A8C" w:rsidRDefault="008316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79280CE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Abstract</w:t>
      </w:r>
    </w:p>
    <w:p w14:paraId="79280CE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Phenomenal Presence Theory (PPT) proposes that the subjective quality of conscious experience — the felt </w:t>
      </w:r>
      <w:r w:rsidRPr="00470A8C">
        <w:rPr>
          <w:rFonts w:ascii="Aptos" w:hAnsi="Aptos"/>
          <w:rtl/>
          <w:lang w:val="ar-SA"/>
        </w:rPr>
        <w:t>“</w:t>
      </w:r>
      <w:r w:rsidRPr="00470A8C">
        <w:rPr>
          <w:rFonts w:ascii="Aptos" w:hAnsi="Aptos"/>
        </w:rPr>
        <w:t xml:space="preserve">what it is like” to be aware — emerges when multiple lower-level cognitive and affective processes reach a critical threshold of global integration. Rather than treating consciousness as an inherent property of any single mechanism or as a mysterious add-on to computation, PPT models it as an emergent phenomenal presence field that arises only when perceptual processing, emotional valence, attentional focus, memory integration, predictive anticipation, and self-referential binding converge into a unified, self-sustaining state. This field generates the inner light of awareness, the vividness of qualia, the sense of presence, and the unmistakable first-person quality of experience. PPT explains why some brain states feel richly conscious while others (deep sleep, anesthesia, certain dissociative conditions, or minimal consciousness) lack this quality entirely, and it accounts for moment-to-moment variations in the intensity, clarity, and continuity of subjective experience across waking, dreaming, meditative, and pathological states. The framework generates testable predictions for neuroimaging, </w:t>
      </w:r>
      <w:r w:rsidRPr="00470A8C">
        <w:rPr>
          <w:rFonts w:ascii="Aptos" w:hAnsi="Aptos"/>
        </w:rPr>
        <w:lastRenderedPageBreak/>
        <w:t>altered-states research, developmental studies, and clinical interventions, offering a precise, falsifiable account of how the brain produces the felt reality of consciousness from purely physical and computational processes.</w:t>
      </w:r>
    </w:p>
    <w:p w14:paraId="79280CE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lang w:val="fr-FR"/>
        </w:rPr>
        <w:t>1.0 Introduction</w:t>
      </w:r>
    </w:p>
    <w:p w14:paraId="79280CE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The most profound mystery of the human mind is not that we process information, form intentions, construct narratives, or maintain social identities, but that any of these activities are accompanied by an inner subjective quality — the vivid, first-person feeling of </w:t>
      </w:r>
      <w:r w:rsidRPr="00470A8C">
        <w:rPr>
          <w:rFonts w:ascii="Aptos" w:hAnsi="Aptos"/>
          <w:rtl/>
          <w:lang w:val="ar-SA"/>
        </w:rPr>
        <w:t>“</w:t>
      </w:r>
      <w:r w:rsidRPr="00470A8C">
        <w:rPr>
          <w:rFonts w:ascii="Aptos" w:hAnsi="Aptos"/>
        </w:rPr>
        <w:t xml:space="preserve">what it is like” to see red, feel joy, or simply be aware. This phenomenal presence, long known as the </w:t>
      </w:r>
      <w:r w:rsidRPr="00470A8C">
        <w:rPr>
          <w:rFonts w:ascii="Aptos" w:hAnsi="Aptos"/>
          <w:rtl/>
          <w:lang w:val="ar-SA"/>
        </w:rPr>
        <w:t>“</w:t>
      </w:r>
      <w:r w:rsidRPr="00470A8C">
        <w:rPr>
          <w:rFonts w:ascii="Aptos" w:hAnsi="Aptos"/>
        </w:rPr>
        <w:t>hard problem” of consciousness, has resisted mechanistic explanation for centuries. Functional accounts of perception, attention, memory, and volition can describe what the brain does, yet they leave unanswered why those processes are accompanied by an unmistakable inner glow rather than remaining dark and mechanical.</w:t>
      </w:r>
    </w:p>
    <w:p w14:paraId="79280CE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Phenomenal Presence Theory (PPT) addresses this fundamental gap by proposing that subjective experience is not an inherent property of any single cognitive process, nor a mysterious extra ingredient, but an emergent phenomenon that arises only when multiple parallel streams of neural activity reach a critical threshold of global integration. When perceptual, emotional, attentional, memorial, predictive, and self-referential processes converge into a unified, self-sustaining state, a higher-order phenomenal presence field is generated. This field imbues ongoing neural computation with the vivid, first-person quality that defines conscious experience.</w:t>
      </w:r>
    </w:p>
    <w:p w14:paraId="79280CE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PPT treats consciousness not as a mysterious add-on or a fundamental primitive, but as the natural outcome of sufficient systemic integration. It explains why some states feel richly conscious while others feel dim or absent, and it provides a mechanistic pathway for understanding variations in the clarity, intensity, continuity, and even the very existence of </w:t>
      </w:r>
      <w:r w:rsidRPr="00470A8C">
        <w:rPr>
          <w:rFonts w:ascii="Aptos" w:hAnsi="Aptos"/>
        </w:rPr>
        <w:lastRenderedPageBreak/>
        <w:t>subjective experience across waking, dreaming, meditative, psychedelic, and pathological states. By positioning phenomenal presence as the highest-order emergent property of integrated brain activity, PPT completes the scientific account of how the mind produces not only intelligent behavior but the felt reality of being.</w:t>
      </w:r>
    </w:p>
    <w:p w14:paraId="79280CE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2.0 Core Mechanism</w:t>
      </w:r>
    </w:p>
    <w:p w14:paraId="79280CF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At the heart of PPT lies the Phenomenal Presence Field — a higher-order emergent structure that arises only when multiple lower-level processes achieve sufficient global coherence. This field is not located in any single brain region but manifests as a distributed, self-referential integration state that imbues ongoing activity with subjective quality.</w:t>
      </w:r>
    </w:p>
    <w:p w14:paraId="79280CF1"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The core components are:</w:t>
      </w:r>
    </w:p>
    <w:p w14:paraId="79280CF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Integration Streams</w:t>
      </w:r>
      <w:r w:rsidRPr="00470A8C">
        <w:rPr>
          <w:rFonts w:ascii="Aptos" w:hAnsi="Aptos"/>
        </w:rPr>
        <w:t>: Parallel channels of perceptual processing, emotional valence tagging, attentional selection, memory reactivation, predictive anticipation, and self-referential binding.</w:t>
      </w:r>
    </w:p>
    <w:p w14:paraId="79280CF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Coherence Threshold</w:t>
      </w:r>
      <w:r w:rsidRPr="00470A8C">
        <w:rPr>
          <w:rFonts w:ascii="Aptos" w:hAnsi="Aptos"/>
        </w:rPr>
        <w:t>: The minimum level of cross-stream synchronization, temporal alignment, and self-referential closure required for the presence field to ignite.</w:t>
      </w:r>
    </w:p>
    <w:p w14:paraId="79280CF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Presence Amplification Loop</w:t>
      </w:r>
      <w:r w:rsidRPr="00470A8C">
        <w:rPr>
          <w:rFonts w:ascii="Aptos" w:hAnsi="Aptos"/>
        </w:rPr>
        <w:t>: Once the threshold is crossed, a positive feedback mechanism amplifies the integrated state, generating the vivid, first-person quality of experience and sustaining it over time.</w:t>
      </w:r>
    </w:p>
    <w:p w14:paraId="79280CF5"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Presence Field Stability and Collapse</w:t>
      </w:r>
      <w:r w:rsidRPr="00470A8C">
        <w:rPr>
          <w:rFonts w:ascii="Aptos" w:hAnsi="Aptos"/>
        </w:rPr>
        <w:t>: The field persists as long as integration remains above threshold and collapses rapidly when coherence drops, explaining transitions between conscious and unconscious states.</w:t>
      </w:r>
    </w:p>
    <w:p w14:paraId="79280CF6"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lastRenderedPageBreak/>
        <w:t xml:space="preserve">When the integration streams align at the coherence threshold, the phenomenal presence field emerges, transforming objective neural computation into the subjective </w:t>
      </w:r>
      <w:r w:rsidRPr="00470A8C">
        <w:rPr>
          <w:rFonts w:ascii="Aptos" w:hAnsi="Aptos"/>
          <w:rtl/>
          <w:lang w:val="ar-SA"/>
        </w:rPr>
        <w:t>“</w:t>
      </w:r>
      <w:r w:rsidRPr="00470A8C">
        <w:rPr>
          <w:rFonts w:ascii="Aptos" w:hAnsi="Aptos"/>
        </w:rPr>
        <w:t>inner light” of awareness. Below threshold, sophisticated processing can continue functionally but without the felt quality of experience.</w:t>
      </w:r>
    </w:p>
    <w:p w14:paraId="79280CF7"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3.0 Internal Processing Dynamics</w:t>
      </w:r>
    </w:p>
    <w:p w14:paraId="79280CF8"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PPT unfolds through four recursive phases that govern the emergence, maintenance, modulation, and dissolution of the phenomenal presence field across time.</w:t>
      </w:r>
    </w:p>
    <w:p w14:paraId="79280CF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3.1 Stream Convergence</w:t>
      </w:r>
    </w:p>
    <w:p w14:paraId="79280CF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Multiple parallel streams (perceptual, emotional, attentional, memorial, predictive, and self-referential) begin to synchronize. Cross-stream correlations increase in strength and temporal precision until a critical convergence point is approached.</w:t>
      </w:r>
    </w:p>
    <w:p w14:paraId="79280CF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3.2 Threshold Crossing</w:t>
      </w:r>
    </w:p>
    <w:p w14:paraId="79280CF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When synchronization, emotional coherence, and self-referential binding surpass the coherence threshold, the phenomenal presence field ignites in a sudden, non-linear transition. This crossing is accompanied by a rapid amplification of integrated activity that produces the first unmistakable flicker of subjective awareness.</w:t>
      </w:r>
    </w:p>
    <w:p w14:paraId="79280CF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3.3 Presence Amplification and Dynamic Stabilization</w:t>
      </w:r>
    </w:p>
    <w:p w14:paraId="79280CF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Once ignited, the field enters a self-reinforcing loop that sustains and enriches subjective experience. Emotional valence, attentional focus, memory reactivation, and predictive anticipation all feed back into the field, modulating its intensity, clarity, and emotional tone moment to moment. The field can expand or contract dynamically in response to internal and external demands.</w:t>
      </w:r>
    </w:p>
    <w:p w14:paraId="79280CF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lastRenderedPageBreak/>
        <w:t>3.4 Field Dissolution and Re-Emergence</w:t>
      </w:r>
    </w:p>
    <w:p w14:paraId="79280D0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When integration falls below threshold (due to fatigue, distraction, anesthesia, deep sleep, or dissociation), the presence field collapses and subjective experience </w:t>
      </w:r>
      <w:proofErr w:type="gramStart"/>
      <w:r w:rsidRPr="00470A8C">
        <w:rPr>
          <w:rFonts w:ascii="Aptos" w:hAnsi="Aptos"/>
        </w:rPr>
        <w:t>dims</w:t>
      </w:r>
      <w:proofErr w:type="gramEnd"/>
      <w:r w:rsidRPr="00470A8C">
        <w:rPr>
          <w:rFonts w:ascii="Aptos" w:hAnsi="Aptos"/>
        </w:rPr>
        <w:t xml:space="preserve"> or disappears entirely. Re-emergence occurs when convergence is re-established, explaining the transitions between waking, dreaming, meditative absorption, and altered states of consciousness.</w:t>
      </w:r>
    </w:p>
    <w:p w14:paraId="79280D01"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4.0 Applications and Predictions</w:t>
      </w:r>
    </w:p>
    <w:p w14:paraId="79280D0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PPT generates rich, testable predictions across consciousness science, altered-states research, clinical neurology, and developmental psychology.</w:t>
      </w:r>
    </w:p>
    <w:p w14:paraId="79280D0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4.1 Neural Correlates of Presence Ignition</w:t>
      </w:r>
    </w:p>
    <w:p w14:paraId="79280D0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The transition from unconscious to conscious processing will be marked by a sudden, non-linear surge in global integration (measurable via EEG phase synchrony, fMRI whole-brain connectivity, or high-density MEG) across sensory, prefrontal, thalamic, and default-mode networks.</w:t>
      </w:r>
    </w:p>
    <w:p w14:paraId="79280D05"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4.2 Intensity and Clarity of Subjective Experience</w:t>
      </w:r>
    </w:p>
    <w:p w14:paraId="79280D06"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States with higher emotional and attentional convergence will produce more vivid phenomenal presence, correlating with increased gamma-band power, theta-gamma coupling, and default-mode network integration during self-report and experience-sampling tasks.</w:t>
      </w:r>
    </w:p>
    <w:p w14:paraId="79280D07"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4.3 Dissolution in Pathological and Altered States</w:t>
      </w:r>
    </w:p>
    <w:p w14:paraId="79280D08"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lastRenderedPageBreak/>
        <w:t>Prediction: Conditions such as general anesthesia, deep non-REM sleep, or severe dissociation will show measurable drops below the coherence threshold, accompanied by reduced global integration and near-zero subjective reports of awareness.</w:t>
      </w:r>
    </w:p>
    <w:p w14:paraId="79280D0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4.4 Therapeutic Restoration of Presence</w:t>
      </w:r>
    </w:p>
    <w:p w14:paraId="79280D0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Interventions that enhance cross-stream integration (mindfulness training, psychedelic-assisted therapy, or neurofeedback targeting global connectivity) will increase coherence threshold crossing and restore vivid phenomenal presence in individuals with depersonalization, trauma-related dissociation, or disorders of consciousness.</w:t>
      </w:r>
    </w:p>
    <w:p w14:paraId="79280D0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4.5 Developmental Emergence of Phenomenal Presence</w:t>
      </w:r>
    </w:p>
    <w:p w14:paraId="79280D0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The subjective sense of presence will strengthen progressively in early childhood as integration capacity matures, measurable through changes in global brain connectivity patterns and the reliability of first-person phenomenological reports.</w:t>
      </w:r>
    </w:p>
    <w:p w14:paraId="79280D0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These predictions are directly evaluable through high-density EEG/MEG synchrony measures, resting-state and task-based fMRI, psychedelic and anesthesia studies, experience-sampling methods, and developmental tracking of self-awareness.</w:t>
      </w:r>
    </w:p>
    <w:p w14:paraId="79280D0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5.0 Limitations and Future Work</w:t>
      </w:r>
    </w:p>
    <w:p w14:paraId="79280D0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PPT is currently conceptual and integrative. The phenomenal presence field requires further operationalization for precise measurement across cultures and neurodivergent populations. The model assumes integration thresholds operate similarly across individuals and does not yet fully address cultural, developmental, or neurodivergent variations in the quality and structure of subjective experience.</w:t>
      </w:r>
    </w:p>
    <w:p w14:paraId="79280D1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Future directions include:</w:t>
      </w:r>
    </w:p>
    <w:p w14:paraId="79280D11"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lastRenderedPageBreak/>
        <w:t>• Developing computational simulations of integration threshold dynamics and presence-field emergence.</w:t>
      </w:r>
    </w:p>
    <w:p w14:paraId="79280D1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High-density neuroimaging studies mapping the precise moment of threshold crossing in real time during waking, dreaming, and altered states.</w:t>
      </w:r>
    </w:p>
    <w:p w14:paraId="79280D1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Clinical trials testing integration-enhancing interventions for disorders of consciousness, depersonalization, and trauma-related dissociation.</w:t>
      </w:r>
    </w:p>
    <w:p w14:paraId="79280D1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Cross-cultural and developmental extensions to explore how different societies and life stages shape the quality and continuity of phenomenal presence.</w:t>
      </w:r>
    </w:p>
    <w:p w14:paraId="79280D15"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6.0 Final Synthesis</w:t>
      </w:r>
    </w:p>
    <w:p w14:paraId="79280D16"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Phenomenal Presence Theory offers a coherent, mechanistically precise account of how subjective experience emerges as the natural outcome of sufficient global integration across cognitive and affective processes. By centering consciousness on the Phenomenal Presence Field and its recursive threshold-crossing dynamics, PPT explains not only the presence of awareness but also its variations in intensity, clarity, continuity, and even its temporary absence across waking, dreaming, meditative, psychedelic, and pathological states.</w:t>
      </w:r>
    </w:p>
    <w:p w14:paraId="79280D17"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The framework provides an integrated account of how the brain transforms objective neural computation into the vivid, first-person quality of conscious experience. The inclusion of clear integration streams, coherence thresholds, and directly testable predictions positions PPT as a practical and falsifiable lens for understanding the most mysterious aspect of the mind: why anything feels like anything at all. PPT stands ready for experimental validation, clinical application, and interdisciplinary extension.</w:t>
      </w:r>
    </w:p>
    <w:p w14:paraId="79280D18"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470A8C">
        <w:rPr>
          <w:rFonts w:ascii="Aptos" w:hAnsi="Aptos"/>
          <w:b/>
          <w:bCs/>
          <w:lang w:val="fr-FR"/>
        </w:rPr>
        <w:t>References</w:t>
      </w:r>
      <w:proofErr w:type="spellEnd"/>
    </w:p>
    <w:p w14:paraId="79280D1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lastRenderedPageBreak/>
        <w:t xml:space="preserve">Baars, B. J. (2005). Global workspace theory of consciousness: Toward a cognitive neuroscience of human experience. </w:t>
      </w:r>
      <w:r w:rsidRPr="00470A8C">
        <w:rPr>
          <w:rFonts w:ascii="Aptos" w:hAnsi="Aptos"/>
          <w:i/>
          <w:iCs/>
        </w:rPr>
        <w:t>Progress in Brain Research</w:t>
      </w:r>
      <w:r w:rsidRPr="00470A8C">
        <w:rPr>
          <w:rFonts w:ascii="Aptos" w:hAnsi="Aptos"/>
        </w:rPr>
        <w:t xml:space="preserve">, 150, 45–53. </w:t>
      </w:r>
      <w:hyperlink r:id="rId8" w:history="1">
        <w:r w:rsidRPr="00470A8C">
          <w:rPr>
            <w:rStyle w:val="Hyperlink0"/>
            <w:rFonts w:ascii="Aptos" w:hAnsi="Aptos"/>
          </w:rPr>
          <w:t>https://doi.org/10.1016/S0079-6123(05)50004-9</w:t>
        </w:r>
      </w:hyperlink>
    </w:p>
    <w:p w14:paraId="79280D1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Brisart, J. (2025). The Brisart Format: A Standardized Template for Theoretical, Conceptual, and Methodological Manuscripts (Version v2). </w:t>
      </w:r>
      <w:proofErr w:type="spellStart"/>
      <w:r w:rsidRPr="00470A8C">
        <w:rPr>
          <w:rFonts w:ascii="Aptos" w:hAnsi="Aptos"/>
        </w:rPr>
        <w:t>Zenodo</w:t>
      </w:r>
      <w:proofErr w:type="spellEnd"/>
      <w:r w:rsidRPr="00470A8C">
        <w:rPr>
          <w:rFonts w:ascii="Aptos" w:hAnsi="Aptos"/>
        </w:rPr>
        <w:t xml:space="preserve">. </w:t>
      </w:r>
      <w:hyperlink r:id="rId9" w:history="1">
        <w:r w:rsidRPr="00470A8C">
          <w:rPr>
            <w:rStyle w:val="Hyperlink0"/>
            <w:rFonts w:ascii="Aptos" w:hAnsi="Aptos"/>
          </w:rPr>
          <w:t>https://doi.org/10.5281/zenodo.15725824</w:t>
        </w:r>
      </w:hyperlink>
    </w:p>
    <w:p w14:paraId="79280D1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Dehaene, S., &amp; Changeux, J. P. (2011). Experimental and theoretical approaches to conscious processing. </w:t>
      </w:r>
      <w:r w:rsidRPr="00470A8C">
        <w:rPr>
          <w:rFonts w:ascii="Aptos" w:hAnsi="Aptos"/>
          <w:i/>
          <w:iCs/>
          <w:lang w:val="de-DE"/>
        </w:rPr>
        <w:t>Neuron</w:t>
      </w:r>
      <w:r w:rsidRPr="00470A8C">
        <w:rPr>
          <w:rFonts w:ascii="Aptos" w:hAnsi="Aptos"/>
        </w:rPr>
        <w:t xml:space="preserve">, 70(2), 200–227. </w:t>
      </w:r>
      <w:hyperlink r:id="rId10" w:history="1">
        <w:r w:rsidRPr="00470A8C">
          <w:rPr>
            <w:rStyle w:val="Hyperlink0"/>
            <w:rFonts w:ascii="Aptos" w:hAnsi="Aptos"/>
          </w:rPr>
          <w:t>https://doi.org/10.1016/j.neuron.2011.03.018</w:t>
        </w:r>
      </w:hyperlink>
    </w:p>
    <w:p w14:paraId="79280D1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Friston, K. (2010). The free-energy principle: A unified brain theory? </w:t>
      </w:r>
      <w:r w:rsidRPr="00470A8C">
        <w:rPr>
          <w:rFonts w:ascii="Aptos" w:hAnsi="Aptos"/>
          <w:i/>
          <w:iCs/>
        </w:rPr>
        <w:t>Nature Reviews Neuroscience</w:t>
      </w:r>
      <w:r w:rsidRPr="00470A8C">
        <w:rPr>
          <w:rFonts w:ascii="Aptos" w:hAnsi="Aptos"/>
        </w:rPr>
        <w:t xml:space="preserve">, 11(2), 127–138. </w:t>
      </w:r>
      <w:hyperlink r:id="rId11" w:history="1">
        <w:r w:rsidRPr="00470A8C">
          <w:rPr>
            <w:rStyle w:val="Hyperlink0"/>
            <w:rFonts w:ascii="Aptos" w:hAnsi="Aptos"/>
          </w:rPr>
          <w:t>https://doi.org/10.1038/nrn2787</w:t>
        </w:r>
      </w:hyperlink>
    </w:p>
    <w:p w14:paraId="79280D1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Koch, C., Massimini, M., Boly, M., &amp; </w:t>
      </w:r>
      <w:proofErr w:type="spellStart"/>
      <w:r w:rsidRPr="00470A8C">
        <w:rPr>
          <w:rFonts w:ascii="Aptos" w:hAnsi="Aptos"/>
        </w:rPr>
        <w:t>Tononi</w:t>
      </w:r>
      <w:proofErr w:type="spellEnd"/>
      <w:r w:rsidRPr="00470A8C">
        <w:rPr>
          <w:rFonts w:ascii="Aptos" w:hAnsi="Aptos"/>
        </w:rPr>
        <w:t xml:space="preserve">, G. (2016). Neural correlates of consciousness: Progress and problems. </w:t>
      </w:r>
      <w:r w:rsidRPr="00470A8C">
        <w:rPr>
          <w:rFonts w:ascii="Aptos" w:hAnsi="Aptos"/>
          <w:i/>
          <w:iCs/>
        </w:rPr>
        <w:t>Nature Reviews Neuroscience</w:t>
      </w:r>
      <w:r w:rsidRPr="00470A8C">
        <w:rPr>
          <w:rFonts w:ascii="Aptos" w:hAnsi="Aptos"/>
        </w:rPr>
        <w:t xml:space="preserve">, 17(5), 307–321. </w:t>
      </w:r>
      <w:hyperlink r:id="rId12" w:history="1">
        <w:r w:rsidRPr="00470A8C">
          <w:rPr>
            <w:rStyle w:val="Hyperlink0"/>
            <w:rFonts w:ascii="Aptos" w:hAnsi="Aptos"/>
          </w:rPr>
          <w:t>https://doi.org/10.1038/nrn.2016.22</w:t>
        </w:r>
      </w:hyperlink>
    </w:p>
    <w:p w14:paraId="79280D1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470A8C">
        <w:rPr>
          <w:rFonts w:ascii="Aptos" w:hAnsi="Aptos"/>
        </w:rPr>
        <w:t>Mashour</w:t>
      </w:r>
      <w:proofErr w:type="spellEnd"/>
      <w:r w:rsidRPr="00470A8C">
        <w:rPr>
          <w:rFonts w:ascii="Aptos" w:hAnsi="Aptos"/>
        </w:rPr>
        <w:t xml:space="preserve">, G. A., </w:t>
      </w:r>
      <w:proofErr w:type="spellStart"/>
      <w:r w:rsidRPr="00470A8C">
        <w:rPr>
          <w:rFonts w:ascii="Aptos" w:hAnsi="Aptos"/>
        </w:rPr>
        <w:t>Roelfsema</w:t>
      </w:r>
      <w:proofErr w:type="spellEnd"/>
      <w:r w:rsidRPr="00470A8C">
        <w:rPr>
          <w:rFonts w:ascii="Aptos" w:hAnsi="Aptos"/>
        </w:rPr>
        <w:t xml:space="preserve">, P., Changeux, J. P., &amp; Dehaene, S. (2020). Conscious processing and the global neuronal workspace hypothesis. </w:t>
      </w:r>
      <w:r w:rsidRPr="00470A8C">
        <w:rPr>
          <w:rFonts w:ascii="Aptos" w:hAnsi="Aptos"/>
          <w:i/>
          <w:iCs/>
          <w:lang w:val="de-DE"/>
        </w:rPr>
        <w:t>Neuron</w:t>
      </w:r>
      <w:r w:rsidRPr="00470A8C">
        <w:rPr>
          <w:rFonts w:ascii="Aptos" w:hAnsi="Aptos"/>
        </w:rPr>
        <w:t xml:space="preserve">, 105(5), 776–798. </w:t>
      </w:r>
      <w:hyperlink r:id="rId13" w:history="1">
        <w:r w:rsidRPr="00470A8C">
          <w:rPr>
            <w:rStyle w:val="Hyperlink0"/>
            <w:rFonts w:ascii="Aptos" w:hAnsi="Aptos"/>
          </w:rPr>
          <w:t>https://doi.org/10.1016/j.neuron.2020.01.026</w:t>
        </w:r>
      </w:hyperlink>
    </w:p>
    <w:p w14:paraId="79280D1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Seth, A. K. (2015). Interoceptive inference, emotion, and the embodied self. </w:t>
      </w:r>
      <w:r w:rsidRPr="00470A8C">
        <w:rPr>
          <w:rFonts w:ascii="Aptos" w:hAnsi="Aptos"/>
          <w:i/>
          <w:iCs/>
        </w:rPr>
        <w:t>Trends in Cognitive Sciences</w:t>
      </w:r>
      <w:r w:rsidRPr="00470A8C">
        <w:rPr>
          <w:rFonts w:ascii="Aptos" w:hAnsi="Aptos"/>
        </w:rPr>
        <w:t xml:space="preserve">, 17(11), 565–573. </w:t>
      </w:r>
      <w:hyperlink r:id="rId14" w:history="1">
        <w:r w:rsidRPr="00470A8C">
          <w:rPr>
            <w:rStyle w:val="Hyperlink0"/>
            <w:rFonts w:ascii="Aptos" w:hAnsi="Aptos"/>
          </w:rPr>
          <w:t>https://doi.org/10.1016/j.tics.2013.09.007</w:t>
        </w:r>
      </w:hyperlink>
    </w:p>
    <w:p w14:paraId="79280D2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proofErr w:type="spellStart"/>
      <w:r w:rsidRPr="00470A8C">
        <w:rPr>
          <w:rFonts w:ascii="Aptos" w:hAnsi="Aptos"/>
        </w:rPr>
        <w:t>Tononi</w:t>
      </w:r>
      <w:proofErr w:type="spellEnd"/>
      <w:r w:rsidRPr="00470A8C">
        <w:rPr>
          <w:rFonts w:ascii="Aptos" w:hAnsi="Aptos"/>
        </w:rPr>
        <w:t xml:space="preserve">, G., Boly, M., Massimini, M., &amp; Koch, C. (2016). Integrated information theory: From consciousness to its physical substrate. </w:t>
      </w:r>
      <w:r w:rsidRPr="00470A8C">
        <w:rPr>
          <w:rFonts w:ascii="Aptos" w:hAnsi="Aptos"/>
          <w:i/>
          <w:iCs/>
        </w:rPr>
        <w:t>Nature Reviews Neuroscience</w:t>
      </w:r>
      <w:r w:rsidRPr="00470A8C">
        <w:rPr>
          <w:rFonts w:ascii="Aptos" w:hAnsi="Aptos"/>
        </w:rPr>
        <w:t xml:space="preserve">, 17(7), 450–461. </w:t>
      </w:r>
      <w:hyperlink r:id="rId15" w:history="1">
        <w:r w:rsidRPr="00470A8C">
          <w:rPr>
            <w:rStyle w:val="Hyperlink0"/>
            <w:rFonts w:ascii="Aptos" w:hAnsi="Aptos"/>
          </w:rPr>
          <w:t>https://doi.org/10.1038/nrn.2016.44</w:t>
        </w:r>
      </w:hyperlink>
    </w:p>
    <w:sectPr w:rsidR="008316EA" w:rsidRPr="00470A8C">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BD6E" w14:textId="77777777" w:rsidR="00092C27" w:rsidRDefault="00092C27">
      <w:r>
        <w:separator/>
      </w:r>
    </w:p>
  </w:endnote>
  <w:endnote w:type="continuationSeparator" w:id="0">
    <w:p w14:paraId="0F155BFD" w14:textId="77777777" w:rsidR="00092C27" w:rsidRDefault="00092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0D22" w14:textId="77777777" w:rsidR="008316EA" w:rsidRDefault="008316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5D5E" w14:textId="77777777" w:rsidR="00092C27" w:rsidRDefault="00092C27">
      <w:r>
        <w:separator/>
      </w:r>
    </w:p>
  </w:footnote>
  <w:footnote w:type="continuationSeparator" w:id="0">
    <w:p w14:paraId="5DC92E22" w14:textId="77777777" w:rsidR="00092C27" w:rsidRDefault="00092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0D21" w14:textId="77777777" w:rsidR="008316EA" w:rsidRDefault="008316E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EA"/>
    <w:rsid w:val="00092C27"/>
    <w:rsid w:val="00470A8C"/>
    <w:rsid w:val="008316EA"/>
    <w:rsid w:val="00B2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0CE2"/>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S0079-6123(05)50004-9" TargetMode="External"/><Relationship Id="rId13" Type="http://schemas.openxmlformats.org/officeDocument/2006/relationships/hyperlink" Target="https://doi.org/10.1016/j.neuron.2020.01.026" TargetMode="External"/><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hyperlink" Target="http://www.brisartresearcharchive.com" TargetMode="External"/><Relationship Id="rId12" Type="http://schemas.openxmlformats.org/officeDocument/2006/relationships/hyperlink" Target="https://doi.org/10.1038/nrn.2016.22"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mailto:jason@brisartresearcharchive.com" TargetMode="External"/><Relationship Id="rId11" Type="http://schemas.openxmlformats.org/officeDocument/2006/relationships/hyperlink" Target="https://doi.org/10.1038/nrn2787" TargetMode="External"/><Relationship Id="rId5" Type="http://schemas.openxmlformats.org/officeDocument/2006/relationships/endnotes" Target="endnotes.xml"/><Relationship Id="rId15" Type="http://schemas.openxmlformats.org/officeDocument/2006/relationships/hyperlink" Target="https://doi.org/10.1038/nrn.2016.44" TargetMode="External"/><Relationship Id="rId10" Type="http://schemas.openxmlformats.org/officeDocument/2006/relationships/hyperlink" Target="https://doi.org/10.1016/j.neuron.2011.03.018"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5281/zenodo.15725824" TargetMode="External"/><Relationship Id="rId14" Type="http://schemas.openxmlformats.org/officeDocument/2006/relationships/hyperlink" Target="https://doi.org/10.1016/j.tics.2013.09.007" TargetMode="External"/><Relationship Id="rId22" Type="http://schemas.openxmlformats.org/officeDocument/2006/relationships/customXml" Target="../customXml/item3.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40D648-CD2D-4174-86DD-96D5F8EFDFEF}"/>
</file>

<file path=customXml/itemProps2.xml><?xml version="1.0" encoding="utf-8"?>
<ds:datastoreItem xmlns:ds="http://schemas.openxmlformats.org/officeDocument/2006/customXml" ds:itemID="{5AEA9797-35B1-4FB5-B576-04C049B49D30}"/>
</file>

<file path=customXml/itemProps3.xml><?xml version="1.0" encoding="utf-8"?>
<ds:datastoreItem xmlns:ds="http://schemas.openxmlformats.org/officeDocument/2006/customXml" ds:itemID="{DF4568DE-34E3-477F-88C8-76DBDCFE9202}"/>
</file>

<file path=docProps/app.xml><?xml version="1.0" encoding="utf-8"?>
<Properties xmlns="http://schemas.openxmlformats.org/officeDocument/2006/extended-properties" xmlns:vt="http://schemas.openxmlformats.org/officeDocument/2006/docPropsVTypes">
  <Template>Normal</Template>
  <TotalTime>12</TotalTime>
  <Pages>8</Pages>
  <Words>1522</Words>
  <Characters>11511</Characters>
  <Application>Microsoft Office Word</Application>
  <DocSecurity>0</DocSecurity>
  <Lines>274</Lines>
  <Paragraphs>97</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2</cp:revision>
  <dcterms:created xsi:type="dcterms:W3CDTF">2026-06-22T00:02:00Z</dcterms:created>
  <dcterms:modified xsi:type="dcterms:W3CDTF">2026-06-22T01:17:00Z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