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公钥和私钥是成对的，它们互相解密。</w:t>
      </w:r>
    </w:p>
    <w:p>
      <w:pPr>
        <w:rPr>
          <w:rFonts w:hint="default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公钥加密，私钥解密。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私钥数字签名，公钥验证。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双方各自保存私钥，交换公钥。（在知道</w:t>
      </w:r>
      <w:r>
        <w:rPr>
          <w:b/>
          <w:bCs/>
          <w:color w:val="FF0000"/>
          <w:sz w:val="28"/>
          <w:szCs w:val="28"/>
        </w:rPr>
        <w:t>私钥的情况下，能生成公钥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）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可以在http://web.chacuo.net/netrsakeypair中生成需要的RSA公私钥。（也可以使用其他的渠道生成，比如支付宝账号</w:t>
      </w: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）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355092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本项目中，需要的是密钥位数：1024位。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密钥格式：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Java语言默认选择PKCS#8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非Java语言默认选择PKCS#1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点击生成密钥对（RSA）按钮，生成一对新的公私钥，如下图所示：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64785" cy="3147060"/>
            <wp:effectExtent l="0" t="0" r="1206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正式账号开通以后，打开后台账户中心，滑动到屏幕最下方。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66055" cy="243840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点击 商户公钥修改按钮，对应填入刚才生成的公钥。（需要去除掉生成时候产生的头尾表示：如-----BEGIN PUBLIC KEY----- -----END PUBLIC KEY-----等信息）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70500" cy="230378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完成自己的公钥提交以后，还需要点击获取北付宝公钥查看。（系统正式环境与测试环境不归属同一个项目，需要分别操作）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49428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6206"/>
    <w:multiLevelType w:val="singleLevel"/>
    <w:tmpl w:val="1F3F62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0183B"/>
    <w:rsid w:val="1820183B"/>
    <w:rsid w:val="2A1336DF"/>
    <w:rsid w:val="6D535020"/>
    <w:rsid w:val="784D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2018-07-06T09:05:00Z</dcterms:created>
  <dc:creator>Administrator</dc:creator>
  <cp:lastModifiedBy>Administrator</cp:lastModifiedBy>
  <dcterms:modified xsi:type="dcterms:W3CDTF">2018-07-06T09:28:14Z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