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接入第三方支付公司文档</w:t>
      </w:r>
    </w:p>
    <w:p>
      <w:pPr>
        <w:jc w:val="center"/>
        <w:rPr>
          <w:rFonts w:hint="eastAsia" w:ascii="楷体" w:hAnsi="楷体" w:eastAsia="楷体" w:cs="楷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楷体" w:hAnsi="楷体" w:eastAsia="楷体" w:cs="楷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版本：V1.0.0.1</w:t>
      </w:r>
    </w:p>
    <w:p>
      <w:pPr>
        <w:jc w:val="center"/>
        <w:rPr>
          <w:rFonts w:hint="eastAsia" w:ascii="楷体" w:hAnsi="楷体" w:eastAsia="楷体" w:cs="楷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楷体" w:hAnsi="楷体" w:eastAsia="楷体" w:cs="楷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修改日期：2018.4.25</w:t>
      </w:r>
    </w:p>
    <w:p>
      <w:pPr>
        <w:jc w:val="center"/>
        <w:rPr>
          <w:rFonts w:hint="eastAsia" w:ascii="楷体" w:hAnsi="楷体" w:eastAsia="楷体" w:cs="楷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center"/>
        <w:rPr>
          <w:rFonts w:hint="eastAsia" w:ascii="楷体" w:hAnsi="楷体" w:eastAsia="楷体" w:cs="楷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center"/>
        <w:rPr>
          <w:rFonts w:hint="eastAsia" w:ascii="楷体" w:hAnsi="楷体" w:eastAsia="楷体" w:cs="楷体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  <w:t>接口概要</w:t>
      </w:r>
    </w:p>
    <w:p>
      <w:pPr>
        <w:spacing w:line="480" w:lineRule="auto"/>
        <w:jc w:val="left"/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"接口概要"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关于支付接口                                                      1.1</w:t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"网关与公共参数网关地址"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网关与公共参数                                                    1.2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"对接流程"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对接流程                                                          1.3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color w:val="5B9BD5" w:themeColor="accent1"/>
          <w:sz w:val="24"/>
          <w:szCs w:val="24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9DC3E6" w:themeColor="accent1" w:themeTint="99"/>
          <w:sz w:val="24"/>
          <w:szCs w:val="24"/>
          <w:u w:val="none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接口列表</w:t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"微信二维码支付"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t xml:space="preserve">手机支付接口  </w:t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 xml:space="preserve">                                                    2.2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spacing w:line="480" w:lineRule="auto"/>
        <w:jc w:val="left"/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"网银支付"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银联网关支付（网银支付）                                          2.3</w:t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"订单查询"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订单查询                                                          2.9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"订单退款"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订单退款                                                         2.10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"订单退款查询"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订单退款查询                                                     2.11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附录</w:t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"签名"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签名                                                              3.1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"银行编码"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银行编码                                                          3.2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"方法名"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方法名列表                                                        3.3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5B9BD5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回调处理</w:t>
      </w:r>
    </w:p>
    <w:p>
      <w:pPr>
        <w:spacing w:line="480" w:lineRule="auto"/>
        <w:jc w:val="left"/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instrText xml:space="preserve"> HYPERLINK \l "微信回调机制"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支付回调（微信）                                                    4.1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single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color w:val="2E75B6" w:themeColor="accent1" w:themeShade="BF"/>
          <w:sz w:val="21"/>
          <w:szCs w:val="21"/>
          <w:u w:val="singl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bookmarkStart w:id="0" w:name="接口概要"/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接口概要</w:t>
      </w:r>
      <w:bookmarkEnd w:id="0"/>
    </w:p>
    <w:p>
      <w:pPr>
        <w:jc w:val="left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bookmarkStart w:id="1" w:name="关于支付接口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1.1关于支付接口</w:t>
      </w:r>
    </w:p>
    <w:bookmarkEnd w:id="1"/>
    <w:p>
      <w:pPr>
        <w:jc w:val="left"/>
        <w:rPr>
          <w:rFonts w:hint="eastAsia" w:ascii="楷体" w:hAnsi="楷体" w:eastAsia="楷体" w:cs="楷体"/>
          <w:color w:val="808080" w:themeColor="text1" w:themeTint="80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楷体" w:hAnsi="楷体" w:eastAsia="楷体" w:cs="楷体"/>
          <w:color w:val="808080" w:themeColor="text1" w:themeTint="80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本接口文档适合程序开发人员阅览</w:t>
      </w:r>
    </w:p>
    <w:p>
      <w:pPr>
        <w:jc w:val="left"/>
        <w:rPr>
          <w:rFonts w:hint="eastAsia" w:ascii="楷体" w:hAnsi="楷体" w:eastAsia="楷体" w:cs="楷体"/>
          <w:color w:val="5B9BD5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5B9BD5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u w:val="none"/>
          <w:lang w:val="en-US" w:eastAsia="zh-CN"/>
        </w:rPr>
      </w:pPr>
      <w:bookmarkStart w:id="2" w:name="网关与公共参数网关地址"/>
      <w:r>
        <w:rPr>
          <w:rFonts w:hint="eastAsia" w:ascii="楷体" w:hAnsi="楷体" w:eastAsia="楷体" w:cs="楷体"/>
          <w:b w:val="0"/>
          <w:bCs w:val="0"/>
          <w:color w:val="auto"/>
          <w:sz w:val="36"/>
          <w:szCs w:val="36"/>
          <w:u w:val="none"/>
          <w:lang w:val="en-US" w:eastAsia="zh-CN"/>
        </w:rPr>
        <w:t>1.2网关与</w:t>
      </w: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公共参数--</w:t>
      </w:r>
      <w:r>
        <w:rPr>
          <w:rFonts w:hint="eastAsia" w:ascii="楷体" w:hAnsi="楷体" w:eastAsia="楷体" w:cs="楷体"/>
          <w:b w:val="0"/>
          <w:bCs w:val="0"/>
          <w:color w:val="auto"/>
          <w:sz w:val="36"/>
          <w:szCs w:val="36"/>
          <w:u w:val="none"/>
          <w:lang w:val="en-US" w:eastAsia="zh-CN"/>
        </w:rPr>
        <w:t>网关地址</w:t>
      </w:r>
    </w:p>
    <w:bookmarkEnd w:id="2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6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46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环境</w:t>
            </w:r>
          </w:p>
        </w:tc>
        <w:tc>
          <w:tcPr>
            <w:tcW w:w="6776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746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正式环境</w:t>
            </w:r>
          </w:p>
        </w:tc>
        <w:tc>
          <w:tcPr>
            <w:tcW w:w="6776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single" w:color="E7E6E6" w:themeColor="background2" w:sz="4" w:space="0"/>
              <w:right w:val="single" w:color="E7E6E6" w:themeColor="background2" w:sz="4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4"/>
                <w:szCs w:val="24"/>
                <w:u w:val="single"/>
                <w:lang w:val="en-US" w:eastAsia="zh-CN"/>
              </w:rPr>
              <w:t>http://www.miyipay.com/gateway</w:t>
            </w:r>
            <w:bookmarkStart w:id="13" w:name="_GoBack"/>
            <w:bookmarkEnd w:id="13"/>
          </w:p>
        </w:tc>
      </w:tr>
    </w:tbl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6"/>
          <w:szCs w:val="36"/>
          <w:u w:val="none"/>
          <w:lang w:val="en-US" w:eastAsia="zh-CN"/>
        </w:rPr>
        <w:t>1.2网关与</w:t>
      </w: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公共参数--公共参数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根据需求分公共参数和业务参数，其中公共参数字段每个接口固定不变, 请求参数根据业务需求决定。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业务参数需写在公共参数的 content  字段中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以下为公共参数：</w:t>
      </w:r>
    </w:p>
    <w:p>
      <w:pPr>
        <w:jc w:val="left"/>
        <w:rPr>
          <w:rFonts w:hint="eastAsia" w:ascii="楷体" w:hAnsi="楷体" w:eastAsia="楷体" w:cs="楷体"/>
          <w:color w:val="595959" w:themeColor="text1" w:themeTint="A6"/>
          <w:sz w:val="21"/>
          <w:szCs w:val="21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855"/>
        <w:gridCol w:w="1065"/>
        <w:gridCol w:w="1095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51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5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4256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51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app_id</w:t>
            </w:r>
          </w:p>
        </w:tc>
        <w:tc>
          <w:tcPr>
            <w:tcW w:w="85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32</w:t>
            </w:r>
          </w:p>
        </w:tc>
        <w:tc>
          <w:tcPr>
            <w:tcW w:w="4256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聚合支付平台分配给接入商户唯一的商户ID,请在后台获取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51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method</w:t>
            </w:r>
          </w:p>
        </w:tc>
        <w:tc>
          <w:tcPr>
            <w:tcW w:w="85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128</w:t>
            </w:r>
          </w:p>
        </w:tc>
        <w:tc>
          <w:tcPr>
            <w:tcW w:w="4256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51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85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256</w:t>
            </w:r>
          </w:p>
        </w:tc>
        <w:tc>
          <w:tcPr>
            <w:tcW w:w="4256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请求参数的签名串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51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85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32</w:t>
            </w:r>
          </w:p>
        </w:tc>
        <w:tc>
          <w:tcPr>
            <w:tcW w:w="4256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签名类型 "MD5"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51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version</w:t>
            </w:r>
          </w:p>
        </w:tc>
        <w:tc>
          <w:tcPr>
            <w:tcW w:w="85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256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调用的接口版本，默认且固定为：1.0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51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content</w:t>
            </w:r>
          </w:p>
        </w:tc>
        <w:tc>
          <w:tcPr>
            <w:tcW w:w="85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4256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请求参数的集合，最大长度不限，除公共参数外所有请求参数（业务参数）都必须放在这个参数中传递</w:t>
            </w:r>
          </w:p>
        </w:tc>
      </w:tr>
    </w:tbl>
    <w:p>
      <w:pPr>
        <w:jc w:val="left"/>
        <w:rPr>
          <w:rFonts w:hint="eastAsia" w:ascii="楷体" w:hAnsi="楷体" w:eastAsia="楷体" w:cs="楷体"/>
          <w:color w:val="808080" w:themeColor="text1" w:themeTint="80"/>
          <w:sz w:val="21"/>
          <w:szCs w:val="21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业务请求参数根据业务需求决定, 参见接口详细说明</w:t>
      </w:r>
    </w:p>
    <w:p>
      <w:pPr>
        <w:jc w:val="left"/>
        <w:rPr>
          <w:rFonts w:hint="eastAsia" w:ascii="楷体" w:hAnsi="楷体" w:eastAsia="楷体" w:cs="楷体"/>
          <w:b/>
          <w:bCs/>
          <w:color w:val="FF0000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u w:val="none"/>
          <w:lang w:val="en-US" w:eastAsia="zh-CN"/>
        </w:rPr>
        <w:t>注：业务参数需转换为JSON串</w:t>
      </w:r>
    </w:p>
    <w:p>
      <w:pPr>
        <w:jc w:val="left"/>
        <w:rPr>
          <w:rFonts w:hint="eastAsia" w:ascii="楷体" w:hAnsi="楷体" w:eastAsia="楷体" w:cs="楷体"/>
          <w:color w:val="5B9BD5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5B9BD5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bookmarkStart w:id="3" w:name="对接流程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1.3对接流程</w:t>
      </w:r>
      <w:bookmarkEnd w:id="3"/>
    </w:p>
    <w:p>
      <w:pPr>
        <w:jc w:val="left"/>
        <w:rPr>
          <w:rFonts w:hint="eastAsia" w:ascii="楷体" w:hAnsi="楷体" w:eastAsia="楷体" w:cs="楷体"/>
          <w:color w:val="5B9BD5" w:themeColor="accent1"/>
          <w:sz w:val="21"/>
          <w:szCs w:val="21"/>
          <w:u w:val="singl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1. 将相应参数写入键值对数据结构Data中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2. 将Data中的content中的参数转为JSON字符串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3. 加签，并将签名放入Data中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4. 以表单的方式POST给服务器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5. 服务器响应，清算方依据响应进行相关的业务逻辑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注意:回调通知处理 使用http post方式</w:t>
      </w:r>
    </w:p>
    <w:p>
      <w:pPr>
        <w:jc w:val="left"/>
        <w:rPr>
          <w:rFonts w:hint="eastAsia" w:ascii="楷体" w:hAnsi="楷体" w:eastAsia="楷体" w:cs="楷体"/>
          <w:color w:val="595959" w:themeColor="text1" w:themeTint="A6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595959" w:themeColor="text1" w:themeTint="A6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6"/>
          <w:szCs w:val="36"/>
          <w:u w:val="none"/>
          <w:lang w:val="en-US" w:eastAsia="zh-CN"/>
        </w:rPr>
        <w:t>接口列表</w:t>
      </w:r>
    </w:p>
    <w:p>
      <w:pPr>
        <w:jc w:val="left"/>
        <w:rPr>
          <w:rFonts w:hint="eastAsia" w:ascii="楷体" w:hAnsi="楷体" w:eastAsia="楷体" w:cs="楷体"/>
          <w:b/>
          <w:bCs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2.</w:t>
      </w:r>
      <w:bookmarkStart w:id="4" w:name="微信二维码支付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1</w:t>
      </w:r>
      <w:bookmarkEnd w:id="4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支付接口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请求方式：POST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方法名：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none"/>
          <w:lang w:val="en-US" w:eastAsia="zh-CN"/>
        </w:rPr>
        <w:instrText xml:space="preserve"> HYPERLINK \l "方法名" </w:instrTex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color w:val="2E75B6" w:themeColor="accent1" w:themeShade="BF"/>
          <w:sz w:val="24"/>
          <w:szCs w:val="24"/>
          <w:lang w:val="en-US" w:eastAsia="zh-CN"/>
        </w:rPr>
        <w:t>附录2</w:t>
      </w:r>
      <w:r>
        <w:rPr>
          <w:rFonts w:hint="eastAsia" w:ascii="楷体" w:hAnsi="楷体" w:eastAsia="楷体" w:cs="楷体"/>
          <w:color w:val="2E75B6" w:themeColor="accent1" w:themeShade="BF"/>
          <w:sz w:val="24"/>
          <w:szCs w:val="24"/>
          <w:u w:val="none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25"/>
        <w:gridCol w:w="1110"/>
        <w:gridCol w:w="1080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商户订单号,64 个字符以内、可 包 含字母、数字、下划线;需保证 在 接入的商户系统中不重复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order_name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商品描述 ，传入公众号名称-实际商品名称，例如：腾讯形象店- image-QQ公仔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total_amount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总金额 单位为元，精确到小数点后两位，取值范围[0.01,100000000]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spbill_create_ip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APP和网页支付提交用户端ip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notify_url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异步回调地址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return_url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同步回调地址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bookmarkStart w:id="5" w:name="网银支付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2.2银联网关</w:t>
      </w:r>
      <w:r>
        <w:rPr>
          <w:rStyle w:val="3"/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支付（网银支付）</w:t>
      </w:r>
    </w:p>
    <w:bookmarkEnd w:id="5"/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请求方式：POST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方法名：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t>gateway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25"/>
        <w:gridCol w:w="1110"/>
        <w:gridCol w:w="1080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30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商户订单号,30个字符以内、可 包 含字母、数字、下划线;需保证 在 接入的商户系统中不重复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order_name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商品描述 ，传入公众号名称-实际商品名称，例如：腾讯形象店- image-QQ公仔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total_amount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总金额 单位为元，精确到小数点后两位，取值范围[0.01,100000000]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channel_type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渠道类型：07-互联网；08-移动端；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subject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订单标题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spbill_create_ip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APP和网页支付提交用户端ip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bank_code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2E75B6" w:themeColor="accent1" w:themeShade="BF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 w:cs="楷体"/>
                <w:color w:val="2E75B6" w:themeColor="accent1" w:themeShade="BF"/>
                <w:sz w:val="21"/>
                <w:szCs w:val="21"/>
                <w:u w:val="none"/>
                <w:lang w:val="en-US" w:eastAsia="zh-CN"/>
              </w:rPr>
              <w:instrText xml:space="preserve"> HYPERLINK \l "银行编码" </w:instrText>
            </w:r>
            <w:r>
              <w:rPr>
                <w:rFonts w:hint="eastAsia" w:ascii="楷体" w:hAnsi="楷体" w:eastAsia="楷体" w:cs="楷体"/>
                <w:color w:val="2E75B6" w:themeColor="accent1" w:themeShade="BF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楷体" w:hAnsi="楷体" w:eastAsia="楷体" w:cs="楷体"/>
                <w:color w:val="2E75B6" w:themeColor="accent1" w:themeShade="BF"/>
                <w:sz w:val="21"/>
                <w:szCs w:val="21"/>
                <w:lang w:val="en-US" w:eastAsia="zh-CN"/>
              </w:rPr>
              <w:t>银行编码【具体请见备注】</w:t>
            </w:r>
            <w:r>
              <w:rPr>
                <w:rFonts w:hint="eastAsia" w:ascii="楷体" w:hAnsi="楷体" w:eastAsia="楷体" w:cs="楷体"/>
                <w:color w:val="2E75B6" w:themeColor="accent1" w:themeShade="BF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notify_url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异步回调地址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return_url</w:t>
            </w:r>
          </w:p>
        </w:tc>
        <w:tc>
          <w:tcPr>
            <w:tcW w:w="8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同步回调地址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2.3返回值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33"/>
        <w:gridCol w:w="1125"/>
        <w:gridCol w:w="1065"/>
        <w:gridCol w:w="3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933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2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6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resultCode</w:t>
            </w:r>
          </w:p>
        </w:tc>
        <w:tc>
          <w:tcPr>
            <w:tcW w:w="933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36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0000表示成功，其他为失败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933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6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total_amount</w:t>
            </w:r>
          </w:p>
        </w:tc>
        <w:tc>
          <w:tcPr>
            <w:tcW w:w="933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12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6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总金额 单位为元，精确到小数点后两位，取值范围[0.01,100000000]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pay_url</w:t>
            </w:r>
          </w:p>
        </w:tc>
        <w:tc>
          <w:tcPr>
            <w:tcW w:w="933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--</w:t>
            </w:r>
          </w:p>
        </w:tc>
        <w:tc>
          <w:tcPr>
            <w:tcW w:w="36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支付链接,</w:t>
            </w:r>
            <w:r>
              <w:rPr>
                <w:rFonts w:hint="eastAsia" w:ascii="楷体" w:hAnsi="楷体" w:eastAsia="楷体" w:cs="楷体"/>
                <w:b/>
                <w:bCs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请直接跳转到该链接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b/>
          <w:bCs/>
          <w:color w:val="FF0000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  <w:u w:val="none"/>
          <w:lang w:val="en-US" w:eastAsia="zh-CN"/>
        </w:rPr>
        <w:t>注：网银接口因为要插U盾等外接设备，是收银台模式（跳转）的，获取到返回值不要生成二维码了。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2.9</w:t>
      </w:r>
      <w:bookmarkStart w:id="6" w:name="订单查询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订单查询</w:t>
      </w:r>
      <w:bookmarkEnd w:id="6"/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请求方式：POST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方法名：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t>query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25"/>
        <w:gridCol w:w="1110"/>
        <w:gridCol w:w="1080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商户订单号,64 个字符以内、可 包 含字母、数字、下划线;需保证 在 接入的商户系统中不重复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返回值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0"/>
          <w:szCs w:val="30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0"/>
          <w:szCs w:val="30"/>
          <w:u w:val="none"/>
          <w:lang w:val="en-US" w:eastAsia="zh-CN"/>
        </w:rPr>
        <w:t>公共返回值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840"/>
        <w:gridCol w:w="1065"/>
        <w:gridCol w:w="1080"/>
        <w:gridCol w:w="3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27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27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trade_no</w:t>
            </w:r>
          </w:p>
        </w:tc>
        <w:tc>
          <w:tcPr>
            <w:tcW w:w="8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27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对接平台订单编号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net_receipt_amount</w:t>
            </w:r>
          </w:p>
        </w:tc>
        <w:tc>
          <w:tcPr>
            <w:tcW w:w="8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7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净收入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total_amount</w:t>
            </w:r>
          </w:p>
        </w:tc>
        <w:tc>
          <w:tcPr>
            <w:tcW w:w="8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7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实付金额 单位为元，精确到小数点后两位，取值范围[0.01,100000000]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trade_status</w:t>
            </w:r>
          </w:p>
        </w:tc>
        <w:tc>
          <w:tcPr>
            <w:tcW w:w="8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7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订单状态1代表成功，其他代表失败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pay_time</w:t>
            </w:r>
          </w:p>
        </w:tc>
        <w:tc>
          <w:tcPr>
            <w:tcW w:w="8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-</w:t>
            </w:r>
          </w:p>
        </w:tc>
        <w:tc>
          <w:tcPr>
            <w:tcW w:w="327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支付时间（时间戳）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2.10</w:t>
      </w:r>
      <w:bookmarkStart w:id="7" w:name="订单退款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订单退款</w:t>
      </w:r>
      <w:bookmarkEnd w:id="7"/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请求方式：POST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方法名：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t>refund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825"/>
        <w:gridCol w:w="1110"/>
        <w:gridCol w:w="1080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25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1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8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74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商户订单号,64 个字符以内、可 包 含字母、数字、下划线;需保证 在 接入的商户系统中不重复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out_refund_no</w:t>
            </w:r>
          </w:p>
        </w:tc>
        <w:tc>
          <w:tcPr>
            <w:tcW w:w="825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7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商户退款单号,64 个字符以内、可 包 含字母、数字、下划线;需保证 在 接入的商户系统中不重复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返回值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870"/>
        <w:gridCol w:w="1080"/>
        <w:gridCol w:w="111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trade_no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对接平台订单编号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 xml:space="preserve">net_receipt_amount 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净收入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 xml:space="preserve">total_amount 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总金额 单位为元，精确到小数点后两位，取值范围[0.01,100000000]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refund_status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REFUND_SUCCESS 退款成功，</w:t>
            </w:r>
          </w:p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REFUND_PROCESSING退款中、</w:t>
            </w:r>
          </w:p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REFUND_FAILER退款失败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2.11</w:t>
      </w:r>
      <w:bookmarkStart w:id="8" w:name="订单退款查询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订单退款查询</w:t>
      </w:r>
      <w:bookmarkEnd w:id="8"/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请求方式：POST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方法名：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t>refund_query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  <w:t>请求参数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840"/>
        <w:gridCol w:w="1080"/>
        <w:gridCol w:w="1110"/>
        <w:gridCol w:w="3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4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10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916" w:type="dxa"/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916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商户订单号,64 个字符以内、可 包 含字母、数字、下划线;需保证 在 接入的商户系统中不重复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返回值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870"/>
        <w:gridCol w:w="1080"/>
        <w:gridCol w:w="111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最大长度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商户订单编号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trade_no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对接平台订单编号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 xml:space="preserve">net_receipt_amount 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净收入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 xml:space="preserve">total_amount 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总金额 单位为元，精确到小数点后两位，取值范围[0.01,100000000]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32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refund_status</w:t>
            </w:r>
          </w:p>
        </w:tc>
        <w:tc>
          <w:tcPr>
            <w:tcW w:w="8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11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323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REFUND_SUCCESS 退款成功，</w:t>
            </w:r>
          </w:p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REFUND_PROCESSING退款中、</w:t>
            </w:r>
          </w:p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REFUND_FAILER退款失败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4"/>
          <w:szCs w:val="44"/>
          <w:u w:val="none"/>
          <w:lang w:val="en-US" w:eastAsia="zh-CN"/>
        </w:rPr>
        <w:t>附录</w:t>
      </w:r>
    </w:p>
    <w:p>
      <w:pPr>
        <w:spacing w:line="360" w:lineRule="auto"/>
        <w:jc w:val="left"/>
        <w:rPr>
          <w:rFonts w:hint="eastAsia" w:ascii="楷体" w:hAnsi="楷体" w:eastAsia="楷体" w:cs="楷体"/>
          <w:b/>
          <w:bCs/>
          <w:color w:val="auto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bookmarkStart w:id="9" w:name="签名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3.1签名</w:t>
      </w:r>
      <w:bookmarkEnd w:id="9"/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u w:val="none"/>
          <w:lang w:val="en-US" w:eastAsia="zh-CN"/>
        </w:rPr>
        <w:t>1、签名机制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a)获得secret 通过聚合支付后台获取生成的secret,测试阶段可通过对接人员获取。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u w:val="none"/>
          <w:lang w:val="en-US" w:eastAsia="zh-CN"/>
        </w:rPr>
        <w:t>2、签名流程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a)筛选 获取所有请求参数，不包括字节类型参数，如文件、字节流，剔除sign字段。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b)排序 将筛选得到的参数按照第一个字符的键值ASCII码递增排序（字母升序排序），如果遇到相同字符 则按照第二个字符的键值ASCII码递增排序，以此类推。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c)拼接 将排序后的参数与其对应值，组合成"参数=参数值"的格式，并且把这些参数用&amp;字符连接起来， 最后再拼接"&amp;key={第一步获得的secret}",此时生成的字符串为待签名字符串。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d)签名 用MD5算法对生成的待签名字符串逬行加密，获得签名。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u w:val="none"/>
          <w:lang w:val="en-US" w:eastAsia="zh-CN"/>
        </w:rPr>
        <w:t>3、回调验签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a)首先取出参数sign,然后把获得的参数（剔除sign，sign_type)按照接口签名的规则生成待 签名字符串。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b)通过DM5算法对生成的待签名字符串逬行加密，得到的签名再与原sign对比。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示例数据：</w:t>
      </w:r>
    </w:p>
    <w:p>
      <w:pPr>
        <w:spacing w:line="360" w:lineRule="auto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none"/>
          <w:lang w:val="en-US" w:eastAsia="zh-CN"/>
        </w:rPr>
        <w:t>一、获得签名（sign）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签名sign 的获取 及 发送数据的格式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首先得到签名前的字符串（把加密前的数据按照 字典序进行排序。空值不参与签名）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注意：排序好后在字符串末尾加上key即secret， 最终得到如下字符串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app_id=2017081443803662&amp;content=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{"out_trade_no":"T1503043962","order_name":"\u652f\u4ed8\u5b9d\u6536\u6b3e","total_amount":0.01,"notify_url":"https:\/\/api.fengniaofu.com\/payment\/notice.php"}&amp;method=wxqrcode&amp;version=1.0&amp;key=B8vX7jfDKHsUZcIkNuJqhoPGg9Ey4Ywz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获得加密后的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u w:val="none"/>
          <w:lang w:val="en-US" w:eastAsia="zh-CN"/>
        </w:rPr>
        <w:t>md5 sign</w:t>
      </w: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值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c9c3ea88eb26bbe848d603de2944fb20</w:t>
      </w:r>
    </w:p>
    <w:p>
      <w:pPr>
        <w:spacing w:line="360" w:lineRule="auto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none"/>
          <w:lang w:val="en-US" w:eastAsia="zh-CN"/>
        </w:rPr>
        <w:t>二、发起支付请求的数据([form键值对]格式):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808080" w:themeColor="text1" w:themeTint="80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楷体" w:hAnsi="楷体" w:eastAsia="楷体" w:cs="楷体"/>
          <w:color w:val="808080" w:themeColor="text1" w:themeTint="80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组装后得到待发送的数据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content=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  <w:t>{"out_trade_no":"T1503043962","order_name":"\u652f\u4ed8\u5b9d\u6536\u6b3e","total_amount":0.01,"notify_url":"https:\/\/api.fengniaofu.com\/payment\/notice.php"}&amp;app_id=2017081443803662&amp;version=1.0&amp;method=wxqrcode&amp;sign=6f939ce90a0836f1c76e53363a6f5c27&amp;sign_type=MD5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bookmarkStart w:id="10" w:name="银行编码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3.2银行编码</w:t>
      </w:r>
    </w:p>
    <w:bookmarkEnd w:id="10"/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36"/>
          <w:szCs w:val="36"/>
          <w:u w:val="no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银行编码 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ICBC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工商银行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CCB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建设银行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ABC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农业银行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CMB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COMM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交通银行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BOCB2C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CEBBANK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光大银行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CMBC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民生银行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CIB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兴业银行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CITIC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中信银行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GDB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广发银行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SPDB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浦发银行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SPABANK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平安银行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HXB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华夏银行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NBCB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宁波银行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HKBEA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东亚银行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SHBANK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上海银行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PSBC-DEBIT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中国邮储银行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NJCB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南京银行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SRCB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上海农商行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CBHB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渤海银行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BJRCB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北京农商银行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bookmarkStart w:id="11" w:name="方法名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3.3方法名列表</w:t>
      </w:r>
    </w:p>
    <w:bookmarkEnd w:id="11"/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36"/>
          <w:szCs w:val="36"/>
          <w:u w:val="none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接口方法名 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alipay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支付宝（扫码）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alipaywap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支付宝（手机）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weixin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微信（扫码）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wxh5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微信H5（手机）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qqqb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QQ钱包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qqrcode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手机QQ扫码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jdqb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京东钱包（扫码）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jdwap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京东（手机）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ylqb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银联钱包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quickpay</w:t>
            </w:r>
          </w:p>
        </w:tc>
        <w:tc>
          <w:tcPr>
            <w:tcW w:w="4261" w:type="dxa"/>
            <w:tcBorders>
              <w:top w:val="single" w:color="AEAAAA" w:themeColor="background2" w:themeShade="BF" w:sz="4" w:space="0"/>
              <w:left w:val="single" w:color="AEAAAA" w:themeColor="background2" w:themeShade="BF" w:sz="4" w:space="0"/>
              <w:bottom w:val="single" w:color="AEAAAA" w:themeColor="background2" w:themeShade="BF" w:sz="4" w:space="0"/>
              <w:right w:val="single" w:color="AEAAAA" w:themeColor="background2" w:themeShade="BF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快捷支付</w:t>
            </w:r>
          </w:p>
        </w:tc>
      </w:tr>
    </w:tbl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FF0000"/>
          <w:sz w:val="44"/>
          <w:szCs w:val="4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36"/>
          <w:szCs w:val="36"/>
          <w:u w:val="none"/>
          <w:lang w:val="en-US" w:eastAsia="zh-CN"/>
        </w:rPr>
        <w:t>注：</w:t>
      </w:r>
      <w:r>
        <w:rPr>
          <w:rStyle w:val="3"/>
          <w:rFonts w:hint="eastAsia" w:ascii="楷体" w:hAnsi="楷体" w:eastAsia="楷体" w:cs="楷体"/>
          <w:color w:val="FF0000"/>
          <w:sz w:val="36"/>
          <w:szCs w:val="36"/>
          <w:u w:val="none"/>
          <w:lang w:val="en-US" w:eastAsia="zh-CN"/>
        </w:rPr>
        <w:t>由于网银支付的参数不一样，网银需要多加几个参数，网银方法名：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none"/>
          <w:lang w:val="en-US" w:eastAsia="zh-CN"/>
        </w:rPr>
        <w:t>gateway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  <w:t>回调机制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</w:pPr>
      <w:bookmarkStart w:id="12" w:name="微信回调机制"/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4.1回调机制</w:t>
      </w:r>
      <w:bookmarkEnd w:id="12"/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程序执行完后必须打印输出“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>success</w:t>
      </w: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”（不包含引号）。如果商户反馈给微信的字符不是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>success</w:t>
      </w:r>
      <w:r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  <w:t>这7个字符，平台服务器会不断重发通知，直到超过24小时22分钟。一般情况下，25小时以内完成8次通知（通知的间隔频率一般是：4m,10m,10m,1h,2h,6h,15h）；</w:t>
      </w: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1"/>
          <w:szCs w:val="21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楷体" w:hAnsi="楷体" w:eastAsia="楷体" w:cs="楷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6"/>
          <w:szCs w:val="36"/>
          <w:u w:val="none"/>
          <w:lang w:val="en-US" w:eastAsia="zh-CN"/>
        </w:rPr>
        <w:t>返回值</w:t>
      </w:r>
    </w:p>
    <w:tbl>
      <w:tblPr>
        <w:tblStyle w:val="6"/>
        <w:tblW w:w="8655" w:type="dxa"/>
        <w:tblInd w:w="-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60"/>
        <w:gridCol w:w="1395"/>
        <w:gridCol w:w="114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shd w:val="clear" w:color="auto" w:fill="E7E6E6" w:themeFill="background2"/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out_trade_no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原支付请求的商户订单号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trade_no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平台订单号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原支付请求的平台订单号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total_amount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实付金额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float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发起交易的实付金额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status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支付状态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1：支付成功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pay_time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支付完成时间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支付完成时间，时间戳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trade_type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string(16)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同接口名称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sign_type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签名类型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签名类型如MD5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9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lang w:val="en-US" w:eastAsia="zh-CN"/>
              </w:rPr>
              <w:t>sign</w:t>
            </w:r>
          </w:p>
        </w:tc>
        <w:tc>
          <w:tcPr>
            <w:tcW w:w="156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签名</w:t>
            </w:r>
          </w:p>
        </w:tc>
        <w:tc>
          <w:tcPr>
            <w:tcW w:w="1395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14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2970" w:type="dxa"/>
            <w:tcBorders>
              <w:top w:val="single" w:color="CFCECE" w:themeColor="background2" w:themeShade="E5" w:sz="4" w:space="0"/>
              <w:left w:val="single" w:color="CFCECE" w:themeColor="background2" w:themeShade="E5" w:sz="4" w:space="0"/>
              <w:bottom w:val="single" w:color="CFCECE" w:themeColor="background2" w:themeShade="E5" w:sz="4" w:space="0"/>
              <w:right w:val="single" w:color="CFCECE" w:themeColor="background2" w:themeShade="E5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u w:val="none"/>
                <w:lang w:val="en-US" w:eastAsia="zh-CN"/>
              </w:rPr>
              <w:t>签名内容</w:t>
            </w:r>
          </w:p>
        </w:tc>
      </w:tr>
    </w:tbl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81885"/>
    <w:rsid w:val="0358180B"/>
    <w:rsid w:val="049623DC"/>
    <w:rsid w:val="04E44944"/>
    <w:rsid w:val="06C27CED"/>
    <w:rsid w:val="078B357D"/>
    <w:rsid w:val="081E0F25"/>
    <w:rsid w:val="085E24E1"/>
    <w:rsid w:val="08A57FF0"/>
    <w:rsid w:val="0AFA7F3C"/>
    <w:rsid w:val="0BBE3746"/>
    <w:rsid w:val="0BF778B3"/>
    <w:rsid w:val="0C026CF1"/>
    <w:rsid w:val="0CDC7C39"/>
    <w:rsid w:val="0DAA1F4D"/>
    <w:rsid w:val="0E522215"/>
    <w:rsid w:val="0E911E76"/>
    <w:rsid w:val="0F470CC4"/>
    <w:rsid w:val="0F795E7A"/>
    <w:rsid w:val="1051202F"/>
    <w:rsid w:val="11205C5F"/>
    <w:rsid w:val="116A6586"/>
    <w:rsid w:val="117556F4"/>
    <w:rsid w:val="1229182A"/>
    <w:rsid w:val="125276BC"/>
    <w:rsid w:val="12BE3AE7"/>
    <w:rsid w:val="12EA4E59"/>
    <w:rsid w:val="13250FF5"/>
    <w:rsid w:val="13397831"/>
    <w:rsid w:val="1369409D"/>
    <w:rsid w:val="14337BB7"/>
    <w:rsid w:val="14E00B9C"/>
    <w:rsid w:val="15566AE3"/>
    <w:rsid w:val="15B664DC"/>
    <w:rsid w:val="15F90298"/>
    <w:rsid w:val="1869208B"/>
    <w:rsid w:val="19782C6D"/>
    <w:rsid w:val="19E90445"/>
    <w:rsid w:val="1A2D0462"/>
    <w:rsid w:val="1A6E6865"/>
    <w:rsid w:val="1C617C3B"/>
    <w:rsid w:val="1D68780B"/>
    <w:rsid w:val="1E234755"/>
    <w:rsid w:val="1EB266FF"/>
    <w:rsid w:val="1EB72819"/>
    <w:rsid w:val="20150CDC"/>
    <w:rsid w:val="20345456"/>
    <w:rsid w:val="20E26CD6"/>
    <w:rsid w:val="20F329E4"/>
    <w:rsid w:val="2218497B"/>
    <w:rsid w:val="228446A9"/>
    <w:rsid w:val="24314FDD"/>
    <w:rsid w:val="24AE123A"/>
    <w:rsid w:val="252B2A4D"/>
    <w:rsid w:val="25D247DF"/>
    <w:rsid w:val="26FE74CD"/>
    <w:rsid w:val="270C7AEE"/>
    <w:rsid w:val="2753195E"/>
    <w:rsid w:val="286448AA"/>
    <w:rsid w:val="28A517DC"/>
    <w:rsid w:val="29000C17"/>
    <w:rsid w:val="2A74146C"/>
    <w:rsid w:val="2B1D1355"/>
    <w:rsid w:val="2B2F76DE"/>
    <w:rsid w:val="2CE1070A"/>
    <w:rsid w:val="2D5B2A4E"/>
    <w:rsid w:val="2D844817"/>
    <w:rsid w:val="2ED76D31"/>
    <w:rsid w:val="2F090DD4"/>
    <w:rsid w:val="2F385739"/>
    <w:rsid w:val="2FBA5748"/>
    <w:rsid w:val="2FCA03CA"/>
    <w:rsid w:val="2FEE1F2F"/>
    <w:rsid w:val="31161AD7"/>
    <w:rsid w:val="324513EC"/>
    <w:rsid w:val="3285620D"/>
    <w:rsid w:val="32F67D02"/>
    <w:rsid w:val="340464D0"/>
    <w:rsid w:val="35200787"/>
    <w:rsid w:val="352A4FB3"/>
    <w:rsid w:val="35DF290C"/>
    <w:rsid w:val="36F43099"/>
    <w:rsid w:val="370551B3"/>
    <w:rsid w:val="37381972"/>
    <w:rsid w:val="389A3B57"/>
    <w:rsid w:val="38E9534C"/>
    <w:rsid w:val="3C2E4E61"/>
    <w:rsid w:val="3CF76537"/>
    <w:rsid w:val="3E043C69"/>
    <w:rsid w:val="3E7667C7"/>
    <w:rsid w:val="3FEB39C5"/>
    <w:rsid w:val="40FA0BFC"/>
    <w:rsid w:val="410C541B"/>
    <w:rsid w:val="414600A9"/>
    <w:rsid w:val="41FD1F24"/>
    <w:rsid w:val="424E1531"/>
    <w:rsid w:val="425214D3"/>
    <w:rsid w:val="44225DF3"/>
    <w:rsid w:val="45615433"/>
    <w:rsid w:val="4583767A"/>
    <w:rsid w:val="47462C3A"/>
    <w:rsid w:val="483634DD"/>
    <w:rsid w:val="48397A6A"/>
    <w:rsid w:val="48F62E6E"/>
    <w:rsid w:val="49633395"/>
    <w:rsid w:val="49684F78"/>
    <w:rsid w:val="4B37613B"/>
    <w:rsid w:val="4BEE5857"/>
    <w:rsid w:val="4C444C01"/>
    <w:rsid w:val="4C840C74"/>
    <w:rsid w:val="4CEB0DE0"/>
    <w:rsid w:val="4F6D1C86"/>
    <w:rsid w:val="4F8B395B"/>
    <w:rsid w:val="50530BB6"/>
    <w:rsid w:val="51093397"/>
    <w:rsid w:val="5219390C"/>
    <w:rsid w:val="523A5FC3"/>
    <w:rsid w:val="52D42EA4"/>
    <w:rsid w:val="54DE032B"/>
    <w:rsid w:val="556512A0"/>
    <w:rsid w:val="55DC7F08"/>
    <w:rsid w:val="56B534F6"/>
    <w:rsid w:val="57401111"/>
    <w:rsid w:val="580D5316"/>
    <w:rsid w:val="58D22FBD"/>
    <w:rsid w:val="591641A1"/>
    <w:rsid w:val="5ABC2C2B"/>
    <w:rsid w:val="5AD26FC3"/>
    <w:rsid w:val="5C490031"/>
    <w:rsid w:val="5CF24F8C"/>
    <w:rsid w:val="5DA20897"/>
    <w:rsid w:val="5E015D88"/>
    <w:rsid w:val="5EBB49B0"/>
    <w:rsid w:val="61AB348D"/>
    <w:rsid w:val="624638B4"/>
    <w:rsid w:val="625567BE"/>
    <w:rsid w:val="64345BB7"/>
    <w:rsid w:val="6514355A"/>
    <w:rsid w:val="657248BA"/>
    <w:rsid w:val="680A23E3"/>
    <w:rsid w:val="6AD8556A"/>
    <w:rsid w:val="6DAA2344"/>
    <w:rsid w:val="6E6D7584"/>
    <w:rsid w:val="6F1E6ADC"/>
    <w:rsid w:val="6F385F2B"/>
    <w:rsid w:val="6FED51D1"/>
    <w:rsid w:val="71FE03F5"/>
    <w:rsid w:val="722724A3"/>
    <w:rsid w:val="733F395F"/>
    <w:rsid w:val="73792249"/>
    <w:rsid w:val="755C372D"/>
    <w:rsid w:val="75A5286F"/>
    <w:rsid w:val="764C7FFB"/>
    <w:rsid w:val="79485CDA"/>
    <w:rsid w:val="7952486E"/>
    <w:rsid w:val="797E4614"/>
    <w:rsid w:val="79EA09CE"/>
    <w:rsid w:val="79F13D0D"/>
    <w:rsid w:val="7A1564C1"/>
    <w:rsid w:val="7B577494"/>
    <w:rsid w:val="7C035B99"/>
    <w:rsid w:val="7D531992"/>
    <w:rsid w:val="7E3158D1"/>
    <w:rsid w:val="7E377D34"/>
    <w:rsid w:val="7FD6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2656</Words>
  <Characters>4775</Characters>
  <Lines>0</Lines>
  <Paragraphs>0</Paragraphs>
  <TotalTime>154</TotalTime>
  <ScaleCrop>false</ScaleCrop>
  <LinksUpToDate>false</LinksUpToDate>
  <CharactersWithSpaces>5509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2018-09-10T09:05:35Z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