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2"/>
        <w:tblW w:w="0" w:type="auto"/>
        <w:tblInd w:w="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65"/>
        <w:gridCol w:w="849"/>
        <w:gridCol w:w="764"/>
        <w:gridCol w:w="382"/>
        <w:gridCol w:w="675"/>
        <w:gridCol w:w="394"/>
        <w:gridCol w:w="1876"/>
        <w:gridCol w:w="382"/>
        <w:gridCol w:w="1058"/>
        <w:gridCol w:w="1200"/>
        <w:gridCol w:w="1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客户名称</w:t>
            </w:r>
          </w:p>
        </w:tc>
        <w:tc>
          <w:tcPr>
            <w:tcW w:w="532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四川聚能热力设备有限公司</w:t>
            </w:r>
          </w:p>
        </w:tc>
        <w:tc>
          <w:tcPr>
            <w:tcW w:w="10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注 册 号</w:t>
            </w:r>
          </w:p>
        </w:tc>
        <w:tc>
          <w:tcPr>
            <w:tcW w:w="22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Q:0804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地　　址</w:t>
            </w:r>
          </w:p>
        </w:tc>
        <w:tc>
          <w:tcPr>
            <w:tcW w:w="8669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instrText xml:space="preserve"> MERGEFIELD 企业地址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注册地址:成都高新区肖家河二环路南四段16号 办公地址:成都市成华区建材路九熙广场三期1720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联 系 人</w:t>
            </w:r>
          </w:p>
        </w:tc>
        <w:tc>
          <w:tcPr>
            <w:tcW w:w="19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王华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distribute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电　话</w:t>
            </w:r>
          </w:p>
        </w:tc>
        <w:tc>
          <w:tcPr>
            <w:tcW w:w="225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 18328093848</w:t>
            </w:r>
          </w:p>
        </w:tc>
        <w:tc>
          <w:tcPr>
            <w:tcW w:w="10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传　　真</w:t>
            </w:r>
          </w:p>
        </w:tc>
        <w:tc>
          <w:tcPr>
            <w:tcW w:w="22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Email</w:t>
            </w:r>
          </w:p>
        </w:tc>
        <w:tc>
          <w:tcPr>
            <w:tcW w:w="19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t>审核日期</w:t>
            </w:r>
          </w:p>
        </w:tc>
        <w:tc>
          <w:tcPr>
            <w:tcW w:w="225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2019-04-22 08:30:00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instrText xml:space="preserve"> MERGEFIELD "计划结束时间"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2019-04-22 17:30:00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fldChar w:fldCharType="end"/>
            </w:r>
          </w:p>
        </w:tc>
        <w:tc>
          <w:tcPr>
            <w:tcW w:w="10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现场时间</w:t>
            </w:r>
          </w:p>
        </w:tc>
        <w:tc>
          <w:tcPr>
            <w:tcW w:w="22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left" w:pos="10348"/>
              </w:tabs>
              <w:spacing w:beforeLines="50"/>
              <w:jc w:val="left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审核类型</w:t>
            </w: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Cs w:val="21"/>
              </w:rPr>
              <w:t xml:space="preserve">初审第一阶段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■现场审核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Lines="50" w:afterLines="50"/>
              <w:ind w:left="0" w:leftChars="0" w:right="0" w:rightChars="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bCs/>
                <w:spacing w:val="-5"/>
                <w:szCs w:val="21"/>
              </w:rPr>
              <w:t>审核目的</w:t>
            </w:r>
            <w:r>
              <w:rPr>
                <w:rFonts w:hint="eastAsia" w:ascii="宋体" w:hAnsi="宋体" w:eastAsia="宋体" w:cs="Arial"/>
                <w:spacing w:val="-5"/>
                <w:szCs w:val="21"/>
              </w:rPr>
              <w:t>：</w:t>
            </w:r>
            <w:r>
              <w:rPr>
                <w:rFonts w:hint="eastAsia" w:ascii="宋体" w:hAnsi="宋体" w:eastAsia="宋体"/>
                <w:szCs w:val="21"/>
              </w:rPr>
              <w:t>了解贵组织的基本情况,确认贵组织对审核的准备程度，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</w:rPr>
              <w:t>评价是否已具备实施认证审核的条件，为策划第二阶段审核提供关注点和需配置资源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afterLines="50"/>
              <w:rPr>
                <w:rFonts w:hint="eastAsia" w:ascii="宋体" w:hAnsi="宋体" w:eastAsia="宋体" w:cs="Arial"/>
                <w:spacing w:val="-5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bCs/>
                <w:spacing w:val="-5"/>
                <w:szCs w:val="21"/>
              </w:rPr>
              <w:t>审核范围</w:t>
            </w:r>
            <w:r>
              <w:rPr>
                <w:rFonts w:hint="eastAsia" w:ascii="宋体" w:hAnsi="宋体" w:eastAsia="宋体" w:cs="Arial"/>
                <w:spacing w:val="-5"/>
                <w:szCs w:val="21"/>
              </w:rPr>
              <w:t>：</w:t>
            </w:r>
          </w:p>
          <w:p>
            <w:pPr>
              <w:widowControl/>
              <w:spacing w:afterLines="50"/>
              <w:jc w:val="left"/>
              <w:rPr>
                <w:rFonts w:hint="default" w:ascii="Arial" w:hAnsi="Arial" w:cs="Arial"/>
                <w:spacing w:val="-5"/>
                <w:kern w:val="2"/>
                <w:sz w:val="21"/>
                <w:szCs w:val="21"/>
                <w:u w:val="singl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Q:锅炉的销售、安装、维修及技术服务（资质许可范围内）；辅机的销售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9"/>
              <w:spacing w:line="300" w:lineRule="exact"/>
              <w:jc w:val="left"/>
              <w:rPr>
                <w:rFonts w:hint="eastAsia" w:ascii="宋体" w:hAnsi="宋体" w:eastAsia="宋体" w:cs="Arial"/>
                <w:b/>
                <w:spacing w:val="-5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b/>
                <w:spacing w:val="-5"/>
                <w:kern w:val="2"/>
                <w:sz w:val="21"/>
                <w:szCs w:val="21"/>
              </w:rPr>
              <w:t>是否有多场所：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■有，详见：多名称/多场所/在建（施）清单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Arial"/>
                <w:spacing w:val="-5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pacing w:val="-5"/>
                <w:kern w:val="2"/>
                <w:sz w:val="21"/>
                <w:szCs w:val="21"/>
              </w:rPr>
              <w:t>审核依据</w:t>
            </w:r>
            <w:r>
              <w:rPr>
                <w:rFonts w:hint="eastAsia" w:ascii="宋体" w:hAnsi="宋体" w:eastAsia="宋体" w:cs="Arial"/>
                <w:spacing w:val="-5"/>
                <w:kern w:val="2"/>
                <w:sz w:val="21"/>
                <w:szCs w:val="21"/>
              </w:rPr>
              <w:t>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pacing w:val="-5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■GB/T19001-2016 / ISO9001:2015</w:t>
            </w:r>
          </w:p>
          <w:p>
            <w:pPr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spacing w:val="-5"/>
                <w:kern w:val="2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eastAsia="宋体" w:cs="Arial"/>
                <w:spacing w:val="-5"/>
                <w:kern w:val="2"/>
                <w:sz w:val="21"/>
                <w:szCs w:val="21"/>
              </w:rPr>
              <w:t>客户管理体系文件的有效版本和适用的法律、法规、标准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kern w:val="2"/>
                <w:sz w:val="21"/>
                <w:szCs w:val="21"/>
                <w:highlight w:val="none"/>
                <w:lang w:eastAsia="zh-CN"/>
              </w:rPr>
              <w:t>证书</w:t>
            </w:r>
            <w:r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</w:rPr>
              <w:t>类型：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■ETC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</w:rPr>
              <w:t>审核组成员：</w:t>
            </w:r>
            <w: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人员</w:t>
            </w:r>
          </w:p>
          <w:p>
            <w:pPr>
              <w:widowControl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编号</w:t>
            </w:r>
          </w:p>
        </w:tc>
        <w:tc>
          <w:tcPr>
            <w:tcW w:w="10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姓 名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性别</w:t>
            </w:r>
          </w:p>
        </w:tc>
        <w:tc>
          <w:tcPr>
            <w:tcW w:w="105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人员注册证号</w:t>
            </w:r>
          </w:p>
        </w:tc>
        <w:tc>
          <w:tcPr>
            <w:tcW w:w="22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注册资格</w:t>
            </w:r>
          </w:p>
          <w:p>
            <w:pPr>
              <w:widowControl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审核员</w:t>
            </w:r>
            <w:r>
              <w:rPr>
                <w:rFonts w:ascii="宋体" w:hAnsi="宋体" w:eastAsia="宋体"/>
                <w:sz w:val="18"/>
                <w:szCs w:val="18"/>
              </w:rPr>
              <w:t>A/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实习</w:t>
            </w:r>
            <w:r>
              <w:rPr>
                <w:rFonts w:ascii="宋体" w:hAnsi="宋体" w:eastAsia="宋体"/>
                <w:sz w:val="18"/>
                <w:szCs w:val="18"/>
              </w:rPr>
              <w:t>PA)</w:t>
            </w:r>
          </w:p>
          <w:p>
            <w:pPr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专家技术职称及工作单位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Lines="30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审核组内职责(指组长/组员/专家/其他)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spacing w:beforeLines="50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专业人员/</w:t>
            </w:r>
            <w:r>
              <w:rPr>
                <w:rFonts w:hint="eastAsia" w:ascii="宋体" w:hAnsi="宋体" w:eastAsia="宋体" w:cs="Arial"/>
                <w:spacing w:val="-5"/>
                <w:szCs w:val="18"/>
              </w:rPr>
              <w:t>专业代码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葛国红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105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Q:2019-N1QMS-3096149</w:t>
            </w:r>
          </w:p>
        </w:tc>
        <w:tc>
          <w:tcPr>
            <w:tcW w:w="22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Q:02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金属热工技术工程师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Q:组长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Q:18.08.00N;29.11.04N;29.11.03N;29.09.01N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13666177923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张启雄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105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</w:tc>
        <w:tc>
          <w:tcPr>
            <w:tcW w:w="22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Q:04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初级职称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Q:技术专家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Q:29.10.07N;28.09.02N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13808189522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审核内容包括：</w:t>
            </w:r>
            <w:r>
              <w:rPr>
                <w:rFonts w:hint="default" w:ascii="Times New Roman" w:hAnsi="Times New Roman" w:eastAsia="宋体" w:cs="Times New Roman"/>
                <w:color w:val="0000FF"/>
                <w:kern w:val="2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</w:rPr>
              <w:t>）受审核组织概况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val="en-US" w:eastAsia="zh-CN"/>
              </w:rPr>
              <w:t>2）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客户的文件化的管理体系信息；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val="en-US" w:eastAsia="zh-CN"/>
              </w:rPr>
              <w:t>3）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重要过程及重要因素的确定（包括组织的环境、产品/服务实现过程、外包过程，环境因素、危险源识别与评价等）；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val="en-US" w:eastAsia="zh-CN"/>
              </w:rPr>
              <w:t>4）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</w:rPr>
              <w:t>从业的法律资格、资质、行政许可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及相关法律法规及其它要求的遵守情况</w:t>
            </w:r>
            <w:r>
              <w:rPr>
                <w:rFonts w:hint="eastAsia" w:ascii="宋体" w:hAnsi="宋体" w:cs="宋体"/>
                <w:b w:val="0"/>
                <w:bCs w:val="0"/>
                <w:color w:val="0000FF"/>
                <w:kern w:val="2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b w:val="0"/>
                <w:bCs w:val="0"/>
                <w:color w:val="0000FF"/>
                <w:kern w:val="2"/>
                <w:sz w:val="21"/>
                <w:szCs w:val="21"/>
                <w:lang w:val="en-US" w:eastAsia="zh-CN"/>
              </w:rPr>
              <w:t>5）</w:t>
            </w:r>
            <w:r>
              <w:rPr>
                <w:rFonts w:hint="eastAsia" w:ascii="宋体" w:hAnsi="宋体"/>
                <w:b w:val="0"/>
                <w:bCs w:val="0"/>
                <w:color w:val="0000FF"/>
                <w:szCs w:val="21"/>
              </w:rPr>
              <w:t>运行控制和关键绩效</w:t>
            </w:r>
            <w:r>
              <w:rPr>
                <w:rFonts w:hint="eastAsia" w:ascii="宋体" w:hAnsi="宋体"/>
                <w:b w:val="0"/>
                <w:bCs w:val="0"/>
                <w:color w:val="0000FF"/>
                <w:szCs w:val="21"/>
                <w:lang w:eastAsia="zh-CN"/>
              </w:rPr>
              <w:t>；</w:t>
            </w:r>
            <w:r>
              <w:rPr>
                <w:rFonts w:hint="eastAsia" w:ascii="宋体" w:hAnsi="宋体"/>
                <w:b w:val="0"/>
                <w:bCs w:val="0"/>
                <w:color w:val="0000FF"/>
                <w:szCs w:val="21"/>
                <w:lang w:val="en-US" w:eastAsia="zh-CN"/>
              </w:rPr>
              <w:t>6）</w:t>
            </w:r>
            <w:r>
              <w:rPr>
                <w:rFonts w:hint="eastAsia" w:ascii="宋体" w:hAnsi="宋体"/>
                <w:color w:val="0000FF"/>
                <w:szCs w:val="21"/>
              </w:rPr>
              <w:t>管理体系的方针、目标/指标/措施方案及实现情况</w:t>
            </w:r>
            <w:r>
              <w:rPr>
                <w:rFonts w:hint="eastAsia" w:ascii="宋体" w:hAnsi="宋体"/>
                <w:color w:val="0000FF"/>
                <w:szCs w:val="21"/>
                <w:lang w:eastAsia="zh-CN"/>
              </w:rPr>
              <w:t>；</w:t>
            </w:r>
            <w:r>
              <w:rPr>
                <w:rFonts w:hint="default" w:ascii="Times New Roman" w:hAnsi="Times New Roman" w:eastAsia="宋体" w:cs="Times New Roman"/>
                <w:color w:val="0000FF"/>
                <w:kern w:val="2"/>
                <w:sz w:val="21"/>
                <w:szCs w:val="21"/>
              </w:rPr>
              <w:t>7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</w:rPr>
              <w:t>）内审、管理评审情况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val="en-US" w:eastAsia="zh-CN"/>
              </w:rPr>
              <w:t>8）特殊条件和特定要求场所的观察等。上述内容，由组长根据现场实际情况进行组内分配。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360" w:hanging="36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涉及的主要部门、场所包括：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360" w:hanging="36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eastAsia="zh-CN"/>
              </w:rPr>
              <w:t>首次会议时间：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val="en-US" w:eastAsia="zh-CN"/>
              </w:rPr>
              <w:t>XX月XX日XX:XX-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val="en-US" w:eastAsia="zh-CN"/>
              </w:rPr>
              <w:t>XX:XX,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eastAsia="zh-CN"/>
              </w:rPr>
              <w:t>末次会议时间：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val="en-US" w:eastAsia="zh-CN"/>
              </w:rPr>
              <w:t>XX月XX日XX:XX-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val="en-US" w:eastAsia="zh-CN"/>
              </w:rPr>
              <w:t>XX:XX。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                  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360" w:hanging="36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审核前，组长应与客户就体系文件、生产现场、多场所、审核安排、交通等进行沟通、确认。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360" w:hanging="360"/>
              <w:rPr>
                <w:rFonts w:hint="eastAsia" w:ascii="宋体" w:hAnsi="宋体" w:eastAsia="宋体" w:cs="宋体"/>
                <w:color w:val="4F81BD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请客户安排相关领导、涉及上述内容、过程的部门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场所的负责人在上述审核期间配合接受审核。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imes New Roman" w:hAnsi="Times New Roman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委任人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</w:rPr>
        <w:t>日期：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/>
        </w:rPr>
        <w:t>黄其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/>
        </w:rPr>
        <w:t>2021-01-21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kern w:val="2"/>
          <w:sz w:val="21"/>
          <w:szCs w:val="21"/>
        </w:rPr>
        <w:t>组长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</w:rPr>
        <w:t>日期：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     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eastAsia="zh-CN"/>
        </w:rPr>
        <w:t>批准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CN"/>
        </w:rPr>
        <w:t>/时间：</w:t>
      </w: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kern w:val="2"/>
          <w:sz w:val="21"/>
          <w:szCs w:val="21"/>
        </w:rPr>
        <w:t>客户负责人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日期：    </w:t>
      </w:r>
      <w:r>
        <w:t xml:space="preserve"> </w:t>
      </w:r>
    </w:p>
    <w:sectPr>
      <w:headerReference r:id="rId3" w:type="default"/>
      <w:footerReference r:id="rId4" w:type="default"/>
      <w:pgSz w:w="11906" w:h="16838"/>
      <w:pgMar w:top="1157" w:right="1080" w:bottom="1135" w:left="1080" w:header="754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4" w:space="0"/>
      </w:pBdr>
      <w:tabs>
        <w:tab w:val="center" w:pos="4153"/>
        <w:tab w:val="right" w:pos="8306"/>
      </w:tabs>
      <w:ind w:left="360" w:hanging="360" w:hangingChars="200"/>
      <w:jc w:val="center"/>
      <w:rPr>
        <w:rFonts w:hint="eastAsia" w:ascii="宋体" w:hAnsi="宋体" w:cs="宋体"/>
        <w:lang w:val="en-US" w:eastAsia="zh-CN"/>
      </w:rPr>
    </w:pPr>
    <w:r>
      <w:rPr>
        <w:rFonts w:hint="eastAsia" w:ascii="宋体" w:hAnsi="宋体" w:cs="宋体"/>
        <w:lang w:eastAsia="zh-CN"/>
      </w:rPr>
      <w:t>认监委批准号：CNCA-R-2017-318</w:t>
    </w:r>
    <w:r>
      <w:rPr>
        <w:rFonts w:hint="eastAsia" w:ascii="宋体" w:hAnsi="宋体" w:cs="宋体"/>
        <w:lang w:val="en-US" w:eastAsia="zh-CN"/>
      </w:rPr>
      <w:t xml:space="preserve">      官网</w:t>
    </w:r>
    <w:r>
      <w:rPr>
        <w:rFonts w:hint="eastAsia" w:ascii="宋体" w:hAnsi="宋体" w:cs="宋体"/>
      </w:rPr>
      <w:t>：</w:t>
    </w:r>
    <w:r>
      <w:rPr>
        <w:rFonts w:ascii="宋体" w:hAnsi="宋体" w:cs="宋体"/>
        <w:lang w:val="zh-CN"/>
      </w:rPr>
      <w:fldChar w:fldCharType="begin"/>
    </w:r>
    <w:r>
      <w:rPr>
        <w:rFonts w:ascii="宋体" w:hAnsi="宋体" w:cs="宋体"/>
      </w:rPr>
      <w:instrText xml:space="preserve"> HYPERLINK "http://</w:instrText>
    </w:r>
    <w:r>
      <w:rPr>
        <w:rFonts w:hint="eastAsia" w:ascii="宋体" w:hAnsi="宋体" w:cs="宋体"/>
      </w:rPr>
      <w:instrText xml:space="preserve">www.etciso.com</w:instrText>
    </w:r>
    <w:r>
      <w:rPr>
        <w:rFonts w:ascii="宋体" w:hAnsi="宋体" w:cs="宋体"/>
      </w:rPr>
      <w:instrText xml:space="preserve">" </w:instrText>
    </w:r>
    <w:r>
      <w:rPr>
        <w:rFonts w:ascii="宋体" w:hAnsi="宋体" w:cs="宋体"/>
        <w:lang w:val="zh-CN"/>
      </w:rPr>
      <w:fldChar w:fldCharType="separate"/>
    </w:r>
    <w:r>
      <w:rPr>
        <w:rFonts w:hint="eastAsia" w:cs="宋体"/>
      </w:rPr>
      <w:t>www.etciso.com</w:t>
    </w:r>
    <w:r>
      <w:rPr>
        <w:rFonts w:ascii="宋体" w:hAnsi="宋体" w:cs="宋体"/>
        <w:lang w:val="zh-CN"/>
      </w:rPr>
      <w:fldChar w:fldCharType="end"/>
    </w:r>
    <w:r>
      <w:rPr>
        <w:rFonts w:hint="eastAsia" w:ascii="宋体" w:hAnsi="宋体" w:cs="宋体"/>
        <w:lang w:val="en-US" w:eastAsia="zh-CN"/>
      </w:rPr>
      <w:t xml:space="preserve">     </w:t>
    </w:r>
    <w:r>
      <w:rPr>
        <w:rFonts w:ascii="宋体" w:hAnsi="宋体" w:cs="宋体"/>
      </w:rPr>
      <w:t>Email</w:t>
    </w:r>
    <w:r>
      <w:rPr>
        <w:rFonts w:hint="eastAsia" w:ascii="宋体" w:hAnsi="宋体" w:cs="宋体"/>
        <w:lang w:eastAsia="zh-CN"/>
      </w:rPr>
      <w:t>：</w:t>
    </w:r>
    <w:r>
      <w:rPr>
        <w:rFonts w:ascii="宋体" w:hAnsi="宋体" w:cs="宋体"/>
      </w:rPr>
      <w:t>service@</w:t>
    </w:r>
    <w:r>
      <w:rPr>
        <w:rFonts w:hint="eastAsia" w:ascii="宋体" w:hAnsi="宋体" w:cs="宋体"/>
      </w:rPr>
      <w:t>etciso</w:t>
    </w:r>
    <w:r>
      <w:rPr>
        <w:rFonts w:ascii="宋体" w:hAnsi="宋体" w:cs="宋体"/>
      </w:rPr>
      <w:t>.com</w:t>
    </w:r>
  </w:p>
  <w:p>
    <w:pPr>
      <w:pStyle w:val="8"/>
      <w:pBdr>
        <w:top w:val="single" w:color="auto" w:sz="4" w:space="0"/>
      </w:pBdr>
      <w:tabs>
        <w:tab w:val="center" w:pos="4153"/>
        <w:tab w:val="right" w:pos="8306"/>
      </w:tabs>
      <w:ind w:left="360" w:hanging="360" w:hangingChars="200"/>
      <w:jc w:val="center"/>
      <w:rPr>
        <w:szCs w:val="18"/>
      </w:rPr>
    </w:pPr>
    <w:r>
      <w:rPr>
        <w:rFonts w:hint="eastAsia" w:ascii="宋体" w:hAnsi="宋体" w:cs="宋体"/>
        <w:lang w:val="zh-CN"/>
      </w:rPr>
      <w:t>ETC联系地址：中国·成都·建材路37号1栋1711室</w:t>
    </w:r>
    <w:r>
      <w:rPr>
        <w:rFonts w:hint="eastAsia" w:ascii="宋体" w:hAnsi="宋体" w:cs="宋体"/>
        <w:lang w:val="en-US" w:eastAsia="zh-CN"/>
      </w:rPr>
      <w:t xml:space="preserve">      </w:t>
    </w:r>
    <w:r>
      <w:rPr>
        <w:rFonts w:hint="eastAsia" w:ascii="宋体" w:hAnsi="宋体" w:cs="宋体"/>
        <w:lang w:val="zh-CN"/>
      </w:rPr>
      <w:t>电话：028-</w:t>
    </w:r>
    <w:r>
      <w:rPr>
        <w:rFonts w:hint="eastAsia" w:ascii="宋体" w:hAnsi="宋体" w:cs="宋体"/>
        <w:lang w:val="en-US" w:eastAsia="zh-CN"/>
      </w:rPr>
      <w:t xml:space="preserve">6787 7315      </w:t>
    </w:r>
    <w:r>
      <w:rPr>
        <w:rFonts w:hint="eastAsia" w:ascii="宋体" w:hAnsi="宋体" w:cs="宋体"/>
        <w:lang w:val="zh-CN"/>
      </w:rPr>
      <w:t>邮编：610051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tabs>
        <w:tab w:val="center" w:pos="4153"/>
        <w:tab w:val="right" w:pos="8306"/>
      </w:tabs>
      <w:jc w:val="left"/>
      <w:rPr>
        <w:rFonts w:ascii="黑体" w:hAnsi="宋体" w:eastAsia="黑体"/>
        <w:sz w:val="21"/>
        <w:highlight w:val="none"/>
        <w:lang w:val="en-US"/>
      </w:rPr>
    </w:pPr>
    <w:r>
      <w:rPr>
        <w:rFonts w:hint="eastAsia" w:ascii="黑体" w:hAnsi="宋体" w:eastAsia="黑体" w:cs="宋体"/>
        <w:bCs/>
        <w:sz w:val="24"/>
        <w:szCs w:val="24"/>
      </w:rPr>
      <w:t>亿信标准认证集团有限公司</w:t>
    </w:r>
    <w:r>
      <w:rPr>
        <w:rFonts w:hint="eastAsia" w:ascii="黑体" w:hAnsi="黑体" w:eastAsia="黑体"/>
        <w:sz w:val="21"/>
        <w:szCs w:val="21"/>
      </w:rPr>
      <w:t xml:space="preserve">                                  </w:t>
    </w:r>
    <w:r>
      <w:rPr>
        <w:rFonts w:hint="eastAsia" w:ascii="黑体" w:hAnsi="黑体" w:eastAsia="黑体"/>
        <w:sz w:val="21"/>
        <w:szCs w:val="21"/>
        <w:lang w:val="en-US" w:eastAsia="zh-CN"/>
      </w:rPr>
      <w:t xml:space="preserve">     </w:t>
    </w:r>
    <w:r>
      <w:rPr>
        <w:rFonts w:hint="eastAsia" w:ascii="宋体" w:hAnsi="宋体"/>
        <w:highlight w:val="none"/>
      </w:rPr>
      <w:t>表号：</w:t>
    </w:r>
    <w:r>
      <w:rPr>
        <w:rFonts w:hint="eastAsia"/>
        <w:highlight w:val="none"/>
      </w:rPr>
      <w:t>ETC/SHB-JL-004</w:t>
    </w:r>
    <w:r>
      <w:rPr>
        <w:rFonts w:hint="eastAsia" w:ascii="宋体" w:hAnsi="宋体"/>
        <w:highlight w:val="none"/>
      </w:rPr>
      <w:t>,</w:t>
    </w:r>
    <w:r>
      <w:rPr>
        <w:rFonts w:hint="eastAsia" w:ascii="宋体" w:hAnsi="宋体" w:cs="宋体"/>
        <w:highlight w:val="none"/>
      </w:rPr>
      <w:t>版次：</w:t>
    </w:r>
    <w:r>
      <w:rPr>
        <w:rFonts w:hint="eastAsia" w:ascii="宋体" w:hAnsi="宋体"/>
        <w:highlight w:val="none"/>
        <w:lang w:val="en-US" w:eastAsia="zh-CN"/>
      </w:rPr>
      <w:t>B</w:t>
    </w:r>
    <w:r>
      <w:rPr>
        <w:rFonts w:hint="eastAsia" w:ascii="宋体" w:hAnsi="宋体"/>
        <w:highlight w:val="none"/>
      </w:rPr>
      <w:t>/</w:t>
    </w:r>
    <w:r>
      <w:rPr>
        <w:rFonts w:hint="eastAsia" w:ascii="宋体" w:hAnsi="宋体"/>
        <w:highlight w:val="none"/>
        <w:lang w:val="en-US" w:eastAsia="zh-CN"/>
      </w:rPr>
      <w:t>0</w:t>
    </w:r>
  </w:p>
  <w:p>
    <w:pPr>
      <w:pStyle w:val="9"/>
      <w:pBdr>
        <w:bottom w:val="single" w:color="auto" w:sz="4" w:space="1"/>
      </w:pBdr>
      <w:tabs>
        <w:tab w:val="center" w:pos="4153"/>
        <w:tab w:val="right" w:pos="8306"/>
      </w:tabs>
      <w:spacing w:line="240" w:lineRule="atLeast"/>
      <w:jc w:val="left"/>
      <w:rPr>
        <w:rFonts w:ascii="宋体" w:hAnsi="宋体"/>
        <w:sz w:val="28"/>
        <w:szCs w:val="28"/>
        <w:highlight w:val="none"/>
      </w:rPr>
    </w:pPr>
    <w:r>
      <w:rPr>
        <w:rFonts w:ascii="黑体" w:hAnsi="宋体" w:eastAsia="黑体" w:cs="宋体"/>
        <w:bCs/>
        <w:sz w:val="24"/>
      </w:rPr>
      <w:t>E-TRUST STANDARD CERTIFICATION GROUP</w:t>
    </w:r>
    <w:r>
      <w:rPr>
        <w:rFonts w:hint="eastAsia" w:ascii="黑体" w:hAnsi="宋体" w:eastAsia="黑体" w:cs="宋体"/>
        <w:bCs/>
        <w:sz w:val="24"/>
        <w:lang w:val="en-US" w:eastAsia="zh-CN"/>
      </w:rPr>
      <w:t xml:space="preserve"> CO.,</w:t>
    </w:r>
    <w:r>
      <w:rPr>
        <w:rFonts w:ascii="黑体" w:hAnsi="宋体" w:eastAsia="黑体" w:cs="宋体"/>
        <w:bCs/>
        <w:sz w:val="24"/>
      </w:rPr>
      <w:t>LTD</w:t>
    </w:r>
    <w:r>
      <w:rPr>
        <w:rFonts w:hint="eastAsia" w:eastAsia="黑体"/>
        <w:sz w:val="24"/>
        <w:highlight w:val="none"/>
      </w:rPr>
      <w:t xml:space="preserve">     </w:t>
    </w:r>
    <w:r>
      <w:rPr>
        <w:rFonts w:hint="eastAsia" w:eastAsia="黑体"/>
        <w:sz w:val="24"/>
        <w:highlight w:val="none"/>
        <w:lang w:val="en-US" w:eastAsia="zh-CN"/>
      </w:rPr>
      <w:t xml:space="preserve">  </w:t>
    </w:r>
    <w:r>
      <w:rPr>
        <w:rFonts w:hint="eastAsia" w:eastAsia="黑体"/>
        <w:sz w:val="24"/>
        <w:highlight w:val="none"/>
      </w:rPr>
      <w:t xml:space="preserve"> </w:t>
    </w:r>
    <w:r>
      <w:rPr>
        <w:rFonts w:hint="eastAsia" w:eastAsia="黑体"/>
        <w:sz w:val="24"/>
        <w:highlight w:val="none"/>
        <w:lang w:val="en-US" w:eastAsia="zh-CN"/>
      </w:rPr>
      <w:t xml:space="preserve">                     </w:t>
    </w:r>
    <w:r>
      <w:rPr>
        <w:rFonts w:hint="eastAsia" w:ascii="宋体" w:hAnsi="宋体" w:cs="宋体"/>
        <w:highlight w:val="none"/>
      </w:rPr>
      <w:t>实施日期：</w:t>
    </w:r>
    <w:r>
      <w:rPr>
        <w:rFonts w:hint="eastAsia" w:ascii="宋体" w:hAnsi="宋体" w:cs="宋体"/>
        <w:highlight w:val="none"/>
        <w:lang w:val="en-US" w:eastAsia="zh-CN"/>
      </w:rPr>
      <w:t>2020.01.01</w:t>
    </w:r>
    <w:r>
      <w:rPr>
        <w:rFonts w:hint="eastAsia" w:ascii="宋体" w:hAnsi="宋体" w:cs="宋体"/>
        <w:color w:val="1F497D"/>
        <w:kern w:val="0"/>
        <w:szCs w:val="21"/>
        <w:highlight w:val="none"/>
      </w:rPr>
      <w:t>,</w:t>
    </w:r>
    <w:r>
      <w:rPr>
        <w:rFonts w:hint="eastAsia" w:ascii="宋体" w:hAnsi="宋体" w:cs="宋体"/>
        <w:kern w:val="0"/>
        <w:sz w:val="21"/>
        <w:szCs w:val="21"/>
        <w:highlight w:val="none"/>
      </w:rPr>
      <w:t>页次</w:t>
    </w:r>
    <w:r>
      <w:rPr>
        <w:kern w:val="0"/>
        <w:sz w:val="21"/>
        <w:szCs w:val="21"/>
        <w:highlight w:val="none"/>
      </w:rPr>
      <w:fldChar w:fldCharType="begin"/>
    </w:r>
    <w:r>
      <w:rPr>
        <w:kern w:val="0"/>
        <w:sz w:val="21"/>
        <w:szCs w:val="21"/>
        <w:highlight w:val="none"/>
      </w:rPr>
      <w:instrText xml:space="preserve"> PAGE </w:instrText>
    </w:r>
    <w:r>
      <w:rPr>
        <w:kern w:val="0"/>
        <w:sz w:val="21"/>
        <w:szCs w:val="21"/>
        <w:highlight w:val="none"/>
      </w:rPr>
      <w:fldChar w:fldCharType="separate"/>
    </w:r>
    <w:r>
      <w:rPr>
        <w:kern w:val="0"/>
        <w:sz w:val="21"/>
        <w:szCs w:val="21"/>
        <w:highlight w:val="none"/>
      </w:rPr>
      <w:t>2</w:t>
    </w:r>
    <w:r>
      <w:rPr>
        <w:kern w:val="0"/>
        <w:sz w:val="21"/>
        <w:szCs w:val="21"/>
        <w:highlight w:val="none"/>
      </w:rPr>
      <w:fldChar w:fldCharType="end"/>
    </w:r>
    <w:r>
      <w:rPr>
        <w:kern w:val="0"/>
        <w:sz w:val="21"/>
        <w:szCs w:val="21"/>
        <w:highlight w:val="none"/>
      </w:rPr>
      <w:t>/</w:t>
    </w:r>
    <w:r>
      <w:rPr>
        <w:kern w:val="0"/>
        <w:sz w:val="21"/>
        <w:szCs w:val="21"/>
        <w:highlight w:val="none"/>
      </w:rPr>
      <w:fldChar w:fldCharType="begin"/>
    </w:r>
    <w:r>
      <w:rPr>
        <w:kern w:val="0"/>
        <w:sz w:val="21"/>
        <w:szCs w:val="21"/>
        <w:highlight w:val="none"/>
      </w:rPr>
      <w:instrText xml:space="preserve"> NUMPAGES </w:instrText>
    </w:r>
    <w:r>
      <w:rPr>
        <w:kern w:val="0"/>
        <w:sz w:val="21"/>
        <w:szCs w:val="21"/>
        <w:highlight w:val="none"/>
      </w:rPr>
      <w:fldChar w:fldCharType="separate"/>
    </w:r>
    <w:r>
      <w:rPr>
        <w:kern w:val="0"/>
        <w:sz w:val="21"/>
        <w:szCs w:val="21"/>
        <w:highlight w:val="none"/>
      </w:rPr>
      <w:t>2</w:t>
    </w:r>
    <w:r>
      <w:rPr>
        <w:kern w:val="0"/>
        <w:sz w:val="21"/>
        <w:szCs w:val="21"/>
        <w:highlight w:val="none"/>
      </w:rPr>
      <w:fldChar w:fldCharType="end"/>
    </w:r>
  </w:p>
  <w:p>
    <w:pPr>
      <w:pStyle w:val="9"/>
      <w:pBdr>
        <w:bottom w:val="none" w:color="auto" w:sz="0" w:space="1"/>
      </w:pBdr>
    </w:pPr>
    <w:r>
      <w:rPr>
        <w:rFonts w:hint="eastAsia" w:ascii="楷体_GB2312" w:hAnsi="楷体_GB2312" w:eastAsia="楷体_GB2312" w:cs="楷体_GB2312"/>
        <w:kern w:val="0"/>
        <w:sz w:val="24"/>
        <w:szCs w:val="24"/>
      </w:rPr>
      <w:t>管理体系一阶段审核计划（委任）书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F42F"/>
    <w:multiLevelType w:val="multilevel"/>
    <w:tmpl w:val="5A6AF42F"/>
    <w:lvl w:ilvl="0" w:tentative="0">
      <w:start w:val="1"/>
      <w:numFmt w:val="decimal"/>
      <w:lvlText w:val="%1、"/>
      <w:lvlJc w:val="left"/>
      <w:pPr>
        <w:tabs>
          <w:tab w:val="left" w:pos="0"/>
        </w:tabs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compressPunctuation"/>
  <w:compat>
    <w:spaceForUL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00D0A"/>
    <w:rsid w:val="0C854AD0"/>
    <w:rsid w:val="0D2B5611"/>
    <w:rsid w:val="0D5A1043"/>
    <w:rsid w:val="10167347"/>
    <w:rsid w:val="11425C64"/>
    <w:rsid w:val="12723F35"/>
    <w:rsid w:val="12A25454"/>
    <w:rsid w:val="130C32B9"/>
    <w:rsid w:val="13340E05"/>
    <w:rsid w:val="152362E6"/>
    <w:rsid w:val="163D5E7C"/>
    <w:rsid w:val="17664613"/>
    <w:rsid w:val="17D0241F"/>
    <w:rsid w:val="193703C6"/>
    <w:rsid w:val="1A5147E0"/>
    <w:rsid w:val="1A783472"/>
    <w:rsid w:val="1B4426BC"/>
    <w:rsid w:val="1B8C502B"/>
    <w:rsid w:val="21DF7817"/>
    <w:rsid w:val="2600567C"/>
    <w:rsid w:val="276353C1"/>
    <w:rsid w:val="2B841A22"/>
    <w:rsid w:val="2CD64D83"/>
    <w:rsid w:val="2D060A75"/>
    <w:rsid w:val="2D6E203D"/>
    <w:rsid w:val="2F044E05"/>
    <w:rsid w:val="300D73DA"/>
    <w:rsid w:val="38FF537C"/>
    <w:rsid w:val="3A81594E"/>
    <w:rsid w:val="3B5639CA"/>
    <w:rsid w:val="3BAE7D50"/>
    <w:rsid w:val="3BF3105C"/>
    <w:rsid w:val="3DDA6610"/>
    <w:rsid w:val="3FE23FC1"/>
    <w:rsid w:val="419A3316"/>
    <w:rsid w:val="42B210E3"/>
    <w:rsid w:val="44CB1E8B"/>
    <w:rsid w:val="4B0A5A05"/>
    <w:rsid w:val="4C9A09E6"/>
    <w:rsid w:val="4FC92729"/>
    <w:rsid w:val="50F8227E"/>
    <w:rsid w:val="535254CC"/>
    <w:rsid w:val="59F355D4"/>
    <w:rsid w:val="5A022CA7"/>
    <w:rsid w:val="5C9403D9"/>
    <w:rsid w:val="5EC24920"/>
    <w:rsid w:val="5F4608BE"/>
    <w:rsid w:val="5F914D76"/>
    <w:rsid w:val="604C1550"/>
    <w:rsid w:val="61A92285"/>
    <w:rsid w:val="62997412"/>
    <w:rsid w:val="63E86E43"/>
    <w:rsid w:val="683D3050"/>
    <w:rsid w:val="6A926354"/>
    <w:rsid w:val="6AC31CB3"/>
    <w:rsid w:val="6C535D3C"/>
    <w:rsid w:val="6C556B8B"/>
    <w:rsid w:val="6CCB03AE"/>
    <w:rsid w:val="73966DB1"/>
    <w:rsid w:val="7509314A"/>
    <w:rsid w:val="77E10B69"/>
    <w:rsid w:val="77F81F0E"/>
    <w:rsid w:val="78E764BB"/>
    <w:rsid w:val="79CA453F"/>
    <w:rsid w:val="7A6C54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99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1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3">
    <w:name w:val="Default Paragraph Font"/>
    <w:unhideWhenUsed/>
    <w:uiPriority w:val="99"/>
  </w:style>
  <w:style w:type="table" w:default="1" w:styleId="12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keepNext w:val="0"/>
      <w:keepLines w:val="0"/>
      <w:widowControl w:val="0"/>
      <w:suppressLineNumbers w:val="0"/>
      <w:snapToGrid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cs="Times New Roman"/>
      <w:kern w:val="2"/>
      <w:sz w:val="18"/>
      <w:szCs w:val="18"/>
      <w:lang w:val="en-US" w:eastAsia="zh-CN" w:bidi="ar"/>
    </w:rPr>
  </w:style>
  <w:style w:type="paragraph" w:styleId="9">
    <w:name w:val="header"/>
    <w:basedOn w:val="1"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snapToGrid w:val="0"/>
      <w:spacing w:before="0" w:beforeAutospacing="0" w:after="0" w:afterAutospacing="0"/>
      <w:ind w:left="0" w:right="0"/>
      <w:jc w:val="center"/>
    </w:pPr>
    <w:rPr>
      <w:rFonts w:hint="default" w:ascii="Times New Roman" w:hAnsi="Times New Roman" w:cs="Times New Roman"/>
      <w:kern w:val="2"/>
      <w:sz w:val="18"/>
      <w:szCs w:val="18"/>
      <w:lang w:val="en-US" w:eastAsia="zh-CN" w:bidi="ar"/>
    </w:rPr>
  </w:style>
  <w:style w:type="paragraph" w:styleId="1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widowControl/>
      <w:spacing w:before="100" w:beforeAutospacing="1" w:after="100" w:afterAutospacing="1"/>
      <w:ind w:left="0" w:right="0"/>
      <w:jc w:val="left"/>
    </w:pPr>
    <w:rPr>
      <w:rFonts w:ascii="宋体" w:hAnsi="宋体" w:cs="宋体"/>
      <w:kern w:val="0"/>
      <w:sz w:val="24"/>
      <w:szCs w:val="24"/>
      <w:lang w:val="en-US" w:eastAsia="zh-CN" w:bidi="ar"/>
    </w:rPr>
  </w:style>
  <w:style w:type="paragraph" w:customStyle="1" w:styleId="14">
    <w:name w:val="15"/>
    <w:basedOn w:val="1"/>
    <w:qFormat/>
    <w:uiPriority w:val="0"/>
    <w:pPr>
      <w:widowControl/>
      <w:jc w:val="left"/>
    </w:pPr>
    <w:rPr>
      <w:rFonts w:hint="default" w:ascii="Times New Roman" w:hAnsi="Times New Roman" w:cs="Times New Roman"/>
      <w:color w:val="0000FF"/>
      <w:kern w:val="0"/>
      <w:sz w:val="24"/>
      <w:szCs w:val="24"/>
      <w:u w:val="single"/>
      <w:lang w:val="en-US" w:eastAsia="zh-CN" w:bidi="ar"/>
    </w:rPr>
  </w:style>
  <w:style w:type="paragraph" w:customStyle="1" w:styleId="15">
    <w:name w:val="_Style 4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kern w:val="2"/>
      <w:sz w:val="21"/>
      <w:szCs w:val="21"/>
      <w:lang w:val="en-US" w:eastAsia="zh-CN" w:bidi="ar"/>
    </w:rPr>
  </w:style>
  <w:style w:type="paragraph" w:customStyle="1" w:styleId="16">
    <w:name w:val="18"/>
    <w:basedOn w:val="1"/>
    <w:uiPriority w:val="0"/>
    <w:pPr>
      <w:widowControl/>
      <w:jc w:val="left"/>
    </w:pPr>
    <w:rPr>
      <w:rFonts w:hint="default" w:ascii="Times New Roman" w:hAnsi="Times New Roman" w:cs="Times New Roman"/>
      <w:kern w:val="0"/>
      <w:sz w:val="18"/>
      <w:szCs w:val="18"/>
      <w:lang w:val="en-US" w:eastAsia="zh-CN" w:bidi="ar"/>
    </w:rPr>
  </w:style>
  <w:style w:type="paragraph" w:customStyle="1" w:styleId="17">
    <w:name w:val="10"/>
    <w:basedOn w:val="1"/>
    <w:uiPriority w:val="0"/>
    <w:pPr>
      <w:widowControl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8">
    <w:name w:val="17"/>
    <w:basedOn w:val="1"/>
    <w:uiPriority w:val="0"/>
    <w:pPr>
      <w:widowControl/>
      <w:jc w:val="left"/>
    </w:pPr>
    <w:rPr>
      <w:rFonts w:hint="default" w:ascii="Times New Roman" w:hAnsi="Times New Roman" w:cs="Times New Roman"/>
      <w:kern w:val="0"/>
      <w:sz w:val="18"/>
      <w:szCs w:val="18"/>
      <w:lang w:val="en-US" w:eastAsia="zh-CN" w:bidi="ar"/>
    </w:rPr>
  </w:style>
  <w:style w:type="paragraph" w:customStyle="1" w:styleId="19">
    <w:name w:val="16"/>
    <w:basedOn w:val="1"/>
    <w:uiPriority w:val="0"/>
    <w:pPr>
      <w:widowControl/>
      <w:jc w:val="left"/>
    </w:pPr>
    <w:rPr>
      <w:rFonts w:hint="default" w:ascii="Times New Roman" w:hAnsi="Times New Roman" w:cs="Times New Roman"/>
      <w:color w:val="800080"/>
      <w:kern w:val="0"/>
      <w:sz w:val="24"/>
      <w:szCs w:val="24"/>
      <w:u w:val="single"/>
      <w:lang w:val="en-US" w:eastAsia="zh-CN" w:bidi="ar"/>
    </w:rPr>
  </w:style>
  <w:style w:type="table" w:customStyle="1" w:styleId="20">
    <w:name w:val="_Style 41"/>
    <w:basedOn w:val="12"/>
    <w:uiPriority w:val="0"/>
    <w:pPr>
      <w:keepNext w:val="0"/>
      <w:keepLines w:val="0"/>
      <w:widowControl w:val="0"/>
      <w:suppressLineNumbers w:val="0"/>
      <w:jc w:val="both"/>
    </w:pPr>
    <w:rPr>
      <w:rFonts w:hint="default" w:ascii="Times New Roman" w:hAnsi="Times New Roman" w:cs="Times New Roman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2018-01-26T09:18:00Z</dcterms:created>
  <dc:creator>Administrator</dc:creator>
  <cp:lastModifiedBy>Administrator</cp:lastModifiedBy>
  <dcterms:modified xsi:type="dcterms:W3CDTF">2020-06-24T06:23:19Z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