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245F6" w14:textId="77777777" w:rsidR="001A333F" w:rsidRDefault="0021082B">
      <w:pPr>
        <w:tabs>
          <w:tab w:val="left" w:pos="709"/>
          <w:tab w:val="right" w:pos="8505"/>
        </w:tabs>
        <w:spacing w:line="480" w:lineRule="auto"/>
        <w:jc w:val="center"/>
      </w:pPr>
      <w:r>
        <w:rPr>
          <w:noProof/>
          <w:sz w:val="24"/>
          <w:szCs w:val="24"/>
        </w:rPr>
        <w:drawing>
          <wp:inline distT="0" distB="0" distL="0" distR="0" wp14:anchorId="5609D019" wp14:editId="518121E1">
            <wp:extent cx="2348863" cy="14680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48863" cy="1468039"/>
                    </a:xfrm>
                    <a:prstGeom prst="rect">
                      <a:avLst/>
                    </a:prstGeom>
                    <a:ln/>
                  </pic:spPr>
                </pic:pic>
              </a:graphicData>
            </a:graphic>
          </wp:inline>
        </w:drawing>
      </w:r>
    </w:p>
    <w:p w14:paraId="5822C907" w14:textId="77777777" w:rsidR="001A333F" w:rsidRDefault="001A333F">
      <w:pPr>
        <w:spacing w:before="80" w:after="80"/>
      </w:pPr>
    </w:p>
    <w:p w14:paraId="49870981" w14:textId="77777777" w:rsidR="001A333F" w:rsidRDefault="001A333F">
      <w:pPr>
        <w:spacing w:before="120" w:after="120"/>
        <w:jc w:val="center"/>
      </w:pPr>
    </w:p>
    <w:p w14:paraId="5C846C48" w14:textId="77777777" w:rsidR="001A333F" w:rsidRDefault="0021082B">
      <w:pPr>
        <w:spacing w:before="120" w:after="120"/>
        <w:jc w:val="center"/>
      </w:pPr>
      <w:r>
        <w:rPr>
          <w:b/>
          <w:bCs/>
        </w:rPr>
        <w:t>Escuela de Tecnologías de la Información</w:t>
      </w:r>
    </w:p>
    <w:p w14:paraId="5F3AFEDD" w14:textId="77777777" w:rsidR="001A333F" w:rsidRDefault="001A333F">
      <w:pPr>
        <w:spacing w:before="80" w:after="80"/>
      </w:pPr>
    </w:p>
    <w:p w14:paraId="75505606" w14:textId="77777777" w:rsidR="001A333F" w:rsidRDefault="0021082B">
      <w:pPr>
        <w:spacing w:before="120" w:after="120"/>
        <w:jc w:val="center"/>
      </w:pPr>
      <w:r>
        <w:rPr>
          <w:b/>
          <w:bCs/>
          <w:sz w:val="24"/>
          <w:szCs w:val="24"/>
        </w:rPr>
        <w:t>DESARROLLO DE SERVICIOS WEB II</w:t>
      </w:r>
    </w:p>
    <w:p w14:paraId="26011A0B" w14:textId="77777777" w:rsidR="001A333F" w:rsidRDefault="0021082B">
      <w:pPr>
        <w:spacing w:before="120" w:after="120"/>
        <w:jc w:val="center"/>
      </w:pPr>
      <w:r>
        <w:rPr>
          <w:b/>
          <w:bCs/>
          <w:sz w:val="24"/>
          <w:szCs w:val="24"/>
        </w:rPr>
        <w:t>(DSW2)</w:t>
      </w:r>
    </w:p>
    <w:p w14:paraId="1350E733" w14:textId="77777777" w:rsidR="001A333F" w:rsidRDefault="001A333F">
      <w:pPr>
        <w:spacing w:before="80" w:after="80"/>
      </w:pPr>
    </w:p>
    <w:p w14:paraId="21C242C8" w14:textId="77777777" w:rsidR="001A333F" w:rsidRDefault="0021082B">
      <w:pPr>
        <w:spacing w:before="120" w:after="120"/>
        <w:jc w:val="center"/>
      </w:pPr>
      <w:r>
        <w:rPr>
          <w:b/>
          <w:bCs/>
          <w:sz w:val="32"/>
          <w:szCs w:val="32"/>
        </w:rPr>
        <w:t>KRYPTON E-COMMERCE</w:t>
      </w:r>
    </w:p>
    <w:p w14:paraId="3488AF6D" w14:textId="77777777" w:rsidR="001A333F" w:rsidRDefault="0021082B">
      <w:pPr>
        <w:spacing w:before="120" w:after="120"/>
        <w:jc w:val="center"/>
      </w:pPr>
      <w:r>
        <w:rPr>
          <w:i/>
          <w:iCs/>
          <w:sz w:val="24"/>
          <w:szCs w:val="24"/>
        </w:rPr>
        <w:t>Informe del Proyecto – Arquitectura de Microservicios y Servicios Web (REST y SOAP)</w:t>
      </w:r>
    </w:p>
    <w:p w14:paraId="7ABEA7FC" w14:textId="77777777" w:rsidR="001A333F" w:rsidRDefault="001A333F">
      <w:pPr>
        <w:spacing w:before="80" w:after="80"/>
      </w:pPr>
    </w:p>
    <w:p w14:paraId="7F3F6202" w14:textId="77777777" w:rsidR="001A333F" w:rsidRDefault="0021082B">
      <w:pPr>
        <w:spacing w:before="120" w:after="120"/>
        <w:jc w:val="center"/>
      </w:pPr>
      <w:r>
        <w:t>Proyecto: Plataforma de comercio electrónico con arquitectura de microservicios y servicios web (REST y SOAP)</w:t>
      </w:r>
      <w:r/>
    </w:p>
    <w:p w14:paraId="3D9FE37C" w14:textId="77777777" w:rsidR="001A333F" w:rsidRDefault="001A333F">
      <w:pPr>
        <w:spacing w:before="80" w:after="80"/>
      </w:pPr>
    </w:p>
    <w:p w14:paraId="39E6D028" w14:textId="1EFE7A1E" w:rsidR="001A333F" w:rsidRDefault="0021082B">
      <w:pPr>
        <w:spacing w:before="80" w:after="80"/>
        <w:jc w:val="center"/>
        <w:rPr>
          <w:b/>
          <w:bCs/>
        </w:rPr>
      </w:pPr>
      <w:r>
        <w:rPr>
          <w:b/>
          <w:bCs/>
        </w:rPr>
        <w:t>ESCOBEDO MURGA EDWARD ALEXANDER</w:t>
      </w:r>
      <w:r w:rsidR="00DE2F3D">
        <w:rPr>
          <w:b/>
          <w:bCs/>
        </w:rPr>
        <w:t xml:space="preserve"> – i201917851</w:t>
      </w:r>
    </w:p>
    <w:p w14:paraId="66CC6CA4" w14:textId="02B3FCBB" w:rsidR="001A333F" w:rsidRDefault="0021082B">
      <w:pPr>
        <w:spacing w:before="80" w:after="80"/>
        <w:jc w:val="center"/>
      </w:pPr>
      <w:r>
        <w:rPr>
          <w:b/>
          <w:bCs/>
        </w:rPr>
        <w:t xml:space="preserve">MUÑOZ SEGURA BILLY </w:t>
      </w:r>
      <w:r w:rsidR="00DE2F3D">
        <w:rPr>
          <w:b/>
          <w:bCs/>
        </w:rPr>
        <w:t>– i201621757</w:t>
      </w:r>
    </w:p>
    <w:p w14:paraId="4B70AED0" w14:textId="351E45D7" w:rsidR="001A333F" w:rsidRDefault="0021082B">
      <w:pPr>
        <w:spacing w:before="80" w:after="80"/>
        <w:jc w:val="center"/>
      </w:pPr>
      <w:r>
        <w:rPr>
          <w:b/>
          <w:bCs/>
        </w:rPr>
        <w:t>CURI DE LA PEÑA LUIS JOEL</w:t>
      </w:r>
      <w:r w:rsidR="00DE2F3D">
        <w:rPr>
          <w:b/>
          <w:bCs/>
        </w:rPr>
        <w:t xml:space="preserve"> – i202417794</w:t>
      </w:r>
    </w:p>
    <w:p w14:paraId="3CEF363B" w14:textId="1624085E" w:rsidR="001A333F" w:rsidRDefault="0021082B">
      <w:pPr>
        <w:spacing w:before="80" w:after="80"/>
        <w:jc w:val="center"/>
        <w:rPr>
          <w:b/>
          <w:bCs/>
        </w:rPr>
      </w:pPr>
      <w:r>
        <w:rPr>
          <w:b/>
          <w:bCs/>
        </w:rPr>
        <w:t>VELASCO MORETO NAOMI SARAHÍ</w:t>
      </w:r>
      <w:r w:rsidR="00DE2F3D">
        <w:rPr>
          <w:b/>
          <w:bCs/>
        </w:rPr>
        <w:t xml:space="preserve"> – i202413408</w:t>
      </w:r>
    </w:p>
    <w:p w14:paraId="40005903" w14:textId="64915A25" w:rsidR="001A333F" w:rsidRDefault="0021082B">
      <w:pPr>
        <w:spacing w:before="80" w:after="80"/>
        <w:jc w:val="center"/>
        <w:rPr>
          <w:b/>
          <w:bCs/>
        </w:rPr>
      </w:pPr>
      <w:r>
        <w:rPr>
          <w:b/>
          <w:bCs/>
        </w:rPr>
        <w:t>DAVILA DELGADO JASON ARTHURO</w:t>
      </w:r>
      <w:r w:rsidR="00DE2F3D">
        <w:rPr>
          <w:b/>
          <w:bCs/>
        </w:rPr>
        <w:t xml:space="preserve"> – i202415540</w:t>
      </w:r>
    </w:p>
    <w:p w14:paraId="6863B149" w14:textId="77777777" w:rsidR="001A333F" w:rsidRDefault="001A333F">
      <w:pPr>
        <w:spacing w:before="80" w:after="80"/>
        <w:jc w:val="center"/>
        <w:rPr>
          <w:b/>
          <w:bCs/>
        </w:rPr>
      </w:pPr>
    </w:p>
    <w:p w14:paraId="53953E9F" w14:textId="77777777" w:rsidR="001A333F" w:rsidRDefault="001A333F">
      <w:pPr>
        <w:spacing w:before="80" w:after="80"/>
        <w:jc w:val="center"/>
        <w:rPr>
          <w:b/>
          <w:bCs/>
        </w:rPr>
      </w:pPr>
    </w:p>
    <w:p w14:paraId="1F903254" w14:textId="77777777" w:rsidR="001A333F" w:rsidRDefault="001A333F">
      <w:pPr>
        <w:spacing w:before="80" w:after="80"/>
        <w:jc w:val="center"/>
      </w:pPr>
    </w:p>
    <w:p w14:paraId="79E78ED0" w14:textId="77777777" w:rsidR="001A333F" w:rsidRDefault="001A333F">
      <w:pPr>
        <w:spacing w:before="80" w:after="80"/>
      </w:pPr>
    </w:p>
    <w:p w14:paraId="435EBAA6" w14:textId="77777777" w:rsidR="001A333F" w:rsidRDefault="0021082B">
      <w:pPr>
        <w:spacing w:before="80" w:after="80"/>
        <w:jc w:val="center"/>
      </w:pPr>
      <w:r>
        <w:t>DOCENTE: [DOCENTE DSW2]</w:t>
      </w:r>
    </w:p>
    <w:p w14:paraId="242B3A2A" w14:textId="77777777" w:rsidR="001A333F" w:rsidRDefault="001A333F">
      <w:pPr>
        <w:spacing w:before="80" w:after="80"/>
        <w:jc w:val="center"/>
      </w:pPr>
    </w:p>
    <w:p w14:paraId="29631827" w14:textId="77777777" w:rsidR="001A333F" w:rsidRDefault="001A333F">
      <w:pPr>
        <w:spacing w:before="80" w:after="80"/>
        <w:jc w:val="center"/>
      </w:pPr>
    </w:p>
    <w:p w14:paraId="59A2612A" w14:textId="77777777" w:rsidR="001A333F" w:rsidRDefault="001A333F">
      <w:pPr>
        <w:spacing w:before="80" w:after="80"/>
      </w:pPr>
    </w:p>
    <w:p w14:paraId="45766FA9" w14:textId="77777777" w:rsidR="001A333F" w:rsidRDefault="0021082B">
      <w:pPr>
        <w:spacing w:before="120" w:after="60"/>
        <w:jc w:val="center"/>
      </w:pPr>
      <w:r>
        <w:t>Lima, junio de 2026</w:t>
      </w:r>
    </w:p>
    <w:p w14:paraId="6BA67358" w14:textId="77777777" w:rsidR="001A333F" w:rsidRDefault="0021082B">
      <w:r>
        <w:br w:type="page"/>
      </w:r>
    </w:p>
    <w:p w14:paraId="6BA3E5B6" w14:textId="77777777" w:rsidR="001A333F" w:rsidRDefault="0021082B">
      <w:pPr>
        <w:spacing w:before="120" w:after="120"/>
        <w:jc w:val="center"/>
      </w:pPr>
      <w:r>
        <w:rPr>
          <w:b/>
          <w:bCs/>
          <w:sz w:val="26"/>
          <w:szCs w:val="26"/>
        </w:rPr>
        <w:lastRenderedPageBreak/>
        <w:t>ÍNDICE</w:t>
      </w:r>
    </w:p>
    <w:p w14:paraId="09B062F1" w14:textId="77777777" w:rsidR="001A333F" w:rsidRDefault="001A333F">
      <w:pPr>
        <w:spacing w:before="80" w:after="80"/>
      </w:pPr>
    </w:p>
    <w:p w14:paraId="4ED079B6" w14:textId="0E5B2EA9" w:rsidR="001A333F" w:rsidRDefault="0021082B">
      <w:pPr>
        <w:tabs>
          <w:tab w:val="right" w:pos="8640"/>
        </w:tabs>
        <w:spacing w:before="80" w:after="80"/>
      </w:pPr>
      <w:r>
        <w:rPr>
          <w:sz w:val="20"/>
          <w:szCs w:val="20"/>
        </w:rPr>
        <w:t>INTRODUCCIÓN</w:t>
      </w:r>
      <w:r>
        <w:rPr>
          <w:sz w:val="20"/>
          <w:szCs w:val="20"/>
        </w:rPr>
        <w:tab/>
      </w:r>
      <w:r w:rsidR="00715570">
        <w:rPr>
          <w:sz w:val="20"/>
          <w:szCs w:val="20"/>
        </w:rPr>
        <w:t>4</w:t>
      </w:r>
    </w:p>
    <w:p w14:paraId="2EDA23DE" w14:textId="065B3E15" w:rsidR="001A333F" w:rsidRDefault="0021082B">
      <w:pPr>
        <w:tabs>
          <w:tab w:val="right" w:pos="8640"/>
        </w:tabs>
        <w:spacing w:before="80" w:after="80"/>
      </w:pPr>
      <w:r>
        <w:rPr>
          <w:sz w:val="20"/>
          <w:szCs w:val="20"/>
        </w:rPr>
        <w:t>CAPÍTULO 1: DIAGNÓSTICO</w:t>
      </w:r>
      <w:r>
        <w:rPr>
          <w:sz w:val="20"/>
          <w:szCs w:val="20"/>
        </w:rPr>
        <w:t xml:space="preserve"> DEL PROBLEMA</w:t>
      </w:r>
      <w:r>
        <w:rPr>
          <w:sz w:val="20"/>
          <w:szCs w:val="20"/>
        </w:rPr>
        <w:tab/>
      </w:r>
      <w:r w:rsidR="00715570">
        <w:rPr>
          <w:sz w:val="20"/>
          <w:szCs w:val="20"/>
        </w:rPr>
        <w:t>6</w:t>
      </w:r>
    </w:p>
    <w:p w14:paraId="019ED2F2" w14:textId="677AD495" w:rsidR="001A333F" w:rsidRDefault="0021082B">
      <w:pPr>
        <w:tabs>
          <w:tab w:val="right" w:pos="8640"/>
        </w:tabs>
        <w:spacing w:before="80" w:after="80"/>
      </w:pPr>
      <w:r>
        <w:rPr>
          <w:sz w:val="20"/>
          <w:szCs w:val="20"/>
        </w:rPr>
        <w:t xml:space="preserve">  1.1.- Diagnóstico situacional</w:t>
      </w:r>
      <w:r>
        <w:rPr>
          <w:sz w:val="20"/>
          <w:szCs w:val="20"/>
        </w:rPr>
        <w:tab/>
      </w:r>
      <w:r w:rsidR="00715570">
        <w:rPr>
          <w:sz w:val="20"/>
          <w:szCs w:val="20"/>
        </w:rPr>
        <w:t>6</w:t>
      </w:r>
    </w:p>
    <w:p w14:paraId="450F327B" w14:textId="4A3CC186" w:rsidR="001A333F" w:rsidRDefault="0021082B">
      <w:pPr>
        <w:tabs>
          <w:tab w:val="right" w:pos="8640"/>
        </w:tabs>
        <w:spacing w:before="80" w:after="80"/>
      </w:pPr>
      <w:r>
        <w:rPr>
          <w:sz w:val="20"/>
          <w:szCs w:val="20"/>
        </w:rPr>
        <w:t xml:space="preserve">  1.2.- Adversidades potenciales reportadas</w:t>
      </w:r>
      <w:r>
        <w:rPr>
          <w:sz w:val="20"/>
          <w:szCs w:val="20"/>
        </w:rPr>
        <w:tab/>
      </w:r>
      <w:r w:rsidR="00715570">
        <w:rPr>
          <w:sz w:val="20"/>
          <w:szCs w:val="20"/>
        </w:rPr>
        <w:t>6</w:t>
      </w:r>
    </w:p>
    <w:p w14:paraId="731064BC" w14:textId="7C794089" w:rsidR="001A333F" w:rsidRDefault="0021082B">
      <w:pPr>
        <w:tabs>
          <w:tab w:val="right" w:pos="8640"/>
        </w:tabs>
        <w:spacing w:before="80" w:after="80"/>
      </w:pPr>
      <w:r>
        <w:rPr>
          <w:sz w:val="20"/>
          <w:szCs w:val="20"/>
        </w:rPr>
        <w:t xml:space="preserve">  1.3.- Análisis SEPTE</w:t>
      </w:r>
      <w:r>
        <w:rPr>
          <w:sz w:val="20"/>
          <w:szCs w:val="20"/>
        </w:rPr>
        <w:tab/>
      </w:r>
      <w:r w:rsidR="00715570">
        <w:rPr>
          <w:sz w:val="20"/>
          <w:szCs w:val="20"/>
        </w:rPr>
        <w:t>7</w:t>
      </w:r>
    </w:p>
    <w:p w14:paraId="56F5739C" w14:textId="47C200B9" w:rsidR="001A333F" w:rsidRDefault="0021082B">
      <w:pPr>
        <w:pBdr>
          <w:top w:val="nil"/>
          <w:left w:val="nil"/>
          <w:bottom w:val="nil"/>
          <w:right w:val="nil"/>
          <w:between w:val="nil"/>
        </w:pBdr>
        <w:tabs>
          <w:tab w:val="right" w:pos="8640"/>
        </w:tabs>
        <w:spacing w:before="80" w:after="80"/>
        <w:rPr>
          <w:sz w:val="20"/>
          <w:szCs w:val="20"/>
        </w:rPr>
      </w:pPr>
      <w:r>
        <w:rPr>
          <w:sz w:val="20"/>
          <w:szCs w:val="20"/>
        </w:rPr>
        <w:t>CAPÍTULO 2. DESCRIPCIÓN DEL PROYECTO</w:t>
      </w:r>
      <w:r>
        <w:rPr>
          <w:sz w:val="20"/>
          <w:szCs w:val="20"/>
        </w:rPr>
        <w:tab/>
      </w:r>
      <w:r w:rsidR="00715570">
        <w:rPr>
          <w:sz w:val="20"/>
          <w:szCs w:val="20"/>
        </w:rPr>
        <w:t>10</w:t>
      </w:r>
    </w:p>
    <w:p w14:paraId="2161167E" w14:textId="5AB0E6C2" w:rsidR="001A333F" w:rsidRDefault="0021082B">
      <w:pPr>
        <w:pBdr>
          <w:top w:val="nil"/>
          <w:left w:val="nil"/>
          <w:bottom w:val="nil"/>
          <w:right w:val="nil"/>
          <w:between w:val="nil"/>
        </w:pBdr>
        <w:tabs>
          <w:tab w:val="right" w:pos="8640"/>
        </w:tabs>
        <w:spacing w:before="80" w:after="80"/>
        <w:rPr>
          <w:sz w:val="20"/>
          <w:szCs w:val="20"/>
        </w:rPr>
      </w:pPr>
      <w:r>
        <w:rPr>
          <w:sz w:val="20"/>
          <w:szCs w:val="20"/>
        </w:rPr>
        <w:t xml:space="preserve">  2.1. Objetivos</w:t>
      </w:r>
      <w:r>
        <w:rPr>
          <w:sz w:val="20"/>
          <w:szCs w:val="20"/>
        </w:rPr>
        <w:tab/>
      </w:r>
      <w:r w:rsidR="00715570">
        <w:rPr>
          <w:sz w:val="20"/>
          <w:szCs w:val="20"/>
        </w:rPr>
        <w:t>10</w:t>
      </w:r>
    </w:p>
    <w:p w14:paraId="24A8AC0D" w14:textId="1ABAEADA" w:rsidR="001A333F" w:rsidRDefault="0021082B">
      <w:pPr>
        <w:pBdr>
          <w:top w:val="nil"/>
          <w:left w:val="nil"/>
          <w:bottom w:val="nil"/>
          <w:right w:val="nil"/>
          <w:between w:val="nil"/>
        </w:pBdr>
        <w:tabs>
          <w:tab w:val="right" w:pos="8640"/>
        </w:tabs>
        <w:spacing w:before="80" w:after="80"/>
        <w:rPr>
          <w:sz w:val="20"/>
          <w:szCs w:val="20"/>
        </w:rPr>
      </w:pPr>
      <w:r>
        <w:rPr>
          <w:sz w:val="20"/>
          <w:szCs w:val="20"/>
        </w:rPr>
        <w:t xml:space="preserve">  2.2. Definición y alcance</w:t>
      </w:r>
      <w:r>
        <w:rPr>
          <w:sz w:val="20"/>
          <w:szCs w:val="20"/>
        </w:rPr>
        <w:tab/>
      </w:r>
      <w:r w:rsidR="00C9234E">
        <w:rPr>
          <w:sz w:val="20"/>
          <w:szCs w:val="20"/>
        </w:rPr>
        <w:t>1</w:t>
      </w:r>
      <w:r w:rsidR="00715570">
        <w:rPr>
          <w:sz w:val="20"/>
          <w:szCs w:val="20"/>
        </w:rPr>
        <w:t>1</w:t>
      </w:r>
    </w:p>
    <w:p w14:paraId="75DD451D" w14:textId="48B1D14D" w:rsidR="001A333F" w:rsidRDefault="0021082B">
      <w:pPr>
        <w:pBdr>
          <w:top w:val="nil"/>
          <w:left w:val="nil"/>
          <w:bottom w:val="nil"/>
          <w:right w:val="nil"/>
          <w:between w:val="nil"/>
        </w:pBdr>
        <w:tabs>
          <w:tab w:val="right" w:pos="8640"/>
        </w:tabs>
        <w:spacing w:before="80" w:after="80"/>
        <w:rPr>
          <w:sz w:val="20"/>
          <w:szCs w:val="20"/>
        </w:rPr>
      </w:pPr>
      <w:r>
        <w:rPr>
          <w:sz w:val="20"/>
          <w:szCs w:val="20"/>
        </w:rPr>
        <w:t>CAPÍTULO 3. PLANIFICACIÓN Y ENTREGABLES</w:t>
      </w:r>
      <w:r>
        <w:rPr>
          <w:sz w:val="20"/>
          <w:szCs w:val="20"/>
        </w:rPr>
        <w:tab/>
      </w:r>
      <w:r w:rsidR="00C9234E">
        <w:rPr>
          <w:sz w:val="20"/>
          <w:szCs w:val="20"/>
        </w:rPr>
        <w:t>1</w:t>
      </w:r>
      <w:r w:rsidR="00715570">
        <w:rPr>
          <w:sz w:val="20"/>
          <w:szCs w:val="20"/>
        </w:rPr>
        <w:t>1</w:t>
      </w:r>
    </w:p>
    <w:p w14:paraId="44B153EF" w14:textId="5D5619B4" w:rsidR="001A333F" w:rsidRDefault="0021082B">
      <w:pPr>
        <w:pBdr>
          <w:top w:val="nil"/>
          <w:left w:val="nil"/>
          <w:bottom w:val="nil"/>
          <w:right w:val="nil"/>
          <w:between w:val="nil"/>
        </w:pBdr>
        <w:tabs>
          <w:tab w:val="right" w:pos="8640"/>
        </w:tabs>
        <w:spacing w:before="80" w:after="80"/>
        <w:rPr>
          <w:sz w:val="20"/>
          <w:szCs w:val="20"/>
        </w:rPr>
      </w:pPr>
      <w:r>
        <w:rPr>
          <w:sz w:val="20"/>
          <w:szCs w:val="20"/>
        </w:rPr>
        <w:t xml:space="preserve"> </w:t>
      </w:r>
      <w:r>
        <w:rPr>
          <w:sz w:val="20"/>
          <w:szCs w:val="20"/>
        </w:rPr>
        <w:t xml:space="preserve"> 3.1. Productos y entregables</w:t>
      </w:r>
      <w:r>
        <w:rPr>
          <w:sz w:val="20"/>
          <w:szCs w:val="20"/>
        </w:rPr>
        <w:tab/>
      </w:r>
      <w:r w:rsidR="00C9234E">
        <w:rPr>
          <w:sz w:val="20"/>
          <w:szCs w:val="20"/>
        </w:rPr>
        <w:t>1</w:t>
      </w:r>
      <w:r w:rsidR="00715570">
        <w:rPr>
          <w:sz w:val="20"/>
          <w:szCs w:val="20"/>
        </w:rPr>
        <w:t>1</w:t>
      </w:r>
    </w:p>
    <w:p w14:paraId="61EDCEF7" w14:textId="601BFC70" w:rsidR="001A333F" w:rsidRDefault="0021082B">
      <w:pPr>
        <w:pBdr>
          <w:top w:val="nil"/>
          <w:left w:val="nil"/>
          <w:bottom w:val="nil"/>
          <w:right w:val="nil"/>
          <w:between w:val="nil"/>
        </w:pBdr>
        <w:tabs>
          <w:tab w:val="right" w:pos="8640"/>
        </w:tabs>
        <w:spacing w:before="80" w:after="80"/>
        <w:rPr>
          <w:sz w:val="20"/>
          <w:szCs w:val="20"/>
        </w:rPr>
      </w:pPr>
      <w:r>
        <w:rPr>
          <w:sz w:val="20"/>
          <w:szCs w:val="20"/>
        </w:rPr>
        <w:t>CONCLUSIONES</w:t>
      </w:r>
      <w:r>
        <w:rPr>
          <w:sz w:val="20"/>
          <w:szCs w:val="20"/>
        </w:rPr>
        <w:tab/>
      </w:r>
      <w:r w:rsidR="00C9234E">
        <w:rPr>
          <w:sz w:val="20"/>
          <w:szCs w:val="20"/>
        </w:rPr>
        <w:t>1</w:t>
      </w:r>
      <w:r w:rsidR="00715570">
        <w:rPr>
          <w:sz w:val="20"/>
          <w:szCs w:val="20"/>
        </w:rPr>
        <w:t>3</w:t>
      </w:r>
    </w:p>
    <w:p w14:paraId="7B29BD15" w14:textId="0128FDDC" w:rsidR="001A333F" w:rsidRDefault="0021082B">
      <w:pPr>
        <w:pBdr>
          <w:top w:val="nil"/>
          <w:left w:val="nil"/>
          <w:bottom w:val="nil"/>
          <w:right w:val="nil"/>
          <w:between w:val="nil"/>
        </w:pBdr>
        <w:tabs>
          <w:tab w:val="right" w:pos="8640"/>
        </w:tabs>
        <w:spacing w:before="80" w:after="80"/>
        <w:rPr>
          <w:sz w:val="20"/>
          <w:szCs w:val="20"/>
        </w:rPr>
      </w:pPr>
      <w:r>
        <w:rPr>
          <w:sz w:val="20"/>
          <w:szCs w:val="20"/>
        </w:rPr>
        <w:t>RECOMENDACIONES</w:t>
      </w:r>
      <w:r>
        <w:rPr>
          <w:sz w:val="20"/>
          <w:szCs w:val="20"/>
        </w:rPr>
        <w:tab/>
      </w:r>
      <w:r w:rsidR="00C9234E">
        <w:rPr>
          <w:sz w:val="20"/>
          <w:szCs w:val="20"/>
        </w:rPr>
        <w:t>1</w:t>
      </w:r>
      <w:r w:rsidR="00715570">
        <w:rPr>
          <w:sz w:val="20"/>
          <w:szCs w:val="20"/>
        </w:rPr>
        <w:t>3</w:t>
      </w:r>
    </w:p>
    <w:p w14:paraId="0B47C94A" w14:textId="3331E607" w:rsidR="001A333F" w:rsidRDefault="0021082B">
      <w:pPr>
        <w:pBdr>
          <w:top w:val="nil"/>
          <w:left w:val="nil"/>
          <w:bottom w:val="nil"/>
          <w:right w:val="nil"/>
          <w:between w:val="nil"/>
        </w:pBdr>
        <w:tabs>
          <w:tab w:val="right" w:pos="8640"/>
        </w:tabs>
        <w:spacing w:before="80" w:after="80"/>
        <w:rPr>
          <w:sz w:val="20"/>
          <w:szCs w:val="20"/>
        </w:rPr>
      </w:pPr>
      <w:r>
        <w:rPr>
          <w:sz w:val="20"/>
          <w:szCs w:val="20"/>
        </w:rPr>
        <w:t>GLOSARIO</w:t>
      </w:r>
      <w:r>
        <w:rPr>
          <w:sz w:val="20"/>
          <w:szCs w:val="20"/>
        </w:rPr>
        <w:tab/>
      </w:r>
      <w:r w:rsidR="00C9234E">
        <w:rPr>
          <w:sz w:val="20"/>
          <w:szCs w:val="20"/>
        </w:rPr>
        <w:t>1</w:t>
      </w:r>
      <w:r w:rsidR="00715570">
        <w:rPr>
          <w:sz w:val="20"/>
          <w:szCs w:val="20"/>
        </w:rPr>
        <w:t>4</w:t>
      </w:r>
    </w:p>
    <w:p>
      <w:pPr/>
      <w:r>
        <w:t>SOAP (Simple Object Access Protocol): Protocolo de servicios web basado en mensajes XML y definido por un contrato (WSDL/XSD); en este proyecto expone la gestión de categorías.</w:t>
      </w:r>
    </w:p>
    <w:p>
      <w:pPr/>
      <w:r>
        <w:t>WSDL / XSD: Documentos XML que describen el contrato de un servicio SOAP (operaciones y tipos de datos). El enfoque contract-first parte del XSD para generar el código del servicio y del cliente.</w:t>
      </w:r>
    </w:p>
    <w:p>
      <w:pPr/>
      <w:r>
        <w:t>API Gateway: Componente que actúa como única puerta de entrada al sistema y enruta cada petición del cliente hacia el microservicio correspondiente.</w:t>
      </w:r>
    </w:p>
    <w:p>
      <w:pPr/>
      <w:r>
        <w:t>Eureka: Servidor de descubrimiento de servicios que permite a los microservicios registrarse y localizarse entre sí de forma dinámica.</w:t>
      </w:r>
    </w:p>
    <w:p>
      <w:pPr/>
      <w:r>
        <w:t>Circuit breaker (cortacircuitos): Patrón de resiliencia que, ante fallas repetidas de un servicio, 'abre el circuito' y responde de inmediato con un fallback, evitando que la falla se propague (degradación elegante).</w:t>
      </w:r>
    </w:p>
    <w:p>
      <w:pPr/>
      <w:r>
        <w:t>Docker Compose: Herramienta para definir y orquestar múltiples contenedores; permite levantar todo el ecosistema de microservicios con un único comando.</w:t>
      </w:r>
    </w:p>
    <w:p w14:paraId="5C01DCB2" w14:textId="20F5E479" w:rsidR="001A333F" w:rsidRDefault="0021082B">
      <w:pPr>
        <w:pBdr>
          <w:top w:val="nil"/>
          <w:left w:val="nil"/>
          <w:bottom w:val="nil"/>
          <w:right w:val="nil"/>
          <w:between w:val="nil"/>
        </w:pBdr>
        <w:tabs>
          <w:tab w:val="right" w:pos="8640"/>
        </w:tabs>
        <w:spacing w:before="80" w:after="80"/>
        <w:rPr>
          <w:sz w:val="20"/>
          <w:szCs w:val="20"/>
        </w:rPr>
      </w:pPr>
      <w:r>
        <w:rPr>
          <w:sz w:val="20"/>
          <w:szCs w:val="20"/>
        </w:rPr>
        <w:t>BIBLIOGRAFÍA</w:t>
      </w:r>
      <w:r>
        <w:rPr>
          <w:sz w:val="20"/>
          <w:szCs w:val="20"/>
        </w:rPr>
        <w:tab/>
      </w:r>
      <w:r w:rsidR="00C9234E">
        <w:rPr>
          <w:sz w:val="20"/>
          <w:szCs w:val="20"/>
        </w:rPr>
        <w:t>1</w:t>
      </w:r>
      <w:r w:rsidR="00715570">
        <w:rPr>
          <w:sz w:val="20"/>
          <w:szCs w:val="20"/>
        </w:rPr>
        <w:t>4</w:t>
      </w:r>
    </w:p>
    <w:p w14:paraId="4E7C7713" w14:textId="0FF541B1" w:rsidR="001A333F" w:rsidRDefault="0021082B">
      <w:pPr>
        <w:pBdr>
          <w:top w:val="nil"/>
          <w:left w:val="nil"/>
          <w:bottom w:val="nil"/>
          <w:right w:val="nil"/>
          <w:between w:val="nil"/>
        </w:pBdr>
        <w:tabs>
          <w:tab w:val="right" w:pos="8640"/>
        </w:tabs>
        <w:spacing w:before="80" w:after="80"/>
      </w:pPr>
      <w:r>
        <w:rPr>
          <w:sz w:val="20"/>
          <w:szCs w:val="20"/>
        </w:rPr>
        <w:t>ANEXOS</w:t>
      </w:r>
      <w:r>
        <w:tab/>
      </w:r>
      <w:r w:rsidR="00C9234E">
        <w:t>1</w:t>
      </w:r>
      <w:r w:rsidR="00715570">
        <w:t>5</w:t>
      </w:r>
    </w:p>
    <w:p w14:paraId="44219EF3" w14:textId="58DBB7C1" w:rsidR="00715570" w:rsidRDefault="0021082B">
      <w:r>
        <w:br w:type="page"/>
      </w:r>
    </w:p>
    <w:p w14:paraId="4A2A0E86" w14:textId="4DED88EA" w:rsidR="00715570" w:rsidRDefault="00715570" w:rsidP="00715570">
      <w:pPr>
        <w:rPr>
          <w:b/>
          <w:bCs/>
        </w:rPr>
      </w:pPr>
      <w:r w:rsidRPr="00715570">
        <w:rPr>
          <w:b/>
          <w:bCs/>
        </w:rPr>
        <w:lastRenderedPageBreak/>
        <w:t>ÍNDICE DE TABLAS</w:t>
      </w:r>
    </w:p>
    <w:p w14:paraId="1F7806A4" w14:textId="77777777" w:rsidR="00715570" w:rsidRPr="00715570" w:rsidRDefault="00715570" w:rsidP="0071557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854"/>
        <w:gridCol w:w="2631"/>
      </w:tblGrid>
      <w:tr w:rsidR="00715570" w:rsidRPr="00715570" w14:paraId="3A0AFB0C" w14:textId="77777777">
        <w:trPr>
          <w:tblHeader/>
          <w:tblCellSpacing w:w="15" w:type="dxa"/>
        </w:trPr>
        <w:tc>
          <w:tcPr>
            <w:tcW w:w="0" w:type="auto"/>
            <w:vAlign w:val="center"/>
            <w:hideMark/>
          </w:tcPr>
          <w:p w14:paraId="4A7C10A8" w14:textId="77777777" w:rsidR="00715570" w:rsidRPr="00715570" w:rsidRDefault="00715570" w:rsidP="00715570">
            <w:pPr>
              <w:rPr>
                <w:b/>
                <w:bCs/>
              </w:rPr>
            </w:pPr>
            <w:r w:rsidRPr="00715570">
              <w:rPr>
                <w:b/>
                <w:bCs/>
              </w:rPr>
              <w:t>N.º</w:t>
            </w:r>
          </w:p>
        </w:tc>
        <w:tc>
          <w:tcPr>
            <w:tcW w:w="0" w:type="auto"/>
            <w:vAlign w:val="center"/>
            <w:hideMark/>
          </w:tcPr>
          <w:p w14:paraId="1497DF0A" w14:textId="75823FB1" w:rsidR="00715570" w:rsidRPr="00715570" w:rsidRDefault="00715570" w:rsidP="00715570">
            <w:pPr>
              <w:rPr>
                <w:b/>
                <w:bCs/>
              </w:rPr>
            </w:pPr>
            <w:r>
              <w:rPr>
                <w:b/>
                <w:bCs/>
              </w:rPr>
              <w:t xml:space="preserve">                   </w:t>
            </w:r>
            <w:r w:rsidRPr="00715570">
              <w:rPr>
                <w:b/>
                <w:bCs/>
              </w:rPr>
              <w:t>Título de la Tabla</w:t>
            </w:r>
          </w:p>
        </w:tc>
        <w:tc>
          <w:tcPr>
            <w:tcW w:w="0" w:type="auto"/>
            <w:vAlign w:val="center"/>
            <w:hideMark/>
          </w:tcPr>
          <w:p w14:paraId="21544C97" w14:textId="71C11F4F" w:rsidR="00715570" w:rsidRPr="00715570" w:rsidRDefault="00715570" w:rsidP="00715570">
            <w:pPr>
              <w:rPr>
                <w:b/>
                <w:bCs/>
              </w:rPr>
            </w:pPr>
            <w:r>
              <w:rPr>
                <w:b/>
                <w:bCs/>
              </w:rPr>
              <w:t xml:space="preserve">                              </w:t>
            </w:r>
            <w:r w:rsidRPr="00715570">
              <w:rPr>
                <w:b/>
                <w:bCs/>
              </w:rPr>
              <w:t>Página</w:t>
            </w:r>
          </w:p>
        </w:tc>
      </w:tr>
      <w:tr w:rsidR="00715570" w:rsidRPr="00715570" w14:paraId="4AED04DC" w14:textId="77777777">
        <w:trPr>
          <w:tblCellSpacing w:w="15" w:type="dxa"/>
        </w:trPr>
        <w:tc>
          <w:tcPr>
            <w:tcW w:w="0" w:type="auto"/>
            <w:vAlign w:val="center"/>
            <w:hideMark/>
          </w:tcPr>
          <w:p w14:paraId="524DCC0E" w14:textId="77777777" w:rsidR="00715570" w:rsidRPr="00715570" w:rsidRDefault="00715570" w:rsidP="00715570">
            <w:r w:rsidRPr="00715570">
              <w:t>Tabla 1</w:t>
            </w:r>
          </w:p>
        </w:tc>
        <w:tc>
          <w:tcPr>
            <w:tcW w:w="0" w:type="auto"/>
            <w:vAlign w:val="center"/>
            <w:hideMark/>
          </w:tcPr>
          <w:p w14:paraId="0D9A26FB" w14:textId="50E9FDCD" w:rsidR="00715570" w:rsidRPr="00715570" w:rsidRDefault="00715570" w:rsidP="00715570">
            <w:r>
              <w:t xml:space="preserve">                   </w:t>
            </w:r>
            <w:r w:rsidRPr="00715570">
              <w:t>Productos y entregables del proyecto</w:t>
            </w:r>
          </w:p>
        </w:tc>
        <w:tc>
          <w:tcPr>
            <w:tcW w:w="0" w:type="auto"/>
            <w:vAlign w:val="center"/>
            <w:hideMark/>
          </w:tcPr>
          <w:p w14:paraId="6DD62241" w14:textId="64D5F639" w:rsidR="00715570" w:rsidRPr="00715570" w:rsidRDefault="00715570" w:rsidP="00715570">
            <w:r>
              <w:t xml:space="preserve">                                   </w:t>
            </w:r>
            <w:r w:rsidRPr="00715570">
              <w:t>1</w:t>
            </w:r>
            <w:r>
              <w:t>2</w:t>
            </w:r>
          </w:p>
        </w:tc>
      </w:tr>
    </w:tbl>
    <w:p w14:paraId="2F568C88" w14:textId="77777777" w:rsidR="00715570" w:rsidRDefault="00715570"/>
    <w:p w14:paraId="04108FB7" w14:textId="77777777" w:rsidR="00715570" w:rsidRDefault="00715570">
      <w:pPr>
        <w:pStyle w:val="Ttulo1"/>
        <w:spacing w:line="276" w:lineRule="auto"/>
      </w:pPr>
    </w:p>
    <w:p w14:paraId="084B5A2E" w14:textId="77777777" w:rsidR="00715570" w:rsidRDefault="00715570">
      <w:pPr>
        <w:pStyle w:val="Ttulo1"/>
        <w:spacing w:line="276" w:lineRule="auto"/>
      </w:pPr>
    </w:p>
    <w:p w14:paraId="259FD6A0" w14:textId="77777777" w:rsidR="00715570" w:rsidRDefault="00715570">
      <w:pPr>
        <w:pStyle w:val="Ttulo1"/>
        <w:spacing w:line="276" w:lineRule="auto"/>
      </w:pPr>
    </w:p>
    <w:p w14:paraId="24224540" w14:textId="77777777" w:rsidR="00715570" w:rsidRDefault="00715570">
      <w:pPr>
        <w:pStyle w:val="Ttulo1"/>
        <w:spacing w:line="276" w:lineRule="auto"/>
      </w:pPr>
    </w:p>
    <w:p w14:paraId="6A1C28F6" w14:textId="77777777" w:rsidR="00715570" w:rsidRDefault="00715570">
      <w:pPr>
        <w:pStyle w:val="Ttulo1"/>
        <w:spacing w:line="276" w:lineRule="auto"/>
      </w:pPr>
    </w:p>
    <w:p w14:paraId="52B1BABB" w14:textId="77777777" w:rsidR="00715570" w:rsidRDefault="00715570">
      <w:pPr>
        <w:pStyle w:val="Ttulo1"/>
        <w:spacing w:line="276" w:lineRule="auto"/>
      </w:pPr>
    </w:p>
    <w:p w14:paraId="749B835B" w14:textId="77777777" w:rsidR="00715570" w:rsidRDefault="00715570">
      <w:pPr>
        <w:pStyle w:val="Ttulo1"/>
        <w:spacing w:line="276" w:lineRule="auto"/>
      </w:pPr>
    </w:p>
    <w:p w14:paraId="029EAFE7" w14:textId="77777777" w:rsidR="00715570" w:rsidRDefault="00715570">
      <w:pPr>
        <w:pStyle w:val="Ttulo1"/>
        <w:spacing w:line="276" w:lineRule="auto"/>
      </w:pPr>
    </w:p>
    <w:p w14:paraId="463CBDF7" w14:textId="77777777" w:rsidR="00715570" w:rsidRDefault="00715570">
      <w:pPr>
        <w:pStyle w:val="Ttulo1"/>
        <w:spacing w:line="276" w:lineRule="auto"/>
      </w:pPr>
    </w:p>
    <w:p w14:paraId="608FC002" w14:textId="77777777" w:rsidR="00715570" w:rsidRDefault="00715570">
      <w:pPr>
        <w:pStyle w:val="Ttulo1"/>
        <w:spacing w:line="276" w:lineRule="auto"/>
      </w:pPr>
    </w:p>
    <w:p w14:paraId="14141B63" w14:textId="77777777" w:rsidR="00715570" w:rsidRDefault="00715570">
      <w:pPr>
        <w:pStyle w:val="Ttulo1"/>
        <w:spacing w:line="276" w:lineRule="auto"/>
      </w:pPr>
    </w:p>
    <w:p w14:paraId="4A4C82CF" w14:textId="77777777" w:rsidR="00715570" w:rsidRDefault="00715570">
      <w:pPr>
        <w:pStyle w:val="Ttulo1"/>
        <w:spacing w:line="276" w:lineRule="auto"/>
      </w:pPr>
    </w:p>
    <w:p w14:paraId="4F40CDFE" w14:textId="77777777" w:rsidR="00715570" w:rsidRDefault="00715570">
      <w:pPr>
        <w:pStyle w:val="Ttulo1"/>
        <w:spacing w:line="276" w:lineRule="auto"/>
      </w:pPr>
    </w:p>
    <w:p w14:paraId="02F30287" w14:textId="7443271F" w:rsidR="001A333F" w:rsidRDefault="0021082B">
      <w:pPr>
        <w:pStyle w:val="Ttulo1"/>
        <w:spacing w:line="276" w:lineRule="auto"/>
      </w:pPr>
      <w:r>
        <w:lastRenderedPageBreak/>
        <w:t>INTRODUCCIÓN</w:t>
      </w:r>
    </w:p>
    <w:p w14:paraId="3FB4A3B9" w14:textId="77777777" w:rsidR="001A333F" w:rsidRDefault="0021082B">
      <w:pPr>
        <w:spacing w:before="120" w:after="120" w:line="360" w:lineRule="auto"/>
        <w:jc w:val="both"/>
      </w:pPr>
      <w:r>
        <w:t>El presente informe expone el diseño y la implementación del proyecto Krypton E-Commerce, desarrollado en el marco del curso de Desarrollo de Servicios Web II (DSW2) de CIBERTEC. Krypton es una empresa peruana de retail tecnológico que enfrenta una coyuntura crítica: su modelo de operación presencial y manual resulta insuficiente para competir en un mercado donde la digitalización del comercio minorista avanza a paso acelerado (Laudon &amp; Traver, 2023). En el Perú, el comercio electrónico registró un crecimiento sostenido durante los últimos cinco años, impulsado por la masificación del acceso a internet, el aumento de la bancarización y los cambios en los hábitos de consumo derivados de la pandemia (CAPECE, 2024). Este entorno, analizado en profundidad en el Capítulo 1 a través del diagnóstico SEPTE, revela que las empresas que no migran hacia canales digitales pierden competitividad de forma irreversible (Laudon &amp; Traver, 2023). La solución propuesta no es, por tanto, un deseo técnico aislado, sino una respuesta estratégica a una necesidad operativa y de mercado plenamente verificada.</w:t>
      </w:r>
      <w:r/>
      <w:r/>
      <w:r/>
      <w:r/>
    </w:p>
    <w:p w14:paraId="0FF9D045" w14:textId="77777777" w:rsidR="001A333F" w:rsidRDefault="001A333F">
      <w:pPr>
        <w:spacing w:before="120" w:after="120" w:line="360" w:lineRule="auto"/>
        <w:jc w:val="both"/>
      </w:pPr>
    </w:p>
    <w:p w14:paraId="7DB7AC4C" w14:textId="77777777" w:rsidR="001A333F" w:rsidRDefault="0021082B">
      <w:pPr>
        <w:spacing w:before="120" w:after="120" w:line="360" w:lineRule="auto"/>
        <w:jc w:val="both"/>
      </w:pPr>
      <w:r>
        <w:t>La plataforma de comercio electrónico diseñada para Krypton digitaliza íntegramente el proceso de venta, desde la navegación del catálogo hasta la confirmación y el pago de la orden, garantizando la atomicidad de las transacciones y la trazabilidad del inventario en tiempo real. El sistema se construyó como una arquitectura de microservicios: un frontend desacoplado en React que consume, a través de un API Gateway, servicios web independientes —catálogo de productos y gestión de pedidos mediante REST, y categorías mediante SOAP—, cada uno con su propia base de datos. El descubrimiento de servicios se realiza con Eureka y la resiliencia mediante circuit breakers, de modo que la caída de un servicio no interrumpe al resto del sistema. El alcance cubre el ciclo de venta completo con autenticación JWT, panel administrativo con CRUD de productos y categorías, gestión de órdenes con pago simulado y comprobantes en PDF.</w:t>
      </w:r>
      <w:r/>
      <w:r/>
      <w:r/>
    </w:p>
    <w:p w14:paraId="0A59D985" w14:textId="77777777" w:rsidR="001A333F" w:rsidRDefault="001A333F">
      <w:pPr>
        <w:spacing w:before="120" w:after="120" w:line="360" w:lineRule="auto"/>
        <w:jc w:val="both"/>
      </w:pPr>
    </w:p>
    <w:p w14:paraId="33FA8B2C" w14:textId="77777777" w:rsidR="001A333F" w:rsidRDefault="0021082B">
      <w:pPr>
        <w:spacing w:before="120" w:after="120" w:line="360" w:lineRule="auto"/>
        <w:jc w:val="both"/>
      </w:pPr>
      <w:r>
        <w:t>El documento se organiza en tres capítulos complementarios. En el Capítulo 1 se profu</w:t>
      </w:r>
      <w:r>
        <w:t>ndiza en el diagnóstico situacional interno de Krypton y en el análisis de factores externos mediante la metodología SEPTE, evidenciando las brechas tecnológicas, económicas y regulatorias que justifican la urgencia del proyecto. En el Capítulo 2 se detall</w:t>
      </w:r>
      <w:r>
        <w:t>a el diseño fundamentado de la solución, estableciendo objetivos medibles bajo la metodología SMART, el alcance delimitado, la ventaja comparativa frente a alternativas del mercado, la estructura organizativa del equipo y los beneficiarios identificados. E</w:t>
      </w:r>
      <w:r>
        <w:t xml:space="preserve">n el Capítulo 3 se expone la planificación de la ejecución técnica </w:t>
      </w:r>
      <w:r>
        <w:lastRenderedPageBreak/>
        <w:t>mediante un cronograma, los entregables comprometidos por iteración y los criterios de validación funcional y de rendimiento.</w:t>
      </w:r>
    </w:p>
    <w:p w14:paraId="2DB9F83E" w14:textId="77777777" w:rsidR="001A333F" w:rsidRDefault="001A333F">
      <w:pPr>
        <w:spacing w:before="120" w:after="120" w:line="360" w:lineRule="auto"/>
        <w:jc w:val="both"/>
      </w:pPr>
    </w:p>
    <w:p w14:paraId="52753385" w14:textId="77777777" w:rsidR="001A333F" w:rsidRDefault="0021082B">
      <w:pPr>
        <w:spacing w:before="120" w:after="120" w:line="360" w:lineRule="auto"/>
        <w:jc w:val="both"/>
      </w:pPr>
      <w:r>
        <w:t>Las herramientas que componen el stack tecnológico no fueron seleccionadas arbitrariamente. El núcleo es Spring Boot junto con Spring Cloud —Spring Cloud Gateway como puerta de entrada única, Eureka para el descubrimiento de servicios, OpenFeign para la comunicación entre servicios y Resilience4j para los circuit breakers—, Spring WS para exponer el servicio SOAP de categorías bajo un contrato XSD (enfoque contract-first), React para el frontend, y MySQL y MongoDB como motores de persistencia por servicio. Cada elección superó una evaluación técnica que consideró la madurez del ecosistema, el soporte comunitario, el alineamiento con estándares de seguridad (OWASP Top 10) y la capacidad de integración entre servicios web. Todo el ecosistema se orquesta con Docker Compose, lo que permite levantar la totalidad de los servicios con un único comando y reproducir el entorno de forma consistente.</w:t>
      </w:r>
      <w:r/>
      <w:r/>
      <w:r/>
      <w:r/>
      <w:r/>
    </w:p>
    <w:p w14:paraId="75465CB7" w14:textId="77777777" w:rsidR="001A333F" w:rsidRDefault="0021082B">
      <w:pPr>
        <w:pStyle w:val="Ttulo1"/>
        <w:spacing w:line="360" w:lineRule="auto"/>
      </w:pPr>
      <w:r>
        <w:lastRenderedPageBreak/>
        <w:t>CAPÍTULO 1</w:t>
      </w:r>
    </w:p>
    <w:p w14:paraId="275FCBCC" w14:textId="77777777" w:rsidR="001A333F" w:rsidRDefault="0021082B">
      <w:pPr>
        <w:spacing w:before="120" w:after="120" w:line="360" w:lineRule="auto"/>
      </w:pPr>
      <w:r>
        <w:rPr>
          <w:b/>
          <w:bCs/>
          <w:sz w:val="24"/>
          <w:szCs w:val="24"/>
        </w:rPr>
        <w:t>DIAGNÓSTICO DEL PROBLEMA</w:t>
      </w:r>
    </w:p>
    <w:p w14:paraId="211A1991" w14:textId="77777777" w:rsidR="001A333F" w:rsidRDefault="001A333F">
      <w:pPr>
        <w:spacing w:before="80" w:after="80" w:line="360" w:lineRule="auto"/>
      </w:pPr>
    </w:p>
    <w:p w14:paraId="01539BF5" w14:textId="77777777" w:rsidR="001A333F" w:rsidRDefault="0021082B">
      <w:pPr>
        <w:pStyle w:val="Ttulo2"/>
        <w:spacing w:line="360" w:lineRule="auto"/>
      </w:pPr>
      <w:r>
        <w:t>1.1.- Diagnóstico Situacional</w:t>
      </w:r>
    </w:p>
    <w:p w14:paraId="7F92B608" w14:textId="77777777" w:rsidR="001A333F" w:rsidRDefault="0021082B">
      <w:pPr>
        <w:spacing w:before="120" w:after="120" w:line="360" w:lineRule="auto"/>
        <w:jc w:val="both"/>
      </w:pPr>
      <w:r>
        <w:t xml:space="preserve">Krypton opera actualmente con un modelo de negocio exclusivamente presencial en Lima Metropolitana. Sus ventas </w:t>
      </w:r>
      <w:r>
        <w:t xml:space="preserve">se gestionan mediante registros manuales en hojas de cálculo, sin integración entre el punto de venta, el control de inventario y la contabilidad. La atención al cliente depende del horario de apertura de la tienda física y del personal disponible, lo que </w:t>
      </w:r>
      <w:r>
        <w:t xml:space="preserve">limita estructuralmente el volumen de transacciones posibles (Laudon &amp; Laudon, 2022). Una revisión interna de las operaciones del último ejercicio revela que aproximadamente el 35 % de las consultas de clientes por canales informales (llamadas telefónicas </w:t>
      </w:r>
      <w:r>
        <w:t>y mensajes de WhatsApp) no se convierten en ventas efectivas por demoras en la confirmación de stock, evidenciando una pérdida directa de ingreso atribuible a la ausencia de un sistema de información centralizado.</w:t>
      </w:r>
    </w:p>
    <w:p w14:paraId="3A5E3B4E" w14:textId="77777777" w:rsidR="001A333F" w:rsidRDefault="001A333F">
      <w:pPr>
        <w:spacing w:before="120" w:after="120" w:line="360" w:lineRule="auto"/>
        <w:jc w:val="both"/>
      </w:pPr>
    </w:p>
    <w:p w14:paraId="4C160204" w14:textId="77777777" w:rsidR="001A333F" w:rsidRDefault="0021082B">
      <w:pPr>
        <w:spacing w:before="120" w:after="120" w:line="360" w:lineRule="auto"/>
        <w:jc w:val="both"/>
      </w:pPr>
      <w:r>
        <w:t>Como potencialidades aprovechables, Krypt</w:t>
      </w:r>
      <w:r>
        <w:t>on cuenta con un catálogo de productos ya estructurado por categorías (laptops, smartphones, componentes y accesorios). Este activo constituye la línea base sobre la que se construye la plataforma, reduciendo el esfuerzo de migración de datos y acortando e</w:t>
      </w:r>
      <w:r>
        <w:t>l tiempo de adopción por parte de los usuarios internos. La disponibilidad de información organizada favorece los procesos de transformación digital y la implementación de sistemas de comercio electrónico, permitiendo una gestión más eficiente de los recur</w:t>
      </w:r>
      <w:r>
        <w:t>sos de información de la empresa (Laudon &amp; Laudon, 2022</w:t>
      </w:r>
      <w:proofErr w:type="gramStart"/>
      <w:r>
        <w:t>)..</w:t>
      </w:r>
      <w:proofErr w:type="gramEnd"/>
    </w:p>
    <w:p w14:paraId="035835C3" w14:textId="77777777" w:rsidR="001A333F" w:rsidRDefault="0021082B">
      <w:pPr>
        <w:pStyle w:val="Ttulo2"/>
        <w:spacing w:line="360" w:lineRule="auto"/>
      </w:pPr>
      <w:r>
        <w:t>1.2.- Adversidades Potenciales Reportadas</w:t>
      </w:r>
    </w:p>
    <w:p w14:paraId="6A13394D" w14:textId="77777777" w:rsidR="001A333F" w:rsidRDefault="0021082B">
      <w:pPr>
        <w:spacing w:before="120" w:after="120" w:line="360" w:lineRule="auto"/>
        <w:jc w:val="both"/>
      </w:pPr>
      <w:r>
        <w:t>A partir del análisis operativo realizado, se identificaron las siguientes adversidades críticas:</w:t>
      </w:r>
    </w:p>
    <w:p w14:paraId="7E8A3967" w14:textId="77777777" w:rsidR="001A333F" w:rsidRDefault="0021082B">
      <w:pPr>
        <w:spacing w:before="120" w:after="120" w:line="360" w:lineRule="auto"/>
        <w:ind w:left="360"/>
        <w:jc w:val="both"/>
      </w:pPr>
      <w:r>
        <w:rPr>
          <w:b/>
          <w:bCs/>
        </w:rPr>
        <w:t xml:space="preserve">a. </w:t>
      </w:r>
      <w:r>
        <w:t xml:space="preserve">Se ha detectado que la gestión de inventario se </w:t>
      </w:r>
      <w:r>
        <w:t>realiza de forma manual en hojas de cálculo sin versionamiento ni control de acceso concurrente. Esto ocasiona que los registros de stock presenten discrepancias frecuentes entre el conteo físico y el registrado, generando sobre ventas o rechazos de pedido</w:t>
      </w:r>
      <w:r>
        <w:t xml:space="preserve"> que deterioran la experiencia del cliente y la reputación comercial de Krypton.</w:t>
      </w:r>
    </w:p>
    <w:p w14:paraId="17C91CFB" w14:textId="77777777" w:rsidR="001A333F" w:rsidRDefault="0021082B">
      <w:pPr>
        <w:spacing w:before="120" w:after="120" w:line="360" w:lineRule="auto"/>
        <w:ind w:left="360"/>
        <w:jc w:val="both"/>
      </w:pPr>
      <w:r>
        <w:rPr>
          <w:b/>
          <w:bCs/>
        </w:rPr>
        <w:lastRenderedPageBreak/>
        <w:t xml:space="preserve">b. </w:t>
      </w:r>
      <w:r>
        <w:t>Se ha detectado que no existe un mecanismo de autenticación ni control de roles sobre los datos de ventas e inventario. Esto permite que cualquier usuario interno con acces</w:t>
      </w:r>
      <w:r>
        <w:t>o a los archivos compartidos pueda modificar registros de manera no trazada, exponiendo a la empresa a fraudes internos y a la incapacidad de auditar operaciones históricas.</w:t>
      </w:r>
    </w:p>
    <w:p w14:paraId="196986B4" w14:textId="77777777" w:rsidR="001A333F" w:rsidRDefault="0021082B">
      <w:pPr>
        <w:spacing w:before="120" w:after="120" w:line="360" w:lineRule="auto"/>
        <w:ind w:left="360"/>
        <w:jc w:val="both"/>
      </w:pPr>
      <w:r>
        <w:rPr>
          <w:b/>
          <w:bCs/>
        </w:rPr>
        <w:t xml:space="preserve">c. </w:t>
      </w:r>
      <w:r>
        <w:t xml:space="preserve">Se ha detectado que la ausencia de un canal de ventas en línea circunscribe la </w:t>
      </w:r>
      <w:r>
        <w:t>operación al horario presencial y a la zona geográfica de la tienda. Esto ocasiona que Krypton no pueda capturar demanda fuera del horario de atención ni atender clientes de otras provincias, limitando su escala de crecimiento a la capacidad física del loc</w:t>
      </w:r>
      <w:r>
        <w:t>al.</w:t>
      </w:r>
    </w:p>
    <w:p w14:paraId="00615FBE" w14:textId="77777777" w:rsidR="001A333F" w:rsidRDefault="0021082B">
      <w:pPr>
        <w:spacing w:before="120" w:after="120" w:line="360" w:lineRule="auto"/>
        <w:ind w:left="360"/>
        <w:jc w:val="both"/>
      </w:pPr>
      <w:r>
        <w:rPr>
          <w:b/>
          <w:bCs/>
        </w:rPr>
        <w:t xml:space="preserve">d. </w:t>
      </w:r>
      <w:r>
        <w:t xml:space="preserve">Se ha detectado que no se generan reportes consolidados de ventas por categoría, por período o por producto. Esto impide que la gerencia tome decisiones de reposición de stock, negociación con proveedores o segmentación de campañas basadas en datos </w:t>
      </w:r>
      <w:r>
        <w:t>verificables, sustituyendo la analítica por intuición.</w:t>
      </w:r>
    </w:p>
    <w:p w14:paraId="32A29FEA" w14:textId="77777777" w:rsidR="001A333F" w:rsidRDefault="0021082B">
      <w:pPr>
        <w:pStyle w:val="Ttulo2"/>
        <w:spacing w:line="360" w:lineRule="auto"/>
      </w:pPr>
      <w:r>
        <w:t>1.3.- Análisis SEPTE</w:t>
      </w:r>
    </w:p>
    <w:p w14:paraId="23DDAE13" w14:textId="77777777" w:rsidR="001A333F" w:rsidRDefault="0021082B">
      <w:pPr>
        <w:spacing w:before="240" w:after="120" w:line="360" w:lineRule="auto"/>
      </w:pPr>
      <w:r>
        <w:rPr>
          <w:b/>
          <w:bCs/>
          <w:u w:val="single"/>
        </w:rPr>
        <w:t>1.3.1.- Aspecto Social</w:t>
      </w:r>
    </w:p>
    <w:p w14:paraId="0A6BDD81" w14:textId="77777777" w:rsidR="001A333F" w:rsidRDefault="0021082B">
      <w:pPr>
        <w:spacing w:before="120" w:after="120" w:line="360" w:lineRule="auto"/>
        <w:jc w:val="both"/>
      </w:pPr>
      <w:r>
        <w:t>El incremento sostenido de la penetración de internet en el Perú constituye el fundamento social más relevante para la viabilidad de Krypton E-Commerce. Segú</w:t>
      </w:r>
      <w:r>
        <w:t>n el Instituto Nacional de Estadística e Informática (INEI, 2023), al año 2023 el 71,1 % de los hogares peruanos contaba con acceso a internet, cifra que asciende al 87,3 % en Lima Metropolitana. Paralelamente, la pandemia de COVID-19 aceleró un cambio cul</w:t>
      </w:r>
      <w:r>
        <w:t>tural en los hábitos de consumo: el comprador peruano migró masivamente hacia canales digitales y, según la Cámara de Comercio de Lima (CCL, 2023), el 60 % de los consumidores que realizaron su primera compra en línea durante 2020 mantuvieron ese comportam</w:t>
      </w:r>
      <w:r>
        <w:t>iento de forma habitual en los años siguientes. Este contexto configura un mercado objetivo con alta predisposición al comercio electrónico que Krypton no está en condiciones de capturar con su modelo presencial actual.</w:t>
      </w:r>
    </w:p>
    <w:p w14:paraId="671D6618" w14:textId="77777777" w:rsidR="001A333F" w:rsidRDefault="0021082B">
      <w:pPr>
        <w:spacing w:before="240" w:after="120" w:line="360" w:lineRule="auto"/>
      </w:pPr>
      <w:r>
        <w:rPr>
          <w:b/>
          <w:bCs/>
          <w:u w:val="single"/>
        </w:rPr>
        <w:t>1.3.2.- Aspecto Económico</w:t>
      </w:r>
    </w:p>
    <w:p w14:paraId="6DE28474" w14:textId="77777777" w:rsidR="001A333F" w:rsidRDefault="0021082B">
      <w:pPr>
        <w:spacing w:before="120" w:after="120" w:line="360" w:lineRule="auto"/>
        <w:jc w:val="both"/>
      </w:pPr>
      <w:r>
        <w:t>El mercado</w:t>
      </w:r>
      <w:r>
        <w:t xml:space="preserve"> de comercio electrónico en el Perú alcanzó los USD 12.200 millones en ventas durante 2023, con una tasa de crecimiento anual compuesta (CAGR) del 14 % proyectada para el período 2024-2028, según datos de Statista (2024). El segmento de electrónica y tecno</w:t>
      </w:r>
      <w:r>
        <w:t>logía representa consistentemente entre el 18 % y el 22 % del volumen total de transacciones en línea, posicionándolo como uno de los rubros de mayor tracción. Desde la perspectiva de costos, el despliegue de la plataforma en proveedores cloud con planes d</w:t>
      </w:r>
      <w:r>
        <w:t xml:space="preserve">e pago por uso (Render, Vercel, </w:t>
      </w:r>
      <w:r>
        <w:lastRenderedPageBreak/>
        <w:t>Aiven) elimina la inversión en infraestructura física inicial y permite escalar el gasto operativo en proporción directa al crecimiento del tráfico, mejorando sensiblemente el retorno sobre la inversión en comparación con un</w:t>
      </w:r>
      <w:r>
        <w:t>a solución on-premise (Turban et al., 2021</w:t>
      </w:r>
      <w:proofErr w:type="gramStart"/>
      <w:r>
        <w:t>)..</w:t>
      </w:r>
      <w:proofErr w:type="gramEnd"/>
    </w:p>
    <w:p w14:paraId="260038E6" w14:textId="77777777" w:rsidR="001A333F" w:rsidRDefault="0021082B">
      <w:pPr>
        <w:spacing w:before="240" w:after="120" w:line="360" w:lineRule="auto"/>
      </w:pPr>
      <w:r>
        <w:rPr>
          <w:b/>
          <w:bCs/>
          <w:u w:val="single"/>
        </w:rPr>
        <w:t>1.3.3.- Aspecto Político</w:t>
      </w:r>
    </w:p>
    <w:p w14:paraId="7193929D" w14:textId="77777777" w:rsidR="001A333F" w:rsidRDefault="0021082B">
      <w:pPr>
        <w:spacing w:before="120" w:after="120" w:line="360" w:lineRule="auto"/>
        <w:jc w:val="both"/>
      </w:pPr>
      <w:r>
        <w:t>El marco regulatorio peruano en materia de comercio electrónico se encuentra en proceso de consolidación. La Ley N.° 29571, Código de Protección y Defensa del Consumidor, y su reglament</w:t>
      </w:r>
      <w:r>
        <w:t>o específico para transacciones en línea obligan a las plataformas digitales a garantizar la transparencia en la información del producto, el derecho al arrepentimiento y la protección de datos personales del comprador (Congreso de la República del Perú, 2</w:t>
      </w:r>
      <w:r>
        <w:t>010). La Ley N.° 29733, Ley de Protección de Datos Personales, y su reglamento (Decreto Supremo N.° 003-2013-JUS) establecen obligaciones de consentimiento informado, seguridad en el tratamiento de datos y notificación de incidentes de seguridad que la pla</w:t>
      </w:r>
      <w:r>
        <w:t>taforma debe cumplir (Ministerio de Justicia y Derechos Humanos, 2013). El diseño de Krypton E-Commerce incorpora estos requisitos mediante autenticación con JWT, cifrado de contraseñas con BCrypt, comunicación exclusiva por HTTPS y una política de privaci</w:t>
      </w:r>
      <w:r>
        <w:t>dad explícita en el flujo de registro.</w:t>
      </w:r>
    </w:p>
    <w:p w14:paraId="456C80AE" w14:textId="77777777" w:rsidR="001A333F" w:rsidRDefault="0021082B">
      <w:pPr>
        <w:spacing w:before="240" w:after="120" w:line="360" w:lineRule="auto"/>
      </w:pPr>
      <w:r>
        <w:rPr>
          <w:b/>
          <w:bCs/>
          <w:u w:val="single"/>
        </w:rPr>
        <w:t>1.3.4.- Aspecto Tecnológico</w:t>
      </w:r>
    </w:p>
    <w:p w14:paraId="6E915F8F" w14:textId="77777777" w:rsidR="001A333F" w:rsidRDefault="0021082B">
      <w:pPr>
        <w:spacing w:before="120" w:after="120" w:line="360" w:lineRule="auto"/>
        <w:jc w:val="both"/>
      </w:pPr>
      <w:r>
        <w:t>Las tendencias tecnológicas actuales hacen que la operación manual de Krypton sea progresivamente insostenible. La consolidación del paradigma cloud-native, la adopción de los servicios web (REST y SOAP) como estándar de interoperabilidad entre sistemas y la madurez de frameworks como Spring Boot, Spring Cloud y React permiten construir plataformas de comercio electrónico robustas basadas en microservicios. Una arquitectura de microservicios aporta desacoplamiento, despliegue independiente y resiliencia: con circuit breakers y mecanismos de fallback, la indisponibilidad de un servicio se degrada de forma controlada sin afectar al resto. Paralelamente, el auge de las amenazas de ciberseguridad exige implementar controles alineados con OWASP Top 10 desde el diseño. El stack incorpora estos controles de forma nativa: Spring Security gestiona la autenticación y autorización con JWT, Flyway garantiza la integridad del esquema de base de datos y Testcontainers permite ejecutar pruebas de integración contra instancias reales de base de datos en el pipeline.</w:t>
      </w:r>
      <w:r/>
      <w:r/>
      <w:r/>
      <w:r/>
    </w:p>
    <w:p w14:paraId="5A0BF4AC" w14:textId="77777777" w:rsidR="001A333F" w:rsidRDefault="0021082B">
      <w:pPr>
        <w:spacing w:before="240" w:after="120" w:line="360" w:lineRule="auto"/>
      </w:pPr>
      <w:r>
        <w:rPr>
          <w:b/>
          <w:bCs/>
          <w:u w:val="single"/>
        </w:rPr>
        <w:t>1.3.5.- Aspecto Ecológico</w:t>
      </w:r>
    </w:p>
    <w:p w14:paraId="17B650EA" w14:textId="77777777" w:rsidR="001A333F" w:rsidRDefault="0021082B">
      <w:pPr>
        <w:spacing w:before="120" w:after="120" w:line="360" w:lineRule="auto"/>
        <w:jc w:val="both"/>
      </w:pPr>
      <w:r>
        <w:t>La transición hacia una plataforma en la nube produce un impacto ambiental neto positivo respecto al escenario de infraestructura física propia. Los pro</w:t>
      </w:r>
      <w:r>
        <w:t xml:space="preserve">veedores cloud seleccionados (Render, Vercel, </w:t>
      </w:r>
      <w:r>
        <w:lastRenderedPageBreak/>
        <w:t xml:space="preserve">Aiven) operan en centros de datos con certificaciones de eficiencia energética y programas de sostenibilidad ambiental (Google Cloud, 2024). Al eliminar la necesidad de servidores físicos en la tienda, Krypton </w:t>
      </w:r>
      <w:r>
        <w:t>reduce también la generación de residuos electrónicos asociados al ciclo de vida del hardware on-premise. Adicionalmente, la digitalización del proceso de venta reduce la emisión de comprobantes en papel y los desplazamientos de clientes a la tienda para c</w:t>
      </w:r>
      <w:r>
        <w:t>onsultas de disponibilidad de stock, contribuyendo a una reducción marginal pero medible de la huella de carbono.</w:t>
      </w:r>
    </w:p>
    <w:p w14:paraId="484AE019" w14:textId="77777777" w:rsidR="001A333F" w:rsidRDefault="0021082B">
      <w:pPr>
        <w:spacing w:before="120" w:after="120" w:line="360" w:lineRule="auto"/>
        <w:jc w:val="both"/>
      </w:pPr>
      <w:r>
        <w:rPr>
          <w:b/>
          <w:bCs/>
          <w:color w:val="2E74B5"/>
          <w:sz w:val="24"/>
          <w:szCs w:val="24"/>
        </w:rPr>
        <w:t xml:space="preserve">1.4.- Justificación del Proyecto  </w:t>
      </w:r>
    </w:p>
    <w:p w14:paraId="7B83F6AB" w14:textId="77777777" w:rsidR="001A333F" w:rsidRDefault="0021082B">
      <w:pPr>
        <w:spacing w:before="120" w:after="120" w:line="360" w:lineRule="auto"/>
        <w:jc w:val="both"/>
      </w:pPr>
      <w:r>
        <w:t>De acuerdo con el diagnóstico situacional y el análisis SEPTE realizados, la ejecución del presente proyect</w:t>
      </w:r>
      <w:r>
        <w:t xml:space="preserve">o se justifica por los siguientes aspectos: </w:t>
      </w:r>
    </w:p>
    <w:p w14:paraId="109B0B4A" w14:textId="77777777" w:rsidR="001A333F" w:rsidRDefault="0021082B">
      <w:pPr>
        <w:spacing w:before="240" w:after="240" w:line="360" w:lineRule="auto"/>
        <w:ind w:left="720"/>
        <w:jc w:val="both"/>
      </w:pPr>
      <w:r>
        <w:rPr>
          <w:b/>
          <w:bCs/>
        </w:rPr>
        <w:t>Justificación Técnica:</w:t>
        <w:br/>
        <w:t>- La ejecución del proyecto se justifica por la necesidad de modernizar los procesos actuales mediante la implementación de una arquitectura de microservicios y servicios web (REST y SOAP) basada en Spring Boot, Spring Cloud y React. Esta solución permite reducir el acoplamiento, desplegar y escalar cada servicio por separado, y aislar las fallas mediante resiliencia (circuit breakers y fallbacks). Asimismo, la automatización de la generación de reportes mediante Apache POI y OpenPDF reemplazará los procesos manuales de procesamiento de información, proporcionando datos actualizados y oportunos para una mejor toma de decisiones.</w:t>
      </w:r>
      <w:r>
        <w:rPr>
          <w:b/>
          <w:bCs/>
        </w:rPr>
      </w:r>
      <w:r/>
      <w:r/>
      <w:r/>
    </w:p>
    <w:p w14:paraId="270CD174" w14:textId="77777777" w:rsidR="001A333F" w:rsidRDefault="0021082B">
      <w:pPr>
        <w:spacing w:before="240" w:after="240" w:line="360" w:lineRule="auto"/>
        <w:ind w:left="720"/>
        <w:jc w:val="both"/>
      </w:pPr>
      <w:r>
        <w:rPr>
          <w:b/>
          <w:bCs/>
        </w:rPr>
        <w:t>Justificación Económica:</w:t>
      </w:r>
      <w:r>
        <w:rPr>
          <w:b/>
          <w:bCs/>
        </w:rPr>
        <w:br/>
        <w:t xml:space="preserve">- </w:t>
      </w:r>
      <w:r>
        <w:t>La adopción de un modelo de despliegue cloud-native utilizando servicios de bajo costo o capas gratuitas permitirá elim</w:t>
      </w:r>
      <w:r>
        <w:t>inar la necesidad de adquirir y mantener servidores físicos locales (on-premise). Esto reducirá significativamente los costos de infraestructura tecnológica y optimizará el uso de los recursos financieros de la empresa. Además, contribuirá a mejorar el ret</w:t>
      </w:r>
      <w:r>
        <w:t>orno de la inversión (ROI) al transformar costos fijos en costos variables asociados al volumen de operaciones.</w:t>
      </w:r>
    </w:p>
    <w:p w14:paraId="31CC1221" w14:textId="77777777" w:rsidR="001A333F" w:rsidRDefault="0021082B">
      <w:pPr>
        <w:spacing w:before="240" w:after="240" w:line="360" w:lineRule="auto"/>
        <w:ind w:left="720"/>
        <w:jc w:val="both"/>
      </w:pPr>
      <w:r>
        <w:rPr>
          <w:b/>
          <w:bCs/>
        </w:rPr>
        <w:t>Justificación Operativa:</w:t>
      </w:r>
      <w:r>
        <w:rPr>
          <w:b/>
          <w:bCs/>
        </w:rPr>
        <w:br/>
        <w:t xml:space="preserve">- </w:t>
      </w:r>
      <w:r>
        <w:t>El proyecto permitirá optimizar la productividad del equipo de trabajo de Krypton mediante la automatización y centra</w:t>
      </w:r>
      <w:r>
        <w:t xml:space="preserve">lización de los procesos comerciales. La gestión unificada del inventario reducirá el riesgo de sobreventas y mejorará el control del stock en tiempo real. Asimismo, la implementación de una plataforma de comercio electrónico permitirá brindar </w:t>
      </w:r>
      <w:r>
        <w:lastRenderedPageBreak/>
        <w:t>atención con</w:t>
      </w:r>
      <w:r>
        <w:t>tinua las 24 horas del día, los 7 días de la semana, ampliando el alcance comercial de la empresa y superando las limitaciones geográficas de Lima Metropolitana.</w:t>
      </w:r>
    </w:p>
    <w:p w14:paraId="7CE03E4C" w14:textId="77777777" w:rsidR="001A333F" w:rsidRDefault="0021082B">
      <w:pPr>
        <w:pStyle w:val="Ttulo1"/>
        <w:spacing w:line="360" w:lineRule="auto"/>
      </w:pPr>
      <w:bookmarkStart w:id="0" w:name="_heading=h.8koq9bmxnpso" w:colFirst="0" w:colLast="0"/>
      <w:bookmarkEnd w:id="0"/>
      <w:r>
        <w:t>CAPÍTULO 2</w:t>
      </w:r>
    </w:p>
    <w:p w14:paraId="41C2E04C" w14:textId="77777777" w:rsidR="001A333F" w:rsidRDefault="0021082B">
      <w:pPr>
        <w:spacing w:before="120" w:after="120" w:line="360" w:lineRule="auto"/>
        <w:rPr>
          <w:b/>
          <w:bCs/>
          <w:sz w:val="24"/>
          <w:szCs w:val="24"/>
        </w:rPr>
      </w:pPr>
      <w:r>
        <w:rPr>
          <w:b/>
          <w:bCs/>
          <w:sz w:val="24"/>
          <w:szCs w:val="24"/>
        </w:rPr>
        <w:t xml:space="preserve">DESCRIPCIÓN DEL PROYECTO </w:t>
      </w:r>
    </w:p>
    <w:p w14:paraId="6C2392A8" w14:textId="77777777" w:rsidR="001A333F" w:rsidRDefault="0021082B">
      <w:pPr>
        <w:spacing w:before="120" w:after="120" w:line="360" w:lineRule="auto"/>
        <w:jc w:val="both"/>
        <w:rPr>
          <w:b/>
          <w:bCs/>
          <w:sz w:val="24"/>
          <w:szCs w:val="24"/>
        </w:rPr>
      </w:pPr>
      <w:r>
        <w:t>El presente proyecto expone el diseño y desarrollo de una plataforma web de comercio electrónico basada en una arquitectura de microservicios para la empresa peruana de retail tecnológico Krypton. El diagnóstico situacional identificó que la operación actual es exclusivamente presencial y manual, soportada en hojas de cálculo, lo que genera ineficiencias en el control de inventario y la pérdida del 35% de oportunidades de venta por canales informales. Para mitigar estas adversidades, se digitaliza todo el ciclo de ventas mediante servicios web desacoplados: el catálogo de productos y la gestión de pedidos se exponen por REST, las categorías por SOAP, y un API Gateway centraliza el acceso mientras Eureka resuelve el descubrimiento de servicios. La seguridad se garantiza con Spring Security y tokens JWT, alineándose con OWASP Top 10. El sistema incorpora resiliencia (circuit breakers y fallbacks), sincronización de stock entre servicios y trazabilidad transaccional, y se orquesta con Docker Compose.</w:t>
      </w:r>
      <w:r/>
      <w:r/>
      <w:r/>
      <w:r/>
      <w:r/>
    </w:p>
    <w:p w14:paraId="2BBE2913" w14:textId="77777777" w:rsidR="001A333F" w:rsidRDefault="0021082B">
      <w:pPr>
        <w:pStyle w:val="Ttulo2"/>
        <w:spacing w:line="360" w:lineRule="auto"/>
      </w:pPr>
      <w:bookmarkStart w:id="1" w:name="_heading=h.5f88tiktw1c0" w:colFirst="0" w:colLast="0"/>
      <w:bookmarkEnd w:id="1"/>
      <w:r>
        <w:t>2.1.- Objetivos</w:t>
      </w:r>
    </w:p>
    <w:p w14:paraId="393A8310" w14:textId="77777777" w:rsidR="001A333F" w:rsidRDefault="0021082B">
      <w:pPr>
        <w:rPr>
          <w:b/>
          <w:bCs/>
        </w:rPr>
      </w:pPr>
      <w:r>
        <w:rPr>
          <w:b/>
          <w:bCs/>
        </w:rPr>
        <w:t xml:space="preserve">Objetivo General </w:t>
      </w:r>
    </w:p>
    <w:p w14:paraId="14C2C964" w14:textId="77777777" w:rsidR="001A333F" w:rsidRDefault="0021082B">
      <w:pPr>
        <w:numPr>
          <w:ilvl w:val="0"/>
          <w:numId w:val="1"/>
        </w:numPr>
        <w:spacing w:line="360" w:lineRule="auto"/>
        <w:jc w:val="both"/>
      </w:pPr>
      <w:r>
        <w:t>Desarrollar e implementar una plataforma web de comercio electrónico con arquitectura de microservicios y servicios web (REST y SOAP) para la empresa Krypton durante el ciclo académico 2026-I, con el fin de automatizar el proceso de ventas y el control de inventario en tiempo real.</w:t>
      </w:r>
      <w:r/>
    </w:p>
    <w:p w14:paraId="0FB4CD3C" w14:textId="77777777" w:rsidR="001A333F" w:rsidRDefault="001A333F">
      <w:pPr>
        <w:spacing w:line="360" w:lineRule="auto"/>
      </w:pPr>
    </w:p>
    <w:p w14:paraId="26322A59" w14:textId="77777777" w:rsidR="001A333F" w:rsidRDefault="0021082B">
      <w:pPr>
        <w:spacing w:line="360" w:lineRule="auto"/>
        <w:rPr>
          <w:b/>
          <w:bCs/>
        </w:rPr>
      </w:pPr>
      <w:r>
        <w:rPr>
          <w:b/>
          <w:bCs/>
        </w:rPr>
        <w:t xml:space="preserve">Objetivos Específicos </w:t>
      </w:r>
    </w:p>
    <w:p w14:paraId="6D8F70F8" w14:textId="77777777" w:rsidR="001A333F" w:rsidRDefault="0021082B">
      <w:pPr>
        <w:numPr>
          <w:ilvl w:val="0"/>
          <w:numId w:val="5"/>
        </w:numPr>
        <w:spacing w:line="360" w:lineRule="auto"/>
        <w:jc w:val="both"/>
      </w:pPr>
      <w:r>
        <w:t xml:space="preserve">Específico y Medible: Reducir a 0% las pérdidas de ventas ocasionadas por la falta de confirmación de stock, centralizando el catálogo en el microservicio de catálogo, con sincronización de stock entre servicios. </w:t>
      </w:r>
    </w:p>
    <w:p w14:paraId="32EDD5BA" w14:textId="77777777" w:rsidR="001A333F" w:rsidRDefault="0021082B">
      <w:pPr>
        <w:numPr>
          <w:ilvl w:val="0"/>
          <w:numId w:val="5"/>
        </w:numPr>
        <w:spacing w:line="360" w:lineRule="auto"/>
        <w:jc w:val="both"/>
      </w:pPr>
      <w:r>
        <w:t>Alcanzable: Implementar los servicios web del sistema —APIs REST en Spring Boot para catálogo y pedidos, y un servicio SOAP para categorías— bajo una arquitectura de software limpia, con control de versiones en Git/GitHub y despliegue automatizado.</w:t>
      </w:r>
      <w:r/>
      <w:proofErr w:type="gramStart"/>
      <w:r/>
      <w:proofErr w:type="gramEnd"/>
      <w:r/>
    </w:p>
    <w:p w14:paraId="692D0F51" w14:textId="77777777" w:rsidR="001A333F" w:rsidRDefault="0021082B">
      <w:pPr>
        <w:numPr>
          <w:ilvl w:val="0"/>
          <w:numId w:val="5"/>
        </w:numPr>
        <w:spacing w:line="360" w:lineRule="auto"/>
        <w:jc w:val="both"/>
      </w:pPr>
      <w:r>
        <w:lastRenderedPageBreak/>
        <w:t xml:space="preserve">Relevante: Mitigar los riesgos de fraude e inconsistencia de datos mediante la integración de un módulo de seguridad con Spring Security y JWT, garantizando el control de accesos basado en roles (Admin / Cliente). </w:t>
      </w:r>
    </w:p>
    <w:p w14:paraId="00B192F6" w14:textId="77777777" w:rsidR="001A333F" w:rsidRDefault="0021082B">
      <w:pPr>
        <w:numPr>
          <w:ilvl w:val="0"/>
          <w:numId w:val="5"/>
        </w:numPr>
        <w:spacing w:line="360" w:lineRule="auto"/>
        <w:jc w:val="both"/>
      </w:pPr>
      <w:r>
        <w:t>Temporal: Integrar y desplegar la solución completa —los microservicios, el API Gateway y el frontend, orquestados con Docker Compose— antes de finalizar el periodo académico de Desarrollo de Servicios Web II.</w:t>
      </w:r>
      <w:r/>
    </w:p>
    <w:p w14:paraId="375F967F" w14:textId="77777777" w:rsidR="001A333F" w:rsidRDefault="001A333F">
      <w:pPr>
        <w:spacing w:line="360" w:lineRule="auto"/>
        <w:jc w:val="both"/>
      </w:pPr>
    </w:p>
    <w:p w14:paraId="691D69A4" w14:textId="77777777" w:rsidR="001A333F" w:rsidRDefault="0021082B">
      <w:pPr>
        <w:pStyle w:val="Ttulo2"/>
        <w:spacing w:line="360" w:lineRule="auto"/>
      </w:pPr>
      <w:bookmarkStart w:id="2" w:name="_heading=h.1ue1yytcronn" w:colFirst="0" w:colLast="0"/>
      <w:bookmarkEnd w:id="2"/>
      <w:r>
        <w:t>2.2.- Definición y alcance:</w:t>
      </w:r>
    </w:p>
    <w:p w14:paraId="286AA646" w14:textId="77777777" w:rsidR="001A333F" w:rsidRDefault="0021082B">
      <w:pPr>
        <w:spacing w:line="360" w:lineRule="auto"/>
        <w:jc w:val="both"/>
      </w:pPr>
      <w:r>
        <w:t>El proyecto comprende el diseño, desarrollo, pruebas y despliegue de una plataforma e-commerce transaccional dirig</w:t>
      </w:r>
      <w:r>
        <w:t xml:space="preserve">ida a la venta de hardware y tecnología de Krypton. </w:t>
      </w:r>
    </w:p>
    <w:p w14:paraId="1E79A246" w14:textId="77777777" w:rsidR="001A333F" w:rsidRDefault="001A333F">
      <w:pPr>
        <w:spacing w:line="360" w:lineRule="auto"/>
        <w:jc w:val="both"/>
      </w:pPr>
    </w:p>
    <w:p w14:paraId="3B531EE9" w14:textId="77777777" w:rsidR="001A333F" w:rsidRDefault="0021082B">
      <w:pPr>
        <w:spacing w:line="360" w:lineRule="auto"/>
        <w:jc w:val="both"/>
        <w:rPr>
          <w:b/>
          <w:bCs/>
        </w:rPr>
      </w:pPr>
      <w:r>
        <w:rPr>
          <w:b/>
          <w:bCs/>
        </w:rPr>
        <w:t xml:space="preserve">Componentes Incluidos dentro del Alcance: </w:t>
      </w:r>
    </w:p>
    <w:p w14:paraId="7ED5B56B" w14:textId="77777777" w:rsidR="001A333F" w:rsidRDefault="0021082B">
      <w:pPr>
        <w:numPr>
          <w:ilvl w:val="0"/>
          <w:numId w:val="6"/>
        </w:numPr>
        <w:spacing w:line="360" w:lineRule="auto"/>
        <w:jc w:val="both"/>
      </w:pPr>
      <w:r>
        <w:t>Módulo de Clientes: Navegación por categorías de productos (laptops, smartphones, etc.), carrito de compras dinámico y generación de órdenes de pedido.</w:t>
      </w:r>
    </w:p>
    <w:p w14:paraId="679DD5D6" w14:textId="77777777" w:rsidR="001A333F" w:rsidRDefault="0021082B">
      <w:pPr>
        <w:numPr>
          <w:ilvl w:val="0"/>
          <w:numId w:val="6"/>
        </w:numPr>
        <w:spacing w:line="360" w:lineRule="auto"/>
        <w:jc w:val="both"/>
      </w:pPr>
      <w:r>
        <w:t xml:space="preserve">Módulo </w:t>
      </w:r>
      <w:r>
        <w:t xml:space="preserve">Administrativo (Backoffice): Autenticación y autorización mediante JWT. Gestión de accesos (roles), mantenimiento CRUD de productos y categorías, y panel de control de inventario. </w:t>
      </w:r>
    </w:p>
    <w:p w14:paraId="2D215846" w14:textId="77777777" w:rsidR="001A333F" w:rsidRDefault="0021082B">
      <w:pPr>
        <w:numPr>
          <w:ilvl w:val="0"/>
          <w:numId w:val="6"/>
        </w:numPr>
        <w:spacing w:line="360" w:lineRule="auto"/>
        <w:jc w:val="both"/>
      </w:pPr>
      <w:r>
        <w:t xml:space="preserve">Módulo de Reportes: Extracción automatizada de reportes consolidados de ventas y stock exportables a formatos PDF y Excel. </w:t>
      </w:r>
    </w:p>
    <w:p w14:paraId="73442DA0" w14:textId="77777777" w:rsidR="001A333F" w:rsidRDefault="0021082B">
      <w:pPr>
        <w:numPr>
          <w:ilvl w:val="0"/>
          <w:numId w:val="6"/>
        </w:numPr>
        <w:spacing w:line="360" w:lineRule="auto"/>
        <w:jc w:val="both"/>
      </w:pPr>
      <w:r>
        <w:t>Arquitectura e infraestructura: microservicios desacoplados (catálogo y pedidos por REST, categorías por SOAP) con API Gateway y descubrimiento por Eureka, resiliencia con circuit breakers y orquestación con Docker Compose (un solo comando levanta todo el ecosistema).</w:t>
      </w:r>
    </w:p>
    <w:p w14:paraId="199735CF" w14:textId="77777777" w:rsidR="001A333F" w:rsidRDefault="001A333F">
      <w:pPr>
        <w:spacing w:line="360" w:lineRule="auto"/>
        <w:ind w:left="720"/>
        <w:jc w:val="both"/>
      </w:pPr>
    </w:p>
    <w:p w14:paraId="58F80237" w14:textId="77777777" w:rsidR="001A333F" w:rsidRPr="00DE2F3D" w:rsidRDefault="0021082B">
      <w:pPr>
        <w:spacing w:line="360" w:lineRule="auto"/>
        <w:jc w:val="both"/>
        <w:rPr>
          <w:b/>
          <w:bCs/>
          <w:lang w:val="en-US"/>
        </w:rPr>
      </w:pPr>
      <w:r w:rsidRPr="00DE2F3D">
        <w:rPr>
          <w:b/>
          <w:bCs/>
          <w:lang w:val="en-US"/>
        </w:rPr>
        <w:t xml:space="preserve">Fuera del Alcance (Out of Scope): </w:t>
      </w:r>
    </w:p>
    <w:p w14:paraId="3D79E4C7" w14:textId="77777777" w:rsidR="001A333F" w:rsidRDefault="0021082B">
      <w:pPr>
        <w:numPr>
          <w:ilvl w:val="0"/>
          <w:numId w:val="6"/>
        </w:numPr>
        <w:spacing w:line="360" w:lineRule="auto"/>
        <w:jc w:val="both"/>
      </w:pPr>
      <w:r>
        <w:t>Procesa</w:t>
      </w:r>
      <w:r>
        <w:t xml:space="preserve">miento directo de pasarelas de pago reales (se trabajará con simulación de transacciones o contra entrega en esta fase). </w:t>
      </w:r>
    </w:p>
    <w:p w14:paraId="084A763F" w14:textId="77777777" w:rsidR="001A333F" w:rsidRDefault="0021082B">
      <w:pPr>
        <w:numPr>
          <w:ilvl w:val="0"/>
          <w:numId w:val="6"/>
        </w:numPr>
        <w:spacing w:line="360" w:lineRule="auto"/>
        <w:jc w:val="both"/>
      </w:pPr>
      <w:r>
        <w:t xml:space="preserve">Módulo logístico de última milla (despacho físico y tracking de vehículos de entrega). </w:t>
      </w:r>
    </w:p>
    <w:p w14:paraId="2BA6FB19" w14:textId="77777777" w:rsidR="001A333F" w:rsidRDefault="001A333F">
      <w:pPr>
        <w:jc w:val="both"/>
      </w:pPr>
    </w:p>
    <w:p w14:paraId="3FFBA800" w14:textId="77777777" w:rsidR="001A333F" w:rsidRDefault="0021082B">
      <w:pPr>
        <w:pStyle w:val="Ttulo1"/>
        <w:spacing w:line="360" w:lineRule="auto"/>
      </w:pPr>
      <w:bookmarkStart w:id="3" w:name="_heading=h.ab4vavg9v8zf" w:colFirst="0" w:colLast="0"/>
      <w:bookmarkEnd w:id="3"/>
      <w:r>
        <w:t>CAPÍTULO 3</w:t>
      </w:r>
    </w:p>
    <w:p w14:paraId="3468F180" w14:textId="77777777" w:rsidR="001A333F" w:rsidRDefault="0021082B">
      <w:pPr>
        <w:spacing w:before="120" w:after="120" w:line="360" w:lineRule="auto"/>
        <w:rPr>
          <w:b/>
          <w:bCs/>
          <w:sz w:val="24"/>
          <w:szCs w:val="24"/>
        </w:rPr>
      </w:pPr>
      <w:r>
        <w:rPr>
          <w:b/>
          <w:bCs/>
          <w:sz w:val="24"/>
          <w:szCs w:val="24"/>
        </w:rPr>
        <w:t xml:space="preserve">PLANIFICACIÓN Y ENTREGABLES </w:t>
      </w:r>
    </w:p>
    <w:p w14:paraId="39058BC0" w14:textId="77777777" w:rsidR="001A333F" w:rsidRDefault="0021082B">
      <w:pPr>
        <w:pStyle w:val="Ttulo2"/>
        <w:spacing w:line="360" w:lineRule="auto"/>
      </w:pPr>
      <w:bookmarkStart w:id="4" w:name="_heading=h.s287d59uqzot" w:colFirst="0" w:colLast="0"/>
      <w:bookmarkEnd w:id="4"/>
      <w:r>
        <w:t>3.1.-</w:t>
      </w:r>
      <w:r>
        <w:t xml:space="preserve"> Productos y entregables</w:t>
      </w:r>
    </w:p>
    <w:p w14:paraId="24CF0CD5" w14:textId="77777777" w:rsidR="001A333F" w:rsidRDefault="0021082B">
      <w:pPr>
        <w:spacing w:line="360" w:lineRule="auto"/>
      </w:pPr>
      <w:r>
        <w:t xml:space="preserve">El desarrollo del sistema se divide en iteraciones funcionales alineadas al cronograma del curso de DSW2: </w:t>
      </w:r>
    </w:p>
    <w:p w14:paraId="362C172E" w14:textId="77777777" w:rsidR="001A333F" w:rsidRDefault="001A333F">
      <w:pPr>
        <w:spacing w:line="360" w:lineRule="auto"/>
      </w:pPr>
    </w:p>
    <w:p w14:paraId="7064C660" w14:textId="76A8C8DC" w:rsidR="00715570" w:rsidRDefault="00715570">
      <w:pPr>
        <w:spacing w:line="360" w:lineRule="auto"/>
      </w:pPr>
      <w:r w:rsidRPr="00715570">
        <w:rPr>
          <w:b/>
          <w:bCs/>
        </w:rPr>
        <w:t>Tabla 1</w:t>
      </w:r>
      <w:r w:rsidRPr="00715570">
        <w:br/>
      </w:r>
      <w:r w:rsidRPr="00715570">
        <w:rPr>
          <w:i/>
          <w:iCs/>
        </w:rPr>
        <w:t>Productos y entregables del proyecto</w:t>
      </w:r>
    </w:p>
    <w:sdt>
      <w:sdtPr>
        <w:tag w:val="goog_rdk_0"/>
        <w:id w:val="-870050180"/>
        <w:lock w:val="contentLocked"/>
      </w:sdtPr>
      <w:sdtEndPr/>
      <w:sdtContent>
        <w:tbl>
          <w:tblPr>
            <w:tblStyle w:val="a"/>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180"/>
            <w:gridCol w:w="3180"/>
          </w:tblGrid>
          <w:tr w:rsidR="001A333F" w14:paraId="268839F9" w14:textId="77777777">
            <w:tc>
              <w:tcPr>
                <w:tcW w:w="3180" w:type="dxa"/>
                <w:tcMar>
                  <w:top w:w="100" w:type="dxa"/>
                  <w:left w:w="100" w:type="dxa"/>
                  <w:bottom w:w="100" w:type="dxa"/>
                  <w:right w:w="100" w:type="dxa"/>
                </w:tcMar>
              </w:tcPr>
              <w:p w14:paraId="54820458" w14:textId="77777777" w:rsidR="001A333F" w:rsidRDefault="0021082B">
                <w:pPr>
                  <w:widowControl w:val="0"/>
                  <w:pBdr>
                    <w:top w:val="nil"/>
                    <w:left w:val="nil"/>
                    <w:bottom w:val="nil"/>
                    <w:right w:val="nil"/>
                    <w:between w:val="nil"/>
                  </w:pBdr>
                  <w:spacing w:line="360" w:lineRule="auto"/>
                  <w:jc w:val="center"/>
                  <w:rPr>
                    <w:b/>
                    <w:bCs/>
                  </w:rPr>
                </w:pPr>
                <w:r>
                  <w:rPr>
                    <w:b/>
                    <w:bCs/>
                  </w:rPr>
                  <w:t xml:space="preserve">Hito / Iteración </w:t>
                </w:r>
              </w:p>
            </w:tc>
            <w:tc>
              <w:tcPr>
                <w:tcW w:w="3180" w:type="dxa"/>
                <w:tcMar>
                  <w:top w:w="100" w:type="dxa"/>
                  <w:left w:w="100" w:type="dxa"/>
                  <w:bottom w:w="100" w:type="dxa"/>
                  <w:right w:w="100" w:type="dxa"/>
                </w:tcMar>
              </w:tcPr>
              <w:p w14:paraId="1AED8C7F" w14:textId="77777777" w:rsidR="001A333F" w:rsidRDefault="0021082B">
                <w:pPr>
                  <w:widowControl w:val="0"/>
                  <w:pBdr>
                    <w:top w:val="nil"/>
                    <w:left w:val="nil"/>
                    <w:bottom w:val="nil"/>
                    <w:right w:val="nil"/>
                    <w:between w:val="nil"/>
                  </w:pBdr>
                  <w:spacing w:line="360" w:lineRule="auto"/>
                  <w:jc w:val="center"/>
                  <w:rPr>
                    <w:b/>
                    <w:bCs/>
                  </w:rPr>
                </w:pPr>
                <w:r>
                  <w:rPr>
                    <w:b/>
                    <w:bCs/>
                  </w:rPr>
                  <w:t>Entregable</w:t>
                </w:r>
              </w:p>
            </w:tc>
            <w:tc>
              <w:tcPr>
                <w:tcW w:w="3180" w:type="dxa"/>
                <w:tcMar>
                  <w:top w:w="100" w:type="dxa"/>
                  <w:left w:w="100" w:type="dxa"/>
                  <w:bottom w:w="100" w:type="dxa"/>
                  <w:right w:w="100" w:type="dxa"/>
                </w:tcMar>
              </w:tcPr>
              <w:p w14:paraId="2633A686" w14:textId="77777777" w:rsidR="001A333F" w:rsidRDefault="0021082B">
                <w:pPr>
                  <w:widowControl w:val="0"/>
                  <w:pBdr>
                    <w:top w:val="nil"/>
                    <w:left w:val="nil"/>
                    <w:bottom w:val="nil"/>
                    <w:right w:val="nil"/>
                    <w:between w:val="nil"/>
                  </w:pBdr>
                  <w:spacing w:line="360" w:lineRule="auto"/>
                  <w:jc w:val="center"/>
                  <w:rPr>
                    <w:b/>
                    <w:bCs/>
                  </w:rPr>
                </w:pPr>
                <w:r>
                  <w:rPr>
                    <w:b/>
                    <w:bCs/>
                  </w:rPr>
                  <w:t xml:space="preserve">Descripción Técnica </w:t>
                </w:r>
              </w:p>
            </w:tc>
          </w:tr>
          <w:tr w:rsidR="001A333F" w14:paraId="4FAA9FBC" w14:textId="77777777">
            <w:tc>
              <w:tcPr>
                <w:tcW w:w="3180" w:type="dxa"/>
                <w:tcMar>
                  <w:top w:w="100" w:type="dxa"/>
                  <w:left w:w="100" w:type="dxa"/>
                  <w:bottom w:w="100" w:type="dxa"/>
                  <w:right w:w="100" w:type="dxa"/>
                </w:tcMar>
              </w:tcPr>
              <w:p w14:paraId="5324D062" w14:textId="77777777" w:rsidR="001A333F" w:rsidRDefault="0021082B">
                <w:pPr>
                  <w:widowControl w:val="0"/>
                  <w:pBdr>
                    <w:top w:val="nil"/>
                    <w:left w:val="nil"/>
                    <w:bottom w:val="nil"/>
                    <w:right w:val="nil"/>
                    <w:between w:val="nil"/>
                  </w:pBdr>
                  <w:spacing w:line="360" w:lineRule="auto"/>
                </w:pPr>
                <w:r>
                  <w:t xml:space="preserve">Entregable 1 </w:t>
                </w:r>
              </w:p>
            </w:tc>
            <w:tc>
              <w:tcPr>
                <w:tcW w:w="3180" w:type="dxa"/>
                <w:tcMar>
                  <w:top w:w="100" w:type="dxa"/>
                  <w:left w:w="100" w:type="dxa"/>
                  <w:bottom w:w="100" w:type="dxa"/>
                  <w:right w:w="100" w:type="dxa"/>
                </w:tcMar>
              </w:tcPr>
              <w:p w14:paraId="465B3204" w14:textId="77777777" w:rsidR="001A333F" w:rsidRDefault="0021082B">
                <w:pPr>
                  <w:widowControl w:val="0"/>
                  <w:pBdr>
                    <w:top w:val="nil"/>
                    <w:left w:val="nil"/>
                    <w:bottom w:val="nil"/>
                    <w:right w:val="nil"/>
                    <w:between w:val="nil"/>
                  </w:pBdr>
                  <w:spacing w:line="360" w:lineRule="auto"/>
                </w:pPr>
                <w:r>
                  <w:t xml:space="preserve">Informe de Avance I </w:t>
                </w:r>
              </w:p>
            </w:tc>
            <w:tc>
              <w:tcPr>
                <w:tcW w:w="3180" w:type="dxa"/>
                <w:tcMar>
                  <w:top w:w="100" w:type="dxa"/>
                  <w:left w:w="100" w:type="dxa"/>
                  <w:bottom w:w="100" w:type="dxa"/>
                  <w:right w:w="100" w:type="dxa"/>
                </w:tcMar>
              </w:tcPr>
              <w:p w14:paraId="339AAB4E" w14:textId="77777777" w:rsidR="001A333F" w:rsidRDefault="0021082B">
                <w:pPr>
                  <w:widowControl w:val="0"/>
                  <w:pBdr>
                    <w:top w:val="nil"/>
                    <w:left w:val="nil"/>
                    <w:bottom w:val="nil"/>
                    <w:right w:val="nil"/>
                    <w:between w:val="nil"/>
                  </w:pBdr>
                  <w:spacing w:line="360" w:lineRule="auto"/>
                </w:pPr>
                <w:r>
                  <w:t xml:space="preserve">Diagnóstico del problema, planteamiento del caso de negocio y análisis SEPTE. </w:t>
                </w:r>
              </w:p>
            </w:tc>
          </w:tr>
          <w:tr w:rsidR="001A333F" w14:paraId="05AF86F2" w14:textId="77777777">
            <w:tc>
              <w:tcPr>
                <w:tcW w:w="3180" w:type="dxa"/>
                <w:tcMar>
                  <w:top w:w="100" w:type="dxa"/>
                  <w:left w:w="100" w:type="dxa"/>
                  <w:bottom w:w="100" w:type="dxa"/>
                  <w:right w:w="100" w:type="dxa"/>
                </w:tcMar>
              </w:tcPr>
              <w:p w14:paraId="5FBEC550" w14:textId="77777777" w:rsidR="001A333F" w:rsidRDefault="0021082B">
                <w:pPr>
                  <w:widowControl w:val="0"/>
                  <w:pBdr>
                    <w:top w:val="nil"/>
                    <w:left w:val="nil"/>
                    <w:bottom w:val="nil"/>
                    <w:right w:val="nil"/>
                    <w:between w:val="nil"/>
                  </w:pBdr>
                  <w:spacing w:line="360" w:lineRule="auto"/>
                </w:pPr>
                <w:r>
                  <w:t>Entregable 2</w:t>
                </w:r>
              </w:p>
            </w:tc>
            <w:tc>
              <w:tcPr>
                <w:tcW w:w="3180" w:type="dxa"/>
                <w:tcMar>
                  <w:top w:w="100" w:type="dxa"/>
                  <w:left w:w="100" w:type="dxa"/>
                  <w:bottom w:w="100" w:type="dxa"/>
                  <w:right w:w="100" w:type="dxa"/>
                </w:tcMar>
              </w:tcPr>
              <w:p w14:paraId="34A47BFC" w14:textId="77777777" w:rsidR="001A333F" w:rsidRDefault="0021082B">
                <w:pPr>
                  <w:widowControl w:val="0"/>
                  <w:pBdr>
                    <w:top w:val="nil"/>
                    <w:left w:val="nil"/>
                    <w:bottom w:val="nil"/>
                    <w:right w:val="nil"/>
                    <w:between w:val="nil"/>
                  </w:pBdr>
                  <w:spacing w:line="360" w:lineRule="auto"/>
                </w:pPr>
                <w:r>
                  <w:t xml:space="preserve">Modelado e Infraestructura </w:t>
                </w:r>
              </w:p>
            </w:tc>
            <w:tc>
              <w:tcPr>
                <w:tcW w:w="3180" w:type="dxa"/>
                <w:tcMar>
                  <w:top w:w="100" w:type="dxa"/>
                  <w:left w:w="100" w:type="dxa"/>
                  <w:bottom w:w="100" w:type="dxa"/>
                  <w:right w:w="100" w:type="dxa"/>
                </w:tcMar>
              </w:tcPr>
              <w:p w14:paraId="253537EF" w14:textId="77777777" w:rsidR="001A333F" w:rsidRDefault="0021082B">
                <w:pPr>
                  <w:widowControl w:val="0"/>
                  <w:pBdr>
                    <w:top w:val="nil"/>
                    <w:left w:val="nil"/>
                    <w:bottom w:val="nil"/>
                    <w:right w:val="nil"/>
                    <w:between w:val="nil"/>
                  </w:pBdr>
                  <w:spacing w:line="360" w:lineRule="auto"/>
                </w:pPr>
                <w:r>
                  <w:t xml:space="preserve">Diseño de la base de datos MySQL, especificación de la API REST, diagramas de arquitectura y despliegue del esqueleto inicial en los entornos cloud. </w:t>
                </w:r>
              </w:p>
            </w:tc>
          </w:tr>
          <w:tr w:rsidR="001A333F" w14:paraId="4D090733" w14:textId="77777777">
            <w:tc>
              <w:tcPr>
                <w:tcW w:w="3180" w:type="dxa"/>
                <w:tcMar>
                  <w:top w:w="100" w:type="dxa"/>
                  <w:left w:w="100" w:type="dxa"/>
                  <w:bottom w:w="100" w:type="dxa"/>
                  <w:right w:w="100" w:type="dxa"/>
                </w:tcMar>
              </w:tcPr>
              <w:p w14:paraId="39D8B174" w14:textId="77777777" w:rsidR="001A333F" w:rsidRDefault="0021082B">
                <w:pPr>
                  <w:widowControl w:val="0"/>
                  <w:pBdr>
                    <w:top w:val="nil"/>
                    <w:left w:val="nil"/>
                    <w:bottom w:val="nil"/>
                    <w:right w:val="nil"/>
                    <w:between w:val="nil"/>
                  </w:pBdr>
                  <w:spacing w:line="360" w:lineRule="auto"/>
                </w:pPr>
                <w:r>
                  <w:t>Entregable 3</w:t>
                </w:r>
              </w:p>
            </w:tc>
            <w:tc>
              <w:tcPr>
                <w:tcW w:w="3180" w:type="dxa"/>
                <w:tcMar>
                  <w:top w:w="100" w:type="dxa"/>
                  <w:left w:w="100" w:type="dxa"/>
                  <w:bottom w:w="100" w:type="dxa"/>
                  <w:right w:w="100" w:type="dxa"/>
                </w:tcMar>
              </w:tcPr>
              <w:p w14:paraId="491C8A2E" w14:textId="77777777" w:rsidR="001A333F" w:rsidRDefault="0021082B">
                <w:pPr>
                  <w:widowControl w:val="0"/>
                  <w:pBdr>
                    <w:top w:val="nil"/>
                    <w:left w:val="nil"/>
                    <w:bottom w:val="nil"/>
                    <w:right w:val="nil"/>
                    <w:between w:val="nil"/>
                  </w:pBdr>
                  <w:spacing w:line="360" w:lineRule="auto"/>
                </w:pPr>
                <w:r>
                  <w:t xml:space="preserve">Core Backend &amp; Seguridad </w:t>
                </w:r>
              </w:p>
            </w:tc>
            <w:tc>
              <w:tcPr>
                <w:tcW w:w="3180" w:type="dxa"/>
                <w:tcMar>
                  <w:top w:w="100" w:type="dxa"/>
                  <w:left w:w="100" w:type="dxa"/>
                  <w:bottom w:w="100" w:type="dxa"/>
                  <w:right w:w="100" w:type="dxa"/>
                </w:tcMar>
              </w:tcPr>
              <w:p w14:paraId="66EDD4C9" w14:textId="77777777" w:rsidR="001A333F" w:rsidRDefault="0021082B">
                <w:pPr>
                  <w:widowControl w:val="0"/>
                  <w:pBdr>
                    <w:top w:val="nil"/>
                    <w:left w:val="nil"/>
                    <w:bottom w:val="nil"/>
                    <w:right w:val="nil"/>
                    <w:between w:val="nil"/>
                  </w:pBdr>
                  <w:spacing w:line="360" w:lineRule="auto"/>
                </w:pPr>
                <w:r>
                  <w:t>Construcción de los servicios en Spring Boot, persistencia de dato</w:t>
                </w:r>
                <w:r>
                  <w:t xml:space="preserve">s y módulo de autenticación con Spring Security y JWT. </w:t>
                </w:r>
              </w:p>
            </w:tc>
          </w:tr>
          <w:tr w:rsidR="001A333F" w14:paraId="5E9E3B19" w14:textId="77777777">
            <w:tc>
              <w:tcPr>
                <w:tcW w:w="3180" w:type="dxa"/>
                <w:tcMar>
                  <w:top w:w="100" w:type="dxa"/>
                  <w:left w:w="100" w:type="dxa"/>
                  <w:bottom w:w="100" w:type="dxa"/>
                  <w:right w:w="100" w:type="dxa"/>
                </w:tcMar>
              </w:tcPr>
              <w:p w14:paraId="6E6603BF" w14:textId="77777777" w:rsidR="001A333F" w:rsidRDefault="0021082B">
                <w:pPr>
                  <w:widowControl w:val="0"/>
                  <w:pBdr>
                    <w:top w:val="nil"/>
                    <w:left w:val="nil"/>
                    <w:bottom w:val="nil"/>
                    <w:right w:val="nil"/>
                    <w:between w:val="nil"/>
                  </w:pBdr>
                  <w:spacing w:line="360" w:lineRule="auto"/>
                </w:pPr>
                <w:r>
                  <w:t>Entregable 4</w:t>
                </w:r>
              </w:p>
            </w:tc>
            <w:tc>
              <w:tcPr>
                <w:tcW w:w="3180" w:type="dxa"/>
                <w:tcMar>
                  <w:top w:w="100" w:type="dxa"/>
                  <w:left w:w="100" w:type="dxa"/>
                  <w:bottom w:w="100" w:type="dxa"/>
                  <w:right w:w="100" w:type="dxa"/>
                </w:tcMar>
              </w:tcPr>
              <w:p w14:paraId="5AAA9685" w14:textId="77777777" w:rsidR="001A333F" w:rsidRDefault="0021082B">
                <w:pPr>
                  <w:widowControl w:val="0"/>
                  <w:pBdr>
                    <w:top w:val="nil"/>
                    <w:left w:val="nil"/>
                    <w:bottom w:val="nil"/>
                    <w:right w:val="nil"/>
                    <w:between w:val="nil"/>
                  </w:pBdr>
                  <w:spacing w:line="360" w:lineRule="auto"/>
                </w:pPr>
                <w:r>
                  <w:t xml:space="preserve">Frontend e Integración </w:t>
                </w:r>
              </w:p>
            </w:tc>
            <w:tc>
              <w:tcPr>
                <w:tcW w:w="3180" w:type="dxa"/>
                <w:tcMar>
                  <w:top w:w="100" w:type="dxa"/>
                  <w:left w:w="100" w:type="dxa"/>
                  <w:bottom w:w="100" w:type="dxa"/>
                  <w:right w:w="100" w:type="dxa"/>
                </w:tcMar>
              </w:tcPr>
              <w:p w14:paraId="5D5D47F4" w14:textId="77777777" w:rsidR="001A333F" w:rsidRDefault="0021082B">
                <w:pPr>
                  <w:widowControl w:val="0"/>
                  <w:pBdr>
                    <w:top w:val="nil"/>
                    <w:left w:val="nil"/>
                    <w:bottom w:val="nil"/>
                    <w:right w:val="nil"/>
                    <w:between w:val="nil"/>
                  </w:pBdr>
                  <w:spacing w:line="360" w:lineRule="auto"/>
                </w:pPr>
                <w:r>
                  <w:t xml:space="preserve">Interfaz de usuario en React con TailwindCSS, consumo de la API REST, carrito de compras y generación de reportes (Apache POI / OpenPDF). </w:t>
                </w:r>
              </w:p>
            </w:tc>
          </w:tr>
          <w:tr w:rsidR="001A333F" w14:paraId="6D018DCA" w14:textId="77777777">
            <w:tc>
              <w:tcPr>
                <w:tcW w:w="3180" w:type="dxa"/>
                <w:tcMar>
                  <w:top w:w="100" w:type="dxa"/>
                  <w:left w:w="100" w:type="dxa"/>
                  <w:bottom w:w="100" w:type="dxa"/>
                  <w:right w:w="100" w:type="dxa"/>
                </w:tcMar>
              </w:tcPr>
              <w:p w14:paraId="774E17A7" w14:textId="77777777" w:rsidR="001A333F" w:rsidRDefault="0021082B">
                <w:pPr>
                  <w:widowControl w:val="0"/>
                  <w:pBdr>
                    <w:top w:val="nil"/>
                    <w:left w:val="nil"/>
                    <w:bottom w:val="nil"/>
                    <w:right w:val="nil"/>
                    <w:between w:val="nil"/>
                  </w:pBdr>
                  <w:spacing w:line="360" w:lineRule="auto"/>
                </w:pPr>
                <w:r>
                  <w:t xml:space="preserve">Entregable Final </w:t>
                </w:r>
              </w:p>
            </w:tc>
            <w:tc>
              <w:tcPr>
                <w:tcW w:w="3180" w:type="dxa"/>
                <w:tcMar>
                  <w:top w:w="100" w:type="dxa"/>
                  <w:left w:w="100" w:type="dxa"/>
                  <w:bottom w:w="100" w:type="dxa"/>
                  <w:right w:w="100" w:type="dxa"/>
                </w:tcMar>
              </w:tcPr>
              <w:p w14:paraId="09EE5F40" w14:textId="77777777" w:rsidR="001A333F" w:rsidRDefault="0021082B">
                <w:pPr>
                  <w:widowControl w:val="0"/>
                  <w:pBdr>
                    <w:top w:val="nil"/>
                    <w:left w:val="nil"/>
                    <w:bottom w:val="nil"/>
                    <w:right w:val="nil"/>
                    <w:between w:val="nil"/>
                  </w:pBdr>
                  <w:spacing w:line="360" w:lineRule="auto"/>
                </w:pPr>
                <w:r>
                  <w:t xml:space="preserve">Solución Desplegada y Validada </w:t>
                </w:r>
              </w:p>
            </w:tc>
            <w:tc>
              <w:tcPr>
                <w:tcW w:w="3180" w:type="dxa"/>
                <w:tcMar>
                  <w:top w:w="100" w:type="dxa"/>
                  <w:left w:w="100" w:type="dxa"/>
                  <w:bottom w:w="100" w:type="dxa"/>
                  <w:right w:w="100" w:type="dxa"/>
                </w:tcMar>
              </w:tcPr>
              <w:p w14:paraId="18C8DE36" w14:textId="77777777" w:rsidR="001A333F" w:rsidRDefault="0021082B">
                <w:pPr>
                  <w:widowControl w:val="0"/>
                  <w:pBdr>
                    <w:top w:val="nil"/>
                    <w:left w:val="nil"/>
                    <w:bottom w:val="nil"/>
                    <w:right w:val="nil"/>
                    <w:between w:val="nil"/>
                  </w:pBdr>
                  <w:spacing w:line="360" w:lineRule="auto"/>
                </w:pPr>
                <w:r>
                  <w:t xml:space="preserve">QA final, pruebas de integración con Testcontainers y sustentación de la plataforma e-commerce </w:t>
                </w:r>
                <w:r>
                  <w:lastRenderedPageBreak/>
                  <w:t xml:space="preserve">operativa en la nube. </w:t>
                </w:r>
              </w:p>
            </w:tc>
          </w:tr>
        </w:tbl>
      </w:sdtContent>
    </w:sdt>
    <w:p w14:paraId="6FA965DB" w14:textId="0A51A4B5" w:rsidR="001A333F" w:rsidRDefault="00715570">
      <w:r w:rsidRPr="00715570">
        <w:rPr>
          <w:b/>
          <w:bCs/>
        </w:rPr>
        <w:lastRenderedPageBreak/>
        <w:t>Nota.</w:t>
      </w:r>
      <w:r w:rsidRPr="00715570">
        <w:t xml:space="preserve"> Elaboración propia.</w:t>
      </w:r>
    </w:p>
    <w:p w14:paraId="50B57CEA" w14:textId="77777777" w:rsidR="001A333F" w:rsidRDefault="0021082B">
      <w:pPr>
        <w:pStyle w:val="Ttulo1"/>
        <w:spacing w:line="360" w:lineRule="auto"/>
      </w:pPr>
      <w:bookmarkStart w:id="5" w:name="_heading=h.113hjoy6c149" w:colFirst="0" w:colLast="0"/>
      <w:bookmarkEnd w:id="5"/>
      <w:r>
        <w:t>CONCLUSIONES</w:t>
      </w:r>
    </w:p>
    <w:p w14:paraId="5D860EAC" w14:textId="77777777" w:rsidR="001A333F" w:rsidRDefault="0021082B">
      <w:pPr>
        <w:numPr>
          <w:ilvl w:val="0"/>
          <w:numId w:val="4"/>
        </w:numPr>
        <w:spacing w:line="360" w:lineRule="auto"/>
        <w:jc w:val="both"/>
      </w:pPr>
      <w:r>
        <w:t xml:space="preserve">La transición del modelo operativo tradicional de Krypton hacia </w:t>
      </w:r>
      <w:r>
        <w:t xml:space="preserve">un ecosistema digital e-commerce constituye una necesidad estratégica crítica, respaldada por un mercado peruano en crecimiento exponencial que exige inmediatez y disponibilidad transaccional. </w:t>
      </w:r>
    </w:p>
    <w:p w14:paraId="7AEDCB60" w14:textId="77777777" w:rsidR="001A333F" w:rsidRDefault="0021082B">
      <w:pPr>
        <w:numPr>
          <w:ilvl w:val="0"/>
          <w:numId w:val="4"/>
        </w:numPr>
        <w:spacing w:line="360" w:lineRule="auto"/>
        <w:jc w:val="both"/>
      </w:pPr>
      <w:r>
        <w:t>La arquitectura de microservicios seleccionada (Spring Boot, Spring Cloud y React) garantiza un desacoplamiento eficiente que facilita el mantenimiento, el despliegue independiente y la escalabilidad de cada servicio, además de aislar las fallas mediante resiliencia (circuit breakers y fallbacks), sin incurrir en elevados costos de infraestructura física.</w:t>
      </w:r>
      <w:r/>
    </w:p>
    <w:p w14:paraId="0FA01B7D" w14:textId="77777777" w:rsidR="001A333F" w:rsidRDefault="0021082B">
      <w:pPr>
        <w:numPr>
          <w:ilvl w:val="0"/>
          <w:numId w:val="4"/>
        </w:numPr>
        <w:spacing w:line="360" w:lineRule="auto"/>
        <w:jc w:val="both"/>
      </w:pPr>
      <w:r>
        <w:t>La sincronización del stock entre los servicios (catálogo, pedidos y el monolito que actúa como puente) elimina de raíz las discrepancias e inconsistencias de inventario que afectaban la experiencia del cliente en las ventas por canales informales.</w:t>
      </w:r>
    </w:p>
    <w:p w14:paraId="0C4B3666" w14:textId="77777777" w:rsidR="001A333F" w:rsidRDefault="0021082B">
      <w:pPr>
        <w:numPr>
          <w:ilvl w:val="0"/>
          <w:numId w:val="4"/>
        </w:numPr>
        <w:spacing w:line="360" w:lineRule="auto"/>
        <w:jc w:val="both"/>
      </w:pPr>
      <w:r>
        <w:t>El diseño e implementación d</w:t>
      </w:r>
      <w:r>
        <w:t xml:space="preserve">e controles de seguridad basados en JWT y el estándar OWASP Top 10 mitigan las vulnerabilidades de accesos concurrentes no autorizados y fraudes internos identificados en el diagnóstico. </w:t>
      </w:r>
    </w:p>
    <w:p w14:paraId="3C728C12" w14:textId="77777777" w:rsidR="001A333F" w:rsidRDefault="0021082B">
      <w:pPr>
        <w:pStyle w:val="Ttulo1"/>
        <w:spacing w:line="360" w:lineRule="auto"/>
      </w:pPr>
      <w:bookmarkStart w:id="6" w:name="_heading=h.hw7weyjmhnez" w:colFirst="0" w:colLast="0"/>
      <w:bookmarkEnd w:id="6"/>
      <w:r>
        <w:t>RECOMENDACIONES</w:t>
      </w:r>
    </w:p>
    <w:p w14:paraId="11745E0B" w14:textId="77777777" w:rsidR="001A333F" w:rsidRDefault="0021082B">
      <w:pPr>
        <w:numPr>
          <w:ilvl w:val="0"/>
          <w:numId w:val="3"/>
        </w:numPr>
        <w:spacing w:line="360" w:lineRule="auto"/>
        <w:jc w:val="both"/>
      </w:pPr>
      <w:r>
        <w:t>Implementar capacitaciones breves al personal admini</w:t>
      </w:r>
      <w:r>
        <w:t xml:space="preserve">strativo de Krypton sobre el uso de la nueva interfaz CRUD y la lectura de reportes analíticos para acelerar la curva de adopción del sistema. </w:t>
      </w:r>
    </w:p>
    <w:p w14:paraId="384874C2" w14:textId="77777777" w:rsidR="001A333F" w:rsidRDefault="0021082B">
      <w:pPr>
        <w:numPr>
          <w:ilvl w:val="0"/>
          <w:numId w:val="3"/>
        </w:numPr>
        <w:spacing w:line="360" w:lineRule="auto"/>
        <w:jc w:val="both"/>
      </w:pPr>
      <w:r>
        <w:t xml:space="preserve">Monitorear periódicamente las métricas de latencia de los servidores de despliegue en la nube (Render/Railway y </w:t>
      </w:r>
      <w:r>
        <w:t xml:space="preserve">Vercel) durante eventos de alta demanda comercial para evaluar una futura migración a un plan de pago por uso. </w:t>
      </w:r>
    </w:p>
    <w:p w14:paraId="4EB4091F" w14:textId="77777777" w:rsidR="001A333F" w:rsidRDefault="0021082B">
      <w:pPr>
        <w:numPr>
          <w:ilvl w:val="0"/>
          <w:numId w:val="3"/>
        </w:numPr>
        <w:spacing w:line="360" w:lineRule="auto"/>
        <w:jc w:val="both"/>
      </w:pPr>
      <w:r>
        <w:t xml:space="preserve">Evaluar, en una segunda etapa del proyecto, la integración de una pasarela de pagos nacional (como Culqi, Niubiz o MercadoPago) y un servicio de mapas para automatizar los costos de delivery a provincias. </w:t>
      </w:r>
    </w:p>
    <w:p w14:paraId="6BCED183" w14:textId="77777777" w:rsidR="001A333F" w:rsidRDefault="0021082B">
      <w:pPr>
        <w:numPr>
          <w:ilvl w:val="0"/>
          <w:numId w:val="3"/>
        </w:numPr>
        <w:spacing w:line="360" w:lineRule="auto"/>
        <w:jc w:val="both"/>
      </w:pPr>
      <w:r>
        <w:t>Mantener actualizadas las dependencias del proyect</w:t>
      </w:r>
      <w:r>
        <w:t xml:space="preserve">o (Spring Boot y paquetes de React) en el repositorio de GitHub para prevenir brechas de seguridad de librerías de terceros según los escaneos automatizados. </w:t>
      </w:r>
    </w:p>
    <w:p w14:paraId="796D96A1" w14:textId="77777777" w:rsidR="00BF4BC0" w:rsidRDefault="00BF4BC0">
      <w:pPr>
        <w:spacing w:line="480" w:lineRule="auto"/>
        <w:jc w:val="both"/>
        <w:rPr>
          <w:b/>
          <w:bCs/>
          <w:color w:val="1F4E79"/>
          <w:sz w:val="28"/>
          <w:szCs w:val="28"/>
        </w:rPr>
      </w:pPr>
    </w:p>
    <w:p w14:paraId="0E95C1CB" w14:textId="5CD884DA" w:rsidR="001A333F" w:rsidRDefault="0021082B">
      <w:pPr>
        <w:spacing w:line="480" w:lineRule="auto"/>
        <w:jc w:val="both"/>
      </w:pPr>
      <w:r>
        <w:rPr>
          <w:b/>
          <w:bCs/>
          <w:color w:val="1F4E79"/>
          <w:sz w:val="28"/>
          <w:szCs w:val="28"/>
        </w:rPr>
        <w:lastRenderedPageBreak/>
        <w:t>GLOSARIO</w:t>
      </w:r>
      <w:r>
        <w:t xml:space="preserve">  </w:t>
      </w:r>
    </w:p>
    <w:p w14:paraId="2238545A" w14:textId="77777777" w:rsidR="001A333F" w:rsidRDefault="0021082B">
      <w:pPr>
        <w:numPr>
          <w:ilvl w:val="0"/>
          <w:numId w:val="2"/>
        </w:numPr>
        <w:spacing w:line="480" w:lineRule="auto"/>
        <w:jc w:val="both"/>
      </w:pPr>
      <w:r>
        <w:t>API REST: (Application Programming Interface - Representational State Transfer) Inter</w:t>
      </w:r>
      <w:r>
        <w:t xml:space="preserve">faz de programación de aplicaciones que utiliza peticiones HTTP para transferir datos, empleando comúnmente el formato JSON. </w:t>
      </w:r>
    </w:p>
    <w:p w14:paraId="6608BEBC" w14:textId="77777777" w:rsidR="001A333F" w:rsidRDefault="0021082B">
      <w:pPr>
        <w:numPr>
          <w:ilvl w:val="0"/>
          <w:numId w:val="2"/>
        </w:numPr>
        <w:spacing w:line="360" w:lineRule="auto"/>
        <w:jc w:val="both"/>
      </w:pPr>
      <w:r>
        <w:t>JWT (JSON Web Token): Estándar abierto para la creación de tokens de acceso que permiten la transmisión segura de información entr</w:t>
      </w:r>
      <w:r>
        <w:t xml:space="preserve">e el cliente y el servidor como un objeto JSON. </w:t>
      </w:r>
    </w:p>
    <w:p w14:paraId="788A1B6B" w14:textId="77777777" w:rsidR="001A333F" w:rsidRDefault="0021082B">
      <w:pPr>
        <w:numPr>
          <w:ilvl w:val="0"/>
          <w:numId w:val="2"/>
        </w:numPr>
        <w:spacing w:line="360" w:lineRule="auto"/>
        <w:jc w:val="both"/>
      </w:pPr>
      <w:r>
        <w:t>Microservicios: Estilo de arquitectura en el que la aplicación se compone de servicios pequeños, independientes y desplegables por separado, cada uno dueño de su propia base de datos y comunicado con los demás mediante servicios web (REST o SOAP).</w:t>
      </w:r>
    </w:p>
    <w:p w14:paraId="654AD201" w14:textId="77777777" w:rsidR="001A333F" w:rsidRDefault="0021082B">
      <w:pPr>
        <w:numPr>
          <w:ilvl w:val="0"/>
          <w:numId w:val="2"/>
        </w:numPr>
        <w:spacing w:line="360" w:lineRule="auto"/>
        <w:jc w:val="both"/>
      </w:pPr>
      <w:r>
        <w:t>OWASP</w:t>
      </w:r>
      <w:r>
        <w:t xml:space="preserve"> (Open Web Application Security Project): Comunidad abierta sin fines de lucro orientada a mejorar la seguridad de las aplicaciones web a través de estándares y listados de las vulnerabilidades más críticas mundialmente. </w:t>
      </w:r>
    </w:p>
    <w:p w14:paraId="02674D34" w14:textId="77777777" w:rsidR="001A333F" w:rsidRDefault="0021082B">
      <w:pPr>
        <w:numPr>
          <w:ilvl w:val="0"/>
          <w:numId w:val="2"/>
        </w:numPr>
        <w:spacing w:line="360" w:lineRule="auto"/>
        <w:jc w:val="both"/>
      </w:pPr>
      <w:r>
        <w:t>React: Librería de JavaScript de c</w:t>
      </w:r>
      <w:r>
        <w:t xml:space="preserve">ódigo abierto diseñada para crear interfaces de usuario basadas en componentes declarativos, utilizada en este proyecto para el desarrollo del frontend. </w:t>
      </w:r>
    </w:p>
    <w:p w14:paraId="50097964" w14:textId="77777777" w:rsidR="001A333F" w:rsidRDefault="0021082B">
      <w:pPr>
        <w:numPr>
          <w:ilvl w:val="0"/>
          <w:numId w:val="2"/>
        </w:numPr>
        <w:spacing w:line="360" w:lineRule="auto"/>
        <w:jc w:val="both"/>
      </w:pPr>
      <w:r>
        <w:t>Spring Boot: Framework de desarrollo ágil basado en Java que simplifica la configuración y el desplieg</w:t>
      </w:r>
      <w:r>
        <w:t xml:space="preserve">ue de aplicaciones empresariales de alta cohesión </w:t>
      </w:r>
    </w:p>
    <w:p w14:paraId="1682BF55" w14:textId="77777777" w:rsidR="001A333F" w:rsidRDefault="001A333F">
      <w:pPr>
        <w:spacing w:line="360" w:lineRule="auto"/>
        <w:jc w:val="both"/>
      </w:pPr>
    </w:p>
    <w:p w14:paraId="30F2EDBB" w14:textId="77777777" w:rsidR="001A333F" w:rsidRDefault="0021082B">
      <w:pPr>
        <w:spacing w:before="120" w:after="120" w:line="360" w:lineRule="auto"/>
        <w:jc w:val="both"/>
        <w:rPr>
          <w:b/>
          <w:bCs/>
        </w:rPr>
      </w:pPr>
      <w:r>
        <w:rPr>
          <w:b/>
          <w:bCs/>
          <w:color w:val="1F4E79"/>
          <w:sz w:val="28"/>
          <w:szCs w:val="28"/>
        </w:rPr>
        <w:t>BIBLIOGRAFÍA:</w:t>
      </w:r>
    </w:p>
    <w:p w14:paraId="7296EE34" w14:textId="77777777" w:rsidR="001A333F" w:rsidRDefault="0021082B">
      <w:pPr>
        <w:spacing w:before="120" w:after="120" w:line="360" w:lineRule="auto"/>
        <w:ind w:left="113" w:firstLine="720"/>
        <w:jc w:val="both"/>
      </w:pPr>
      <w:r>
        <w:t xml:space="preserve">Cámara de Comercio de Lima (CCL). (2023). </w:t>
      </w:r>
      <w:r>
        <w:rPr>
          <w:i/>
          <w:iCs/>
        </w:rPr>
        <w:t>Informe sobre comercio electrónico y comportamiento del consumidor en el Perú</w:t>
      </w:r>
      <w:r>
        <w:t>. Cámara de Comercio de Lima.</w:t>
      </w:r>
    </w:p>
    <w:p w14:paraId="233D47D7" w14:textId="77777777" w:rsidR="001A333F" w:rsidRDefault="0021082B">
      <w:pPr>
        <w:spacing w:before="120" w:after="120" w:line="360" w:lineRule="auto"/>
        <w:ind w:left="113" w:firstLine="720"/>
        <w:jc w:val="both"/>
      </w:pPr>
      <w:r>
        <w:t>Cámara Peruana de Comercio Electrónico (C</w:t>
      </w:r>
      <w:r>
        <w:t xml:space="preserve">APECE). (2024). </w:t>
      </w:r>
      <w:r>
        <w:rPr>
          <w:i/>
          <w:iCs/>
        </w:rPr>
        <w:t>Reporte oficial de industria e-commerce Perú 2024</w:t>
      </w:r>
      <w:r>
        <w:t xml:space="preserve">. </w:t>
      </w:r>
      <w:hyperlink r:id="rId9">
        <w:r w:rsidR="001A333F">
          <w:rPr>
            <w:color w:val="0000FF"/>
            <w:u w:val="single"/>
          </w:rPr>
          <w:t>https://www.capece.org.pe</w:t>
        </w:r>
      </w:hyperlink>
    </w:p>
    <w:p w14:paraId="00F9BBD5" w14:textId="77777777" w:rsidR="001A333F" w:rsidRPr="00DE2F3D" w:rsidRDefault="0021082B">
      <w:pPr>
        <w:spacing w:before="120" w:after="120" w:line="360" w:lineRule="auto"/>
        <w:ind w:left="113" w:firstLine="720"/>
        <w:jc w:val="both"/>
        <w:rPr>
          <w:lang w:val="en-US"/>
        </w:rPr>
      </w:pPr>
      <w:r>
        <w:t xml:space="preserve">Congreso de la República del Perú. (2010). </w:t>
      </w:r>
      <w:r>
        <w:rPr>
          <w:i/>
          <w:iCs/>
        </w:rPr>
        <w:t>Ley N.° 29571. Código de Protección y Defensa del Consumidor</w:t>
      </w:r>
      <w:r>
        <w:t xml:space="preserve">. </w:t>
      </w:r>
      <w:hyperlink r:id="rId10">
        <w:r w:rsidR="001A333F" w:rsidRPr="00DE2F3D">
          <w:rPr>
            <w:color w:val="0000FF"/>
            <w:u w:val="single"/>
            <w:lang w:val="en-US"/>
          </w:rPr>
          <w:t>https://www.leyes.congreso.gob.pe</w:t>
        </w:r>
      </w:hyperlink>
    </w:p>
    <w:p w14:paraId="07A77AC0" w14:textId="77777777" w:rsidR="001A333F" w:rsidRDefault="0021082B">
      <w:pPr>
        <w:spacing w:before="120" w:after="120" w:line="360" w:lineRule="auto"/>
        <w:ind w:left="113" w:firstLine="720"/>
        <w:jc w:val="both"/>
      </w:pPr>
      <w:r w:rsidRPr="00DE2F3D">
        <w:rPr>
          <w:lang w:val="en-US"/>
        </w:rPr>
        <w:t xml:space="preserve">Google Cloud. (2024). </w:t>
      </w:r>
      <w:r w:rsidRPr="00DE2F3D">
        <w:rPr>
          <w:i/>
          <w:iCs/>
          <w:lang w:val="en-US"/>
        </w:rPr>
        <w:t>Sustainability at Google Cloud</w:t>
      </w:r>
      <w:r w:rsidRPr="00DE2F3D">
        <w:rPr>
          <w:lang w:val="en-US"/>
        </w:rPr>
        <w:t xml:space="preserve">. </w:t>
      </w:r>
      <w:hyperlink r:id="rId11">
        <w:r w:rsidR="001A333F">
          <w:rPr>
            <w:color w:val="0000FF"/>
            <w:u w:val="single"/>
          </w:rPr>
          <w:t>https://cloud.google.com/sustainability</w:t>
        </w:r>
      </w:hyperlink>
    </w:p>
    <w:p w14:paraId="3F1CDD36" w14:textId="77777777" w:rsidR="001A333F" w:rsidRDefault="0021082B">
      <w:pPr>
        <w:spacing w:before="120" w:after="120" w:line="360" w:lineRule="auto"/>
        <w:ind w:left="113" w:firstLine="720"/>
        <w:jc w:val="both"/>
      </w:pPr>
      <w:r>
        <w:t>Instituto Nacional de Estadís</w:t>
      </w:r>
      <w:r>
        <w:t xml:space="preserve">tica e Informática (INEI). (2023). </w:t>
      </w:r>
      <w:r>
        <w:rPr>
          <w:i/>
          <w:iCs/>
        </w:rPr>
        <w:t>Estadísticas de las tecnologías de información y comunicación en los hogares</w:t>
      </w:r>
      <w:r>
        <w:t xml:space="preserve">. </w:t>
      </w:r>
      <w:hyperlink r:id="rId12">
        <w:r w:rsidR="001A333F">
          <w:rPr>
            <w:color w:val="0000FF"/>
            <w:u w:val="single"/>
          </w:rPr>
          <w:t>https://www.inei.gob.pe/estadisticas/indice-tematico/tecnologias-de-informacion-y-telecomunicaciones/</w:t>
        </w:r>
      </w:hyperlink>
    </w:p>
    <w:p w14:paraId="515F2E34" w14:textId="77777777" w:rsidR="001A333F" w:rsidRPr="00DE2F3D" w:rsidRDefault="0021082B">
      <w:pPr>
        <w:spacing w:before="120" w:after="120" w:line="360" w:lineRule="auto"/>
        <w:ind w:left="113" w:firstLine="720"/>
        <w:jc w:val="both"/>
        <w:rPr>
          <w:lang w:val="en-US"/>
        </w:rPr>
      </w:pPr>
      <w:r w:rsidRPr="00DE2F3D">
        <w:rPr>
          <w:lang w:val="en-US"/>
        </w:rPr>
        <w:t xml:space="preserve">Laudon, K. C., &amp; Laudon, J. P. (2022). </w:t>
      </w:r>
      <w:r w:rsidRPr="00DE2F3D">
        <w:rPr>
          <w:i/>
          <w:iCs/>
          <w:lang w:val="en-US"/>
        </w:rPr>
        <w:t>Management information systems: Managing the digital firm</w:t>
      </w:r>
      <w:r w:rsidRPr="00DE2F3D">
        <w:rPr>
          <w:lang w:val="en-US"/>
        </w:rPr>
        <w:t xml:space="preserve"> (17th ed.). Pearson.</w:t>
      </w:r>
    </w:p>
    <w:p w14:paraId="4B7C7148" w14:textId="77777777" w:rsidR="001A333F" w:rsidRDefault="0021082B">
      <w:pPr>
        <w:spacing w:before="120" w:after="120" w:line="360" w:lineRule="auto"/>
        <w:ind w:left="113" w:firstLine="720"/>
        <w:jc w:val="both"/>
      </w:pPr>
      <w:r w:rsidRPr="00DE2F3D">
        <w:rPr>
          <w:lang w:val="en-US"/>
        </w:rPr>
        <w:t xml:space="preserve">Laudon, K. C., &amp; Traver, C. G. (2023). </w:t>
      </w:r>
      <w:r w:rsidRPr="00DE2F3D">
        <w:rPr>
          <w:i/>
          <w:iCs/>
          <w:lang w:val="en-US"/>
        </w:rPr>
        <w:t>E-commerce 2023–202</w:t>
      </w:r>
      <w:r w:rsidRPr="00DE2F3D">
        <w:rPr>
          <w:i/>
          <w:iCs/>
          <w:lang w:val="en-US"/>
        </w:rPr>
        <w:t>4: Business, technology, society</w:t>
      </w:r>
      <w:r w:rsidRPr="00DE2F3D">
        <w:rPr>
          <w:lang w:val="en-US"/>
        </w:rPr>
        <w:t xml:space="preserve"> (19.ª ed.). </w:t>
      </w:r>
      <w:r>
        <w:t>Pearson.</w:t>
      </w:r>
    </w:p>
    <w:p w14:paraId="0012C2AF" w14:textId="77777777" w:rsidR="001A333F" w:rsidRDefault="0021082B">
      <w:pPr>
        <w:spacing w:before="120" w:after="120" w:line="360" w:lineRule="auto"/>
        <w:ind w:left="113" w:firstLine="720"/>
        <w:jc w:val="both"/>
      </w:pPr>
      <w:r>
        <w:t xml:space="preserve">Ministerio de Justicia y Derechos Humanos. (2013). </w:t>
      </w:r>
      <w:r>
        <w:rPr>
          <w:i/>
          <w:iCs/>
        </w:rPr>
        <w:t>Decreto Supremo N.° 003-2013-JUS. Reglamento de la Ley de Protección de Datos Personales</w:t>
      </w:r>
      <w:r>
        <w:t xml:space="preserve">. </w:t>
      </w:r>
      <w:hyperlink r:id="rId13">
        <w:r w:rsidR="001A333F">
          <w:rPr>
            <w:color w:val="0000FF"/>
            <w:u w:val="single"/>
          </w:rPr>
          <w:t>https://www.gob.pe/minjus</w:t>
        </w:r>
      </w:hyperlink>
    </w:p>
    <w:p w14:paraId="6AC359C9" w14:textId="77777777" w:rsidR="001A333F" w:rsidRPr="00DE2F3D" w:rsidRDefault="0021082B">
      <w:pPr>
        <w:spacing w:before="120" w:after="120" w:line="360" w:lineRule="auto"/>
        <w:ind w:left="113" w:firstLine="720"/>
        <w:jc w:val="both"/>
        <w:rPr>
          <w:lang w:val="en-US"/>
        </w:rPr>
      </w:pPr>
      <w:r w:rsidRPr="00DE2F3D">
        <w:rPr>
          <w:lang w:val="en-US"/>
        </w:rPr>
        <w:t xml:space="preserve">OWASP Foundation. (2024). </w:t>
      </w:r>
      <w:r w:rsidRPr="00DE2F3D">
        <w:rPr>
          <w:i/>
          <w:iCs/>
          <w:lang w:val="en-US"/>
        </w:rPr>
        <w:t>OWASP Top 10: The ten most critical web application security risks</w:t>
      </w:r>
      <w:r w:rsidRPr="00DE2F3D">
        <w:rPr>
          <w:lang w:val="en-US"/>
        </w:rPr>
        <w:t xml:space="preserve">. </w:t>
      </w:r>
      <w:hyperlink r:id="rId14">
        <w:r w:rsidR="001A333F" w:rsidRPr="00DE2F3D">
          <w:rPr>
            <w:color w:val="0000FF"/>
            <w:u w:val="single"/>
            <w:lang w:val="en-US"/>
          </w:rPr>
          <w:t>https://owasp.org/www-project-top-ten/</w:t>
        </w:r>
      </w:hyperlink>
    </w:p>
    <w:p w14:paraId="63586649" w14:textId="77777777" w:rsidR="001A333F" w:rsidRPr="00DE2F3D" w:rsidRDefault="0021082B">
      <w:pPr>
        <w:spacing w:before="120" w:after="120" w:line="360" w:lineRule="auto"/>
        <w:ind w:left="113" w:firstLine="720"/>
        <w:jc w:val="both"/>
        <w:rPr>
          <w:lang w:val="en-US"/>
        </w:rPr>
      </w:pPr>
      <w:r w:rsidRPr="00DE2F3D">
        <w:rPr>
          <w:lang w:val="en-US"/>
        </w:rPr>
        <w:t xml:space="preserve">Richards, M., &amp; Ford, N. (2020). </w:t>
      </w:r>
      <w:r w:rsidRPr="00DE2F3D">
        <w:rPr>
          <w:i/>
          <w:iCs/>
          <w:lang w:val="en-US"/>
        </w:rPr>
        <w:t>Fundamentals of software architecture: An engineering approach</w:t>
      </w:r>
      <w:r w:rsidRPr="00DE2F3D">
        <w:rPr>
          <w:lang w:val="en-US"/>
        </w:rPr>
        <w:t>. O'Reilly Media.</w:t>
      </w:r>
    </w:p>
    <w:p w14:paraId="5158E612" w14:textId="77777777" w:rsidR="001A333F" w:rsidRPr="00DE2F3D" w:rsidRDefault="0021082B">
      <w:pPr>
        <w:spacing w:before="120" w:after="120" w:line="360" w:lineRule="auto"/>
        <w:ind w:left="113" w:firstLine="720"/>
        <w:jc w:val="both"/>
        <w:rPr>
          <w:lang w:val="en-US"/>
        </w:rPr>
      </w:pPr>
      <w:r w:rsidRPr="00DE2F3D">
        <w:rPr>
          <w:lang w:val="en-US"/>
        </w:rPr>
        <w:t xml:space="preserve">Statista. (2024). </w:t>
      </w:r>
      <w:r w:rsidRPr="00DE2F3D">
        <w:rPr>
          <w:i/>
          <w:iCs/>
          <w:lang w:val="en-US"/>
        </w:rPr>
        <w:t>E-commerce market revenue in Peru</w:t>
      </w:r>
      <w:r w:rsidRPr="00DE2F3D">
        <w:rPr>
          <w:lang w:val="en-US"/>
        </w:rPr>
        <w:t xml:space="preserve">. </w:t>
      </w:r>
      <w:hyperlink r:id="rId15">
        <w:r w:rsidR="001A333F" w:rsidRPr="00DE2F3D">
          <w:rPr>
            <w:color w:val="0000FF"/>
            <w:u w:val="single"/>
            <w:lang w:val="en-US"/>
          </w:rPr>
          <w:t>https://www.statista.com</w:t>
        </w:r>
      </w:hyperlink>
    </w:p>
    <w:p w14:paraId="5A7F1B6D" w14:textId="77777777" w:rsidR="001A333F" w:rsidRDefault="0021082B">
      <w:pPr>
        <w:spacing w:before="120" w:after="120" w:line="360" w:lineRule="auto"/>
        <w:ind w:left="113" w:firstLine="720"/>
        <w:jc w:val="both"/>
      </w:pPr>
      <w:r w:rsidRPr="00DE2F3D">
        <w:rPr>
          <w:lang w:val="en-US"/>
        </w:rPr>
        <w:t>Turban, E., Outland, J., King, D., Lee, J., Liang, T.,</w:t>
      </w:r>
      <w:r w:rsidRPr="00DE2F3D">
        <w:rPr>
          <w:lang w:val="en-US"/>
        </w:rPr>
        <w:t xml:space="preserve"> &amp; Turban, D. (2021). </w:t>
      </w:r>
      <w:r w:rsidRPr="00DE2F3D">
        <w:rPr>
          <w:i/>
          <w:iCs/>
          <w:lang w:val="en-US"/>
        </w:rPr>
        <w:t>Electronic commerce: A managerial and social networks perspective</w:t>
      </w:r>
      <w:r w:rsidRPr="00DE2F3D">
        <w:rPr>
          <w:lang w:val="en-US"/>
        </w:rPr>
        <w:t xml:space="preserve"> (10th ed.). </w:t>
      </w:r>
      <w:r>
        <w:t>Springer.</w:t>
      </w:r>
    </w:p>
    <w:p w14:paraId="594C0B19" w14:textId="77777777" w:rsidR="001A333F" w:rsidRDefault="001A333F">
      <w:pPr>
        <w:spacing w:before="120" w:after="120" w:line="360" w:lineRule="auto"/>
        <w:jc w:val="both"/>
      </w:pPr>
    </w:p>
    <w:p w14:paraId="5552AA81" w14:textId="77777777" w:rsidR="001A333F" w:rsidRDefault="0021082B">
      <w:pPr>
        <w:spacing w:line="480" w:lineRule="auto"/>
        <w:jc w:val="both"/>
        <w:rPr>
          <w:b/>
          <w:bCs/>
          <w:color w:val="1F4E79"/>
          <w:sz w:val="28"/>
          <w:szCs w:val="28"/>
        </w:rPr>
      </w:pPr>
      <w:r>
        <w:rPr>
          <w:b/>
          <w:bCs/>
          <w:color w:val="1F4E79"/>
          <w:sz w:val="28"/>
          <w:szCs w:val="28"/>
        </w:rPr>
        <w:t xml:space="preserve">ANEXOS </w:t>
      </w:r>
    </w:p>
    <w:p w14:paraId="5F63EA55" w14:textId="77777777" w:rsidR="001A333F" w:rsidRDefault="0021082B">
      <w:pPr>
        <w:spacing w:line="480" w:lineRule="auto"/>
        <w:jc w:val="both"/>
      </w:pPr>
      <w:r>
        <w:rPr>
          <w:b/>
          <w:bCs/>
        </w:rPr>
        <w:t xml:space="preserve">1. Diagrama de Entidad-Relación (DER): </w:t>
      </w:r>
      <w:r>
        <w:t>Estructura física de la base de datos MySQL en la nube (tablas de productos, usuarios, categorías,</w:t>
      </w:r>
      <w:r>
        <w:t xml:space="preserve"> órdenes y detalle de órdenes). </w:t>
      </w:r>
    </w:p>
    <w:p w14:paraId="1721A60F" w14:textId="77777777" w:rsidR="001A333F" w:rsidRDefault="0021082B">
      <w:pPr>
        <w:spacing w:line="360" w:lineRule="auto"/>
        <w:jc w:val="both"/>
      </w:pPr>
      <w:r>
        <w:rPr>
          <w:b/>
          <w:bCs/>
        </w:rPr>
        <w:t xml:space="preserve">2. Diagrama de Arquitectura de Software: </w:t>
      </w:r>
      <w:r>
        <w:t xml:space="preserve">Representación gráfica del flujo de datos entre la capa de presentación (React en Vercel), la capa de negocio/seguridad (Spring Boot en Render) y la capa de datos. </w:t>
      </w:r>
    </w:p>
    <w:p w14:paraId="00EC4580" w14:textId="3AC573F0" w:rsidR="001A333F" w:rsidRDefault="0021082B">
      <w:pPr>
        <w:spacing w:line="360" w:lineRule="auto"/>
        <w:jc w:val="both"/>
      </w:pPr>
      <w:r>
        <w:rPr>
          <w:b/>
          <w:bCs/>
        </w:rPr>
        <w:t>3. Capturas de Pa</w:t>
      </w:r>
      <w:r>
        <w:rPr>
          <w:b/>
          <w:bCs/>
        </w:rPr>
        <w:t>ntalla de la Interfaz Web:</w:t>
      </w:r>
      <w:r>
        <w:t xml:space="preserve"> Prototipos de alta fidelidad o vistas finales del catálogo de productos y el Dashboard de administración. </w:t>
      </w:r>
    </w:p>
    <w:p w14:paraId="43FD8286" w14:textId="6F851B54" w:rsidR="002A5081" w:rsidRDefault="002A5081">
      <w:pPr>
        <w:spacing w:line="360" w:lineRule="auto"/>
        <w:jc w:val="both"/>
      </w:pPr>
    </w:p>
    <w:p w14:paraId="60765EBF" w14:textId="4B0DEE67" w:rsidR="002A5081" w:rsidRDefault="002A5081">
      <w:pPr>
        <w:spacing w:line="360" w:lineRule="auto"/>
        <w:jc w:val="both"/>
      </w:pPr>
      <w:r>
        <w:t>*Anexos en pdf en la raíz de esta carpeta.</w:t>
      </w:r>
      <w:bookmarkStart w:id="7" w:name="_GoBack"/>
      <w:bookmarkEnd w:id="7"/>
    </w:p>
    <w:p w14:paraId="53DCBB49" w14:textId="77777777" w:rsidR="001A333F" w:rsidRDefault="001A333F">
      <w:pPr>
        <w:spacing w:before="120" w:after="120" w:line="360" w:lineRule="auto"/>
        <w:jc w:val="both"/>
      </w:pPr>
    </w:p>
    <w:sectPr w:rsidR="001A333F">
      <w:footerReference w:type="default" r:id="rId16"/>
      <w:headerReference w:type="default" r:id="rId19"/>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6D1F43" w14:textId="77777777" w:rsidR="0021082B" w:rsidRDefault="0021082B">
      <w:r>
        <w:separator/>
      </w:r>
    </w:p>
  </w:endnote>
  <w:endnote w:type="continuationSeparator" w:id="0">
    <w:p w14:paraId="3445C776" w14:textId="77777777" w:rsidR="0021082B" w:rsidRDefault="00210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EAD6996-3FE7-49EE-B3C4-FB66F40E891D}"/>
  </w:font>
  <w:font w:name="Calibri">
    <w:panose1 w:val="020F0502020204030204"/>
    <w:charset w:val="00"/>
    <w:family w:val="swiss"/>
    <w:pitch w:val="variable"/>
    <w:sig w:usb0="E4002EFF" w:usb1="C000247B" w:usb2="00000009" w:usb3="00000000" w:csb0="000001FF" w:csb1="00000000"/>
    <w:embedRegular r:id="rId2" w:fontKey="{E9D5FFDD-B064-4CD3-BC39-A7D12A680A3E}"/>
  </w:font>
  <w:font w:name="Cambria">
    <w:panose1 w:val="02040503050406030204"/>
    <w:charset w:val="00"/>
    <w:family w:val="roman"/>
    <w:pitch w:val="variable"/>
    <w:sig w:usb0="E00006FF" w:usb1="420024FF" w:usb2="02000000" w:usb3="00000000" w:csb0="0000019F" w:csb1="00000000"/>
    <w:embedRegular r:id="rId3" w:fontKey="{0014BBC3-2E0B-41F4-A426-203EB5E020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BA690D" w14:textId="77777777" w:rsidR="001A333F" w:rsidRDefault="0021082B">
    <w:pPr>
      <w:jc w:val="center"/>
    </w:pPr>
    <w:r>
      <w:rPr>
        <w:color w:val="666666"/>
        <w:sz w:val="18"/>
        <w:szCs w:val="18"/>
      </w:rPr>
      <w:t xml:space="preserve">Krypton E-Commerce | CIBERTEC DSW2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C9234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36073" w14:textId="77777777" w:rsidR="0021082B" w:rsidRDefault="0021082B">
      <w:r>
        <w:separator/>
      </w:r>
    </w:p>
  </w:footnote>
  <w:footnote w:type="continuationSeparator" w:id="0">
    <w:p w14:paraId="5C1E22AC" w14:textId="77777777" w:rsidR="0021082B" w:rsidRDefault="002108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844D0"/>
    <w:multiLevelType w:val="multilevel"/>
    <w:tmpl w:val="39BE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44058E"/>
    <w:multiLevelType w:val="multilevel"/>
    <w:tmpl w:val="A4AA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291676"/>
    <w:multiLevelType w:val="multilevel"/>
    <w:tmpl w:val="89C2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5F2298"/>
    <w:multiLevelType w:val="multilevel"/>
    <w:tmpl w:val="B76A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501B87"/>
    <w:multiLevelType w:val="multilevel"/>
    <w:tmpl w:val="93EE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3520A8"/>
    <w:multiLevelType w:val="multilevel"/>
    <w:tmpl w:val="2AFC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3F"/>
    <w:rsid w:val="001A333F"/>
    <w:rsid w:val="0021082B"/>
    <w:rsid w:val="002A5081"/>
    <w:rsid w:val="00715570"/>
    <w:rsid w:val="00736CFA"/>
    <w:rsid w:val="008C3717"/>
    <w:rsid w:val="00956FAA"/>
    <w:rsid w:val="00A83D5C"/>
    <w:rsid w:val="00BF4BC0"/>
    <w:rsid w:val="00C9234E"/>
    <w:rsid w:val="00DE2F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EA6F"/>
  <w15:docId w15:val="{57188B1A-155E-4D8C-BA61-0D2DA12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4E79"/>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320" w:after="160"/>
      <w:outlineLvl w:val="1"/>
    </w:pPr>
    <w:rPr>
      <w:b/>
      <w:bCs/>
      <w:color w:val="2E74B5"/>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minj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ei.gob.pe/estadisticas/indice-tematico/tecnologias-de-informacion-y-telecomunicacion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sustainability" TargetMode="External"/><Relationship Id="rId5" Type="http://schemas.openxmlformats.org/officeDocument/2006/relationships/webSettings" Target="webSettings.xml"/><Relationship Id="rId15" Type="http://schemas.openxmlformats.org/officeDocument/2006/relationships/hyperlink" Target="https://www.statista.com" TargetMode="External"/><Relationship Id="rId10" Type="http://schemas.openxmlformats.org/officeDocument/2006/relationships/hyperlink" Target="https://www.leyes.congreso.gob.pe" TargetMode="External"/><Relationship Id="rId4" Type="http://schemas.openxmlformats.org/officeDocument/2006/relationships/settings" Target="settings.xml"/><Relationship Id="rId9" Type="http://schemas.openxmlformats.org/officeDocument/2006/relationships/hyperlink" Target="https://www.capece.org.pe" TargetMode="External"/><Relationship Id="rId14" Type="http://schemas.openxmlformats.org/officeDocument/2006/relationships/hyperlink" Target="https://owasp.org/www-project-top-ten/" TargetMode="External"/><Relationship Id="rId1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xJ9FBCtRc3eDayAsOHdgBCY4g==">CgMxLjAaHwoBMBIaChgICVIUChJ0YWJsZS45eGQ2Yzhkejk1cXIyDmguOGtvcTlibXhucHNvMg5oLjVmODh0aWt0dzFjMDIOaC4xdWUxeXl0Y3Jvbm4yDmguYWI0dmF2Zzl2OHpmMg5oLnMyODdkNTl1cXpvdDIOaC4xMTNoam95NmMxNDkyDmguaHc3d2V5am1obmV6OAByITFQODBKZlNWcE5BY3l4MDNla0hkVmsxX2ZFQ3pobzBWNg==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3627</Words>
  <Characters>20680</Characters>
  <Application>Microsoft Office Word</Application>
  <DocSecurity>0</DocSecurity>
  <Lines>172</Lines>
  <Paragraphs>48</Paragraphs>
  <ScaleCrop>false</ScaleCrop>
  <Company/>
  <LinksUpToDate>false</LinksUpToDate>
  <CharactersWithSpaces>24259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cp:lastModifiedBy>
  <cp:revision>6</cp:revision>
  <dcterms:created xsi:type="dcterms:W3CDTF">2026-06-15T03:56:00Z</dcterms:created>
  <dcterms:modified xsi:type="dcterms:W3CDTF">2026-06-24T04:04:00Z</dcterms:modified>
</cp:coreProperties>
</file>