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497F" w14:textId="77777777" w:rsidR="00485946" w:rsidRDefault="004C0BEC">
      <w:pPr>
        <w:spacing w:after="120"/>
        <w:jc w:val="center"/>
      </w:pPr>
      <w:r>
        <w:rPr>
          <w:noProof/>
        </w:rPr>
        <w:drawing>
          <wp:inline distT="0" distB="0" distL="0" distR="0" wp14:anchorId="4D0D6636" wp14:editId="1616F2B9">
            <wp:extent cx="5220000" cy="1087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a.png"/>
                    <pic:cNvPicPr/>
                  </pic:nvPicPr>
                  <pic:blipFill>
                    <a:blip r:embed="rId8"/>
                    <a:stretch>
                      <a:fillRect/>
                    </a:stretch>
                  </pic:blipFill>
                  <pic:spPr>
                    <a:xfrm>
                      <a:off x="0" y="0"/>
                      <a:ext cx="5220000" cy="1087804"/>
                    </a:xfrm>
                    <a:prstGeom prst="rect">
                      <a:avLst/>
                    </a:prstGeom>
                  </pic:spPr>
                </pic:pic>
              </a:graphicData>
            </a:graphic>
          </wp:inline>
        </w:drawing>
      </w:r>
    </w:p>
    <w:p w14:paraId="1A098420" w14:textId="77777777" w:rsidR="00485946" w:rsidRDefault="004C0BEC">
      <w:pPr>
        <w:spacing w:after="240"/>
        <w:jc w:val="center"/>
      </w:pPr>
      <w:r>
        <w:rPr>
          <w:b/>
          <w:sz w:val="32"/>
        </w:rPr>
        <w:t>UNIVERSIDAD AUTÓNOMA DEL PERÚ</w:t>
      </w:r>
    </w:p>
    <w:p w14:paraId="7A1E842E" w14:textId="77777777" w:rsidR="00485946" w:rsidRDefault="004C0BEC">
      <w:pPr>
        <w:spacing w:after="40"/>
        <w:jc w:val="center"/>
      </w:pPr>
      <w:r>
        <w:rPr>
          <w:b/>
          <w:sz w:val="24"/>
        </w:rPr>
        <w:t>PREGRADO</w:t>
      </w:r>
    </w:p>
    <w:p w14:paraId="7FC1E0A1" w14:textId="77777777" w:rsidR="00485946" w:rsidRDefault="004C0BEC">
      <w:pPr>
        <w:spacing w:after="0"/>
        <w:jc w:val="center"/>
      </w:pPr>
      <w:r>
        <w:rPr>
          <w:sz w:val="24"/>
        </w:rPr>
        <w:t>Asignatura: Desarrollo Web Full Stack Backend</w:t>
      </w:r>
    </w:p>
    <w:p w14:paraId="4BD36D82" w14:textId="77777777" w:rsidR="00485946" w:rsidRDefault="004C0BEC">
      <w:pPr>
        <w:jc w:val="center"/>
      </w:pPr>
      <w:r>
        <w:rPr>
          <w:sz w:val="24"/>
        </w:rPr>
        <w:t>Ciclo VI</w:t>
      </w:r>
    </w:p>
    <w:p w14:paraId="091CF929" w14:textId="77777777" w:rsidR="00485946" w:rsidRDefault="004C0BEC">
      <w:pPr>
        <w:spacing w:after="240"/>
        <w:jc w:val="center"/>
      </w:pPr>
      <w:r>
        <w:rPr>
          <w:b/>
          <w:sz w:val="28"/>
        </w:rPr>
        <w:t>INFORME ACADÉMICO</w:t>
      </w:r>
    </w:p>
    <w:p w14:paraId="378F40B5" w14:textId="77777777" w:rsidR="00485946" w:rsidRDefault="004C0BEC">
      <w:pPr>
        <w:spacing w:after="280"/>
        <w:jc w:val="center"/>
      </w:pPr>
      <w:r>
        <w:rPr>
          <w:b/>
          <w:sz w:val="26"/>
        </w:rPr>
        <w:t>Diseño de una API de pedidos para la cafetería de un campus universitario en Lima, 2026</w:t>
      </w:r>
    </w:p>
    <w:p w14:paraId="0DB23D0B" w14:textId="77777777" w:rsidR="00485946" w:rsidRDefault="004C0BEC">
      <w:pPr>
        <w:spacing w:after="40"/>
        <w:jc w:val="center"/>
      </w:pPr>
      <w:r>
        <w:rPr>
          <w:b/>
          <w:sz w:val="24"/>
        </w:rPr>
        <w:t>Integrantes</w:t>
      </w:r>
    </w:p>
    <w:p w14:paraId="09DC87F2" w14:textId="77777777" w:rsidR="00485946" w:rsidRDefault="004C0BEC">
      <w:pPr>
        <w:spacing w:after="320"/>
        <w:jc w:val="center"/>
      </w:pPr>
      <w:r>
        <w:rPr>
          <w:sz w:val="24"/>
        </w:rPr>
        <w:t>Completar los nombres y apellidos de los cuatro o cinco integrantes del grupo.</w:t>
      </w:r>
    </w:p>
    <w:p w14:paraId="6C580430" w14:textId="77777777" w:rsidR="00485946" w:rsidRDefault="004C0BEC">
      <w:pPr>
        <w:spacing w:after="0"/>
        <w:jc w:val="center"/>
      </w:pPr>
      <w:r>
        <w:rPr>
          <w:sz w:val="24"/>
        </w:rPr>
        <w:t>Lima, Perú</w:t>
      </w:r>
    </w:p>
    <w:p w14:paraId="07A584E6" w14:textId="77777777" w:rsidR="00485946" w:rsidRDefault="004C0BEC">
      <w:pPr>
        <w:spacing w:after="0"/>
        <w:jc w:val="center"/>
      </w:pPr>
      <w:r>
        <w:rPr>
          <w:sz w:val="24"/>
        </w:rPr>
        <w:t>2026</w:t>
      </w:r>
    </w:p>
    <w:p w14:paraId="73E82EEA" w14:textId="77777777" w:rsidR="00485946" w:rsidRDefault="004C0BEC">
      <w:r>
        <w:br w:type="page"/>
      </w:r>
    </w:p>
    <w:p w14:paraId="2D5CAC2A" w14:textId="77777777" w:rsidR="00485946" w:rsidRDefault="004C0BEC">
      <w:pPr>
        <w:spacing w:after="160"/>
      </w:pPr>
      <w:r>
        <w:rPr>
          <w:b/>
          <w:sz w:val="28"/>
        </w:rPr>
        <w:lastRenderedPageBreak/>
        <w:t>1. Resumen</w:t>
      </w:r>
    </w:p>
    <w:p w14:paraId="57458320" w14:textId="77777777" w:rsidR="00485946" w:rsidRDefault="004C0BEC">
      <w:pPr>
        <w:spacing w:after="120"/>
        <w:ind w:firstLine="709"/>
        <w:jc w:val="both"/>
      </w:pPr>
      <w:r>
        <w:t>En una cafetería de campus, la última unidad de un producto solo puede venderse una vez. Este informe estudia esa decisión en Lima, en 2026, cuando el pedido deja la libreta y se resuelve en una interfaz de programación. Importa porque un stock mal descontado ofrece algo que ya no está y daña la confianza de quien espera en el mostrador.</w:t>
      </w:r>
    </w:p>
    <w:p w14:paraId="20C4417D" w14:textId="77777777" w:rsidR="00485946" w:rsidRDefault="004C0BEC">
      <w:pPr>
        <w:spacing w:after="120"/>
        <w:ind w:firstLine="709"/>
        <w:jc w:val="both"/>
      </w:pPr>
      <w:r>
        <w:t>El problema es confirmar un pedido de un producto y una cantidad entera sin dejar el inventario por debajo de cero. Se diseñó una API REST con Express. Usuarios, productos y pedidos quedaron en SQL Server; comentarios e historial, en MongoDB. El descuento y la devolución del stock se resolvieron en procedimientos almacenados con bloqueo de fila. En el flujo probado, el inicio de sesión respondió 200; el alta de un producto con dos unidades, 201; el pedido de esas dos unidades, 201; un pedido adicional, 409; el comentario, 201; la cancelación, 200; y un nuevo pedido, otra vez 201. La novedad es no mezclar el dato que debe cuadrar con el dato que puede cambiar de forma.</w:t>
      </w:r>
    </w:p>
    <w:p w14:paraId="24110A3D" w14:textId="77777777" w:rsidR="00485946" w:rsidRDefault="004C0BEC">
      <w:pPr>
        <w:spacing w:after="120"/>
        <w:ind w:firstLine="709"/>
        <w:jc w:val="both"/>
      </w:pPr>
      <w:r>
        <w:t>Las fuentes principales son estudios de persistencia políglota publicados entre 2022 y 2024, la semántica HTTP de 2022 y guías vigentes de tokens y de contraseñas. La limitación principal es que el choque de dos compras en el mismo instante se sostiene en el bloqueo documentado y en una prueba secuencial, no en una carga de muchos usuarios. Tampoco se evaluó la pantalla de venta ni el pago.</w:t>
      </w:r>
    </w:p>
    <w:p w14:paraId="3CC297FB" w14:textId="037A241C" w:rsidR="00485946" w:rsidRDefault="004C0BEC">
      <w:pPr>
        <w:spacing w:before="120" w:after="40"/>
      </w:pPr>
      <w:r>
        <w:t xml:space="preserve">Número de palabras del informe académico: </w:t>
      </w:r>
      <w:r w:rsidR="00A5234D">
        <w:t>3309</w:t>
      </w:r>
    </w:p>
    <w:p w14:paraId="104D5F83" w14:textId="77777777" w:rsidR="00485946" w:rsidRDefault="004C0BEC">
      <w:pPr>
        <w:spacing w:after="120"/>
      </w:pPr>
      <w:r>
        <w:rPr>
          <w:i/>
        </w:rPr>
        <w:t xml:space="preserve">Palabras clave: </w:t>
      </w:r>
      <w:r>
        <w:t>API REST, control de stock, SQL Server, MongoDB, cafetería universitaria</w:t>
      </w:r>
    </w:p>
    <w:p w14:paraId="0355EA94" w14:textId="77777777" w:rsidR="00485946" w:rsidRDefault="004C0BEC">
      <w:pPr>
        <w:spacing w:before="240" w:after="160"/>
      </w:pPr>
      <w:r>
        <w:rPr>
          <w:b/>
          <w:sz w:val="28"/>
        </w:rPr>
        <w:t>2. Introducción</w:t>
      </w:r>
    </w:p>
    <w:p w14:paraId="1214D5E8" w14:textId="77777777" w:rsidR="00485946" w:rsidRDefault="004C0BEC">
      <w:pPr>
        <w:spacing w:after="120"/>
        <w:ind w:firstLine="709"/>
        <w:jc w:val="both"/>
      </w:pPr>
      <w:r>
        <w:t>La cafetería de un campus universitario vende en minutos lo que el almacén repone por horas. En Lima, durante 2026, esa diferencia se vuelve concreta cuando dos personas piden el mismo sándwich y la libreta, o una pantalla sin control, acepta las dos ventas. El producto desaparece del estante, pero el sistema sigue ofreciéndolo. El problema específico de este informe es cómo confirmar un pedido de un solo producto y una cantidad entera de modo que el stock nunca quede por debajo de cero y que, si el pedido se anula, esas unidades vuelvan al inventario sin borrar lo ocurrido. No se diseña aquí el menú ni el cobro. Se estudia la decisión que separa una venta válida de una venta imposible, y el rastro que permite explicar después qué pasó en el mostrador.</w:t>
      </w:r>
    </w:p>
    <w:p w14:paraId="445EEA37" w14:textId="77777777" w:rsidR="00485946" w:rsidRDefault="004C0BEC">
      <w:pPr>
        <w:spacing w:after="120"/>
        <w:ind w:firstLine="709"/>
        <w:jc w:val="both"/>
      </w:pPr>
      <w:r>
        <w:lastRenderedPageBreak/>
        <w:t>Para entender esa decisión conviene partir del intercambio entre sistemas. Una interfaz que sigue el estilo REST trata cada pedido, cada producto y cada usuario como un recurso, y comunica el resultado con un código de estado de HTTP (Fielding y Reschke, 2022). Express organiza esas rutas en una aplicación de Node.js (OpenJS Foundation, s. f.). Debajo de la ruta está la persistencia. La persistencia políglota usa más de un motor porque ningún modelo cubre igual el dato rígido y el dato variable (Kazanavičius et al., 2022; Ye et al., 2023). El modelo relacional, con tablas, claves e integridad, conviene al usuario, al precio y al stock. El documento, sin un esquema cerrado, conviene al comentario y al rastro de actividad (MongoDB, s. f.; Ramakrishnan, 2023). Cuando dos motores conviven, copiar el mismo hecho en ambos exige sincronización, y esa sincronización es una fuente de error (Győrödi et al., 2023). Por eso, en este diseño, cada hecho vive en un solo lugar. El stock, además, se modifica dentro de una transacción con bloqueo de fila, para que dos operaciones no lean el mismo saldo y lo descuenten dos veces (Microsoft, s. f.). El acceso se cierra con un token de duración limitada (OWASP Foundation, s. f.-a) y la contraseña se guarda solo como un hash lento (OWASP Foundation, s. f.-b; Provos, 2023).</w:t>
      </w:r>
    </w:p>
    <w:p w14:paraId="084C1E05" w14:textId="77777777" w:rsidR="00485946" w:rsidRDefault="004C0BEC">
      <w:pPr>
        <w:spacing w:after="120"/>
        <w:ind w:firstLine="709"/>
        <w:jc w:val="both"/>
      </w:pPr>
      <w:r>
        <w:t>Los antecedentes recientes no piden abandonar el modelo relacional. Piden usarlo donde el dato no puede contradecirse. Ye et al. (2023) compararon una base multimodelo con una solución políglota y observaron ventajas de la segunda bajo concurrencia, aunque el resultado depende de la consulta. Kazanavičius et al. (2022) mostraron una migración hacia persistencia de varios modelos expuesta por servicios REST. Győrödi et al. (2023) construyeron una sincronización entre MySQL y MongoDB y documentaron los fallos que aparecen cuando ambos deben decir lo mismo. Illian et al. (2024) advierten que las arquitecturas de almacén prometen más en la literatura de lo que luego se mide. En la implementación, Andrianto y Suyatno (2024) evaluaron con pruebas de carga una API REST en Node.js apoyada en MySQL o en MongoDB. Muangpool et al. (2024) usaron Express y MongoDB para transformar y consultar datos por una API. Esos trabajos sostienen la división adoptada aquí: SQL Server para lo que se cuenta y MongoDB para lo que se narra, sin duplicar el stock.</w:t>
      </w:r>
    </w:p>
    <w:p w14:paraId="6B2857B7" w14:textId="77777777" w:rsidR="00485946" w:rsidRDefault="004C0BEC">
      <w:pPr>
        <w:spacing w:after="120"/>
        <w:ind w:firstLine="709"/>
        <w:jc w:val="both"/>
      </w:pPr>
      <w:r>
        <w:t xml:space="preserve">Este informe se elabora porque el curso pide llevar esa arquitectura a un caso distinto del que el grupo ya había entregado. En la entrega previa el conflicto era el cruce de horarios de una sala de coworking. La retroalimentación pidió conservar las mismas piezas —la API REST, SQL Server, MongoDB, el token, los procedimientos almacenados y la baja lógica— y cambiar el caso. La cafetería de campus es esa aplicación: el cruce de horarios pasa a ser cruce de stock. El propósito es analizar el diseño de una API de pedidos para la cafetería de un campus universitario en Lima durante 2026. Los objetivos específicos, en el orden que luego responden las conclusiones, son tres. El primero es describir la arquitectura de persistencia mixta que separa el </w:t>
      </w:r>
      <w:r>
        <w:lastRenderedPageBreak/>
        <w:t>inventario de los comentarios y del historial. El segundo es examinar el control transaccional del stock al registrar y al cancelar un pedido. El tercero es evaluar, con las pruebas ejecutadas, el rechazo por falta de stock, la reposición al cancelar y el aislamiento del historial. De esos objetivos se desprenden tres hipótesis. La primera sostiene que el bloqueo de la fila del producto, dentro de una transacción, impide confirmar un pedido cuya cantidad supera el stock. La segunda sostiene que cancelar un pedido confirmado repone la cantidad y que una segunda cancelación no la suma otra vez. La tercera sostiene que la caída del almacén de historial no cambia una respuesta que SQL Server ya decidió.</w:t>
      </w:r>
    </w:p>
    <w:p w14:paraId="05BA06A3" w14:textId="77777777" w:rsidR="00485946" w:rsidRDefault="004C0BEC">
      <w:pPr>
        <w:spacing w:before="240" w:after="160"/>
      </w:pPr>
      <w:r>
        <w:rPr>
          <w:b/>
          <w:sz w:val="28"/>
        </w:rPr>
        <w:t>3. Desarrollo</w:t>
      </w:r>
    </w:p>
    <w:p w14:paraId="4C9D5822" w14:textId="77777777" w:rsidR="00485946" w:rsidRDefault="004C0BEC">
      <w:pPr>
        <w:spacing w:before="200" w:after="80"/>
      </w:pPr>
      <w:r>
        <w:rPr>
          <w:b/>
          <w:sz w:val="24"/>
        </w:rPr>
        <w:t>3.1. Del servicio de campus al recorte del pedido</w:t>
      </w:r>
    </w:p>
    <w:p w14:paraId="4B4ADDAD" w14:textId="77777777" w:rsidR="00485946" w:rsidRDefault="004C0BEC">
      <w:pPr>
        <w:spacing w:after="120"/>
        <w:ind w:firstLine="709"/>
        <w:jc w:val="both"/>
      </w:pPr>
      <w:r>
        <w:t>El pedido se recorta a un producto y a una cantidad entera mayor que cero. Así la transacción bloquea una sola fila de inventario, igual que la entrega previa bloqueaba un solo intervalo de sala. La retroalimentación se aplica al cambiar el recurso en conflicto y al conservar el modo de resolverlo.</w:t>
      </w:r>
    </w:p>
    <w:p w14:paraId="12272113" w14:textId="77777777" w:rsidR="00485946" w:rsidRDefault="004C0BEC">
      <w:pPr>
        <w:spacing w:after="120"/>
        <w:ind w:firstLine="709"/>
        <w:jc w:val="both"/>
      </w:pPr>
      <w:r>
        <w:t>El servicio es el de un campus universitario en Lima y el año de referencia es 2026. No se observó la cola real de un local. Se construyó y se probó, en local, el componente que decide la venta: rutas HTTP, validación, perfiles, procedimientos almacenados y dos motores de datos.</w:t>
      </w:r>
    </w:p>
    <w:p w14:paraId="022C869C" w14:textId="77777777" w:rsidR="00485946" w:rsidRDefault="004C0BEC">
      <w:pPr>
        <w:spacing w:before="200" w:after="80"/>
      </w:pPr>
      <w:r>
        <w:rPr>
          <w:b/>
          <w:sz w:val="24"/>
        </w:rPr>
        <w:t>3.2. Lo que se cuenta y lo que se narra</w:t>
      </w:r>
    </w:p>
    <w:p w14:paraId="0134C4B3" w14:textId="77777777" w:rsidR="00485946" w:rsidRDefault="004C0BEC">
      <w:pPr>
        <w:spacing w:after="120"/>
        <w:ind w:firstLine="709"/>
        <w:jc w:val="both"/>
      </w:pPr>
      <w:r>
        <w:t>SQL Server guarda lo que no puede contradecirse. Hay cuatro tablas. Perfiles distingue Administrador y Cliente. Usuarios guarda el correo, único, el hash de la contraseña, el perfil, la marca de activo y las fechas. Productos guarda el nombre, el precio con dos decimales y mayor que cero, el stock entero no negativo, una descripción que puede faltar y la marca de activo. Pedidos guarda quién pidió, qué producto, cuántas unidades, el precio unitario copiado en ese instante y el estado, limitado a confirmado o cancelado. La baja de un usuario o de un producto no borra la fila: la deja inactiva, para que el pedido antiguo siga teniendo a quién y a qué señalar.</w:t>
      </w:r>
    </w:p>
    <w:p w14:paraId="606AB915" w14:textId="77777777" w:rsidR="00485946" w:rsidRDefault="004C0BEC">
      <w:pPr>
        <w:spacing w:after="120"/>
        <w:ind w:firstLine="709"/>
        <w:jc w:val="both"/>
      </w:pPr>
      <w:r>
        <w:t>Copiar el precio en el pedido evita reescribir la historia cuando el menú cambia. El correo único y las reglas de precio, stock, cantidad y estado viven en la base, no solo en el proceso que atiende la ruta.</w:t>
      </w:r>
    </w:p>
    <w:p w14:paraId="794B31FC" w14:textId="77777777" w:rsidR="00485946" w:rsidRDefault="004C0BEC">
      <w:pPr>
        <w:spacing w:after="120"/>
        <w:ind w:firstLine="709"/>
        <w:jc w:val="both"/>
      </w:pPr>
      <w:r>
        <w:t xml:space="preserve">MongoDB guarda lo que puede crecer de forma distinta en cada evento. Un comentario tiene el identificador del pedido, el texto y la fecha. Un registro de actividad tiene la acción, el código HTTP, la dirección de origen, el usuario o la marca de anónimo y la fecha; puede sumar la </w:t>
      </w:r>
      <w:r>
        <w:lastRenderedPageBreak/>
        <w:t>ruta, el mensaje o el identificador del comentario sin obligar a las demás entradas a traer esos campos (MongoDB, s. f.; Ramakrishnan, 2023). La contraseña no se escribe ahí, ni en claro ni como hash. El enlace entre los dos mundos es el identificador del pedido, no una segunda copia del stock.</w:t>
      </w:r>
    </w:p>
    <w:p w14:paraId="54C99C10" w14:textId="77777777" w:rsidR="00485946" w:rsidRDefault="004C0BEC">
      <w:pPr>
        <w:spacing w:after="120"/>
        <w:ind w:firstLine="709"/>
        <w:jc w:val="both"/>
      </w:pPr>
      <w:r>
        <w:t>Győrödi et al. (2023) mostraron que sincronizar el mismo hecho entre MySQL y MongoDB vuelve frágil la consistencia. Ye et al. (2023) y Kazanavičius et al. (2022) respaldan dar a cada modelo un trabajo distinto. Andrianto y Suyatno (2024) los compararon como alternativas bajo carga; aquí uno cuenta unidades y el otro narra lo ocurrido. Muangpool et al. (2024) muestran que Express puede exponer documentos, y en este diseño esa vía queda para comentarios e historial.</w:t>
      </w:r>
    </w:p>
    <w:p w14:paraId="5574F40B" w14:textId="77777777" w:rsidR="00485946" w:rsidRDefault="004C0BEC">
      <w:pPr>
        <w:spacing w:before="200" w:after="80"/>
      </w:pPr>
      <w:r>
        <w:rPr>
          <w:b/>
          <w:sz w:val="24"/>
        </w:rPr>
        <w:t>3.3. La ruta y el significado del código</w:t>
      </w:r>
    </w:p>
    <w:p w14:paraId="02C328DC" w14:textId="77777777" w:rsidR="00485946" w:rsidRDefault="004C0BEC">
      <w:pPr>
        <w:spacing w:after="120"/>
        <w:ind w:firstLine="709"/>
        <w:jc w:val="both"/>
      </w:pPr>
      <w:r>
        <w:t>La aplicación escucha las rutas con Express (OpenJS Foundation, s. f.). El ingreso y el registro son públicos. Usuarios, productos y pedidos exigen un token. Crear, editar y dar de baja usuarios o productos queda en el administrador. El cliente ve y edita su propia cuenta, lista productos y opera solo sus pedidos. Un cliente que envía otro perfil en su edición recibe la respuesta de éxito, pero el perfil no cambia. El registro público crea siempre un cliente, aunque el cuerpo pida otro perfil.</w:t>
      </w:r>
    </w:p>
    <w:p w14:paraId="140331C1" w14:textId="77777777" w:rsidR="00485946" w:rsidRDefault="004C0BEC">
      <w:pPr>
        <w:spacing w:after="120"/>
        <w:ind w:firstLine="709"/>
        <w:jc w:val="both"/>
      </w:pPr>
      <w:r>
        <w:t>El código de estado dice qué pasó, como pide la semántica de HTTP (Fielding y Reschke, 2022). Un pedido creado responde 201. Un cuerpo mal formado responde 400. Un token ausente o inválido responde 401. Una cuenta inactiva, o un cliente que toca un recurso ajeno, responde 403. Lo que no existe responde 404. El conflicto responde 409: correo repetido, producto o usuario inactivo, stock insuficiente o pedido ya cancelado. El cuerpo del error trae un mensaje y una lista de detalles, sin la traza interna. En las pruebas, un control de acceso sobre toda la rama convertía una ruta desconocida en 401. Se corrigió para que la ruta ausente siga en 404 y la credencial ausente siga en 401.</w:t>
      </w:r>
    </w:p>
    <w:p w14:paraId="59986493" w14:textId="77777777" w:rsidR="00485946" w:rsidRDefault="004C0BEC">
      <w:pPr>
        <w:spacing w:before="200" w:after="80"/>
      </w:pPr>
      <w:r>
        <w:rPr>
          <w:b/>
          <w:sz w:val="24"/>
        </w:rPr>
        <w:t>3.4. El stock dentro de la transacción</w:t>
      </w:r>
    </w:p>
    <w:p w14:paraId="4657335E" w14:textId="77777777" w:rsidR="00485946" w:rsidRDefault="004C0BEC">
      <w:pPr>
        <w:spacing w:after="120"/>
        <w:ind w:firstLine="709"/>
        <w:jc w:val="both"/>
      </w:pPr>
      <w:r>
        <w:t xml:space="preserve">Registrar un pedido no es un insert aislado. El procedimiento abre una transacción, rechaza una cantidad menor que uno y bloquea la fila del usuario y la fila del producto hasta el cierre de esa transacción. Microsoft (s. f.) describe ese bloqueo de actualización, sostenido hasta el final, como la forma de impedir que otra transacción lea el mismo saldo y pase el mismo control. Si el usuario o el producto no existen, el código interno es de no encontrado. Si existen pero están inactivos, es de conflicto. Si el stock no alcanza, también es conflicto y la transacción se </w:t>
      </w:r>
      <w:r>
        <w:lastRenderedPageBreak/>
        <w:t>revierte sin restar. Si todo es válido, se resta la cantidad, se inserta el pedido confirmado con el precio de ese momento y se confirma la transacción.</w:t>
      </w:r>
    </w:p>
    <w:p w14:paraId="1A5A806E" w14:textId="77777777" w:rsidR="00485946" w:rsidRDefault="004C0BEC">
      <w:pPr>
        <w:spacing w:after="120"/>
        <w:ind w:firstLine="709"/>
        <w:jc w:val="both"/>
      </w:pPr>
      <w:r>
        <w:t>Cancelar recorre el camino inverso con el mismo cuidado. El procedimiento bloquea el pedido. Si no existe, informa no encontrado. Si ya no está confirmado, informa conflicto y no suma stock. Solo un pedido confirmado pasa a cancelado, recibe fecha de actualización y devuelve las unidades al producto. La fila del pedido permanece. Cancelar no es borrar la venta: es dejar constancia de que se deshizo y de cuántas unidades volvieron.</w:t>
      </w:r>
    </w:p>
    <w:p w14:paraId="1CFDC94A" w14:textId="77777777" w:rsidR="00485946" w:rsidRDefault="004C0BEC">
      <w:pPr>
        <w:spacing w:after="120"/>
        <w:ind w:firstLine="709"/>
        <w:jc w:val="both"/>
      </w:pPr>
      <w:r>
        <w:t>La primera hipótesis se apoya en ese mecanismo y en una prueba secuencial: al pedir más de lo disponible, la API respondió 409 y el stock no bajó. No se midió el choque de dos clientes en el mismo instante. Illian et al. (2024) piden no dar por cumplida una arquitectura sin medirla. El bloqueo está escrito y el rechazo se observó; la carrera simultánea queda como límite, no como resultado.</w:t>
      </w:r>
    </w:p>
    <w:p w14:paraId="4F1FE0BE" w14:textId="77777777" w:rsidR="00485946" w:rsidRDefault="004C0BEC">
      <w:pPr>
        <w:spacing w:before="200" w:after="80"/>
      </w:pPr>
      <w:r>
        <w:rPr>
          <w:b/>
          <w:sz w:val="24"/>
        </w:rPr>
        <w:t>3.5. Quién entra y cómo se protege la clave</w:t>
      </w:r>
    </w:p>
    <w:p w14:paraId="14FDB018" w14:textId="77777777" w:rsidR="00485946" w:rsidRDefault="004C0BEC">
      <w:pPr>
        <w:spacing w:after="120"/>
        <w:ind w:firstLine="709"/>
        <w:jc w:val="both"/>
      </w:pPr>
      <w:r>
        <w:t>El token dura ocho horas y viaja en el encabezado de autorización. En cada recurso protegido la API vuelve a leer el usuario en SQL Server. Por eso una cuenta desactivada después de haber iniciado sesión recibe 403, aunque el token todavía no haya vencido. Esa comprobación sigue la cautela de no fiarse solo de lo que el token afirma (OWASP Foundation, s. f.-a). El administrador no puede desactivarse a sí mismo, para no dejar el servicio sin quien lo opere.</w:t>
      </w:r>
    </w:p>
    <w:p w14:paraId="63593EBD" w14:textId="77777777" w:rsidR="00485946" w:rsidRDefault="004C0BEC">
      <w:pPr>
        <w:spacing w:after="120"/>
        <w:ind w:firstLine="709"/>
        <w:jc w:val="both"/>
      </w:pPr>
      <w:r>
        <w:t>La contraseña se guarda como hash bcrypt con factor de trabajo 10. OWASP Foundation (s. f.-b) pide al menos ese factor y reserva bcrypt a quien aún no usa una función con coste de memoria. Provos (2023) señala alternativas más resistentes. Se mantuvo bcrypt porque era la pieza de la arquitectura ya presentada. Cumple ese mínimo y deja abierta una mejora que este informe no ejecuta.</w:t>
      </w:r>
    </w:p>
    <w:p w14:paraId="71C8D770" w14:textId="77777777" w:rsidR="00485946" w:rsidRDefault="004C0BEC">
      <w:pPr>
        <w:spacing w:before="200" w:after="80"/>
      </w:pPr>
      <w:r>
        <w:rPr>
          <w:b/>
          <w:sz w:val="24"/>
        </w:rPr>
        <w:t>3.6. Lo que mostraron las pruebas</w:t>
      </w:r>
    </w:p>
    <w:p w14:paraId="40FDCA6A" w14:textId="77777777" w:rsidR="00485946" w:rsidRDefault="004C0BEC">
      <w:pPr>
        <w:spacing w:after="120"/>
        <w:ind w:firstLine="709"/>
        <w:jc w:val="both"/>
      </w:pPr>
      <w:r>
        <w:t>El flujo completo, ejecutado contra la API en local, devolvió esta secuencia de códigos: 200 al iniciar sesión, 201 al crear un producto con dos unidades, 201 al pedir esas dos unidades, 409 al intentar otro pedido del mismo producto, 201 al comentar, 200 al cancelar y 201 al pedir de nuevo las unidades liberadas. El 409 intermedio sostiene el rechazo por falta de stock. El 201 final sostiene la segunda hipótesis: cancelar repuso lo vendido y el producto volvió a poder pedirse. Una segunda cancelación del mismo pedido respondió 409 y no sumó stock otra vez.</w:t>
      </w:r>
    </w:p>
    <w:p w14:paraId="634B1F8B" w14:textId="77777777" w:rsidR="00485946" w:rsidRDefault="004C0BEC">
      <w:pPr>
        <w:spacing w:after="120"/>
        <w:ind w:firstLine="709"/>
        <w:jc w:val="both"/>
      </w:pPr>
      <w:r>
        <w:t xml:space="preserve">También se detuvo el contenedor de MongoDB y se consultó la raíz de la API. La respuesta siguió siendo 200 e identificó el servicio. Eso apoya la tercera hipótesis en el alcance que de </w:t>
      </w:r>
      <w:r>
        <w:lastRenderedPageBreak/>
        <w:t>verdad se probó: una respuesta que no depende del historial no cambia porque el historial esté caído. El código, además, aísla el fallo de escritura del registro para no sustituir el código de negocio ya decidido en SQL Server. No se repitió el alta de un pedido durante ese apagado, así que no se presenta como si se hubiera medido.</w:t>
      </w:r>
    </w:p>
    <w:p w14:paraId="54060BEF" w14:textId="77777777" w:rsidR="00485946" w:rsidRDefault="004C0BEC">
      <w:pPr>
        <w:spacing w:after="120"/>
        <w:ind w:firstLine="709"/>
        <w:jc w:val="both"/>
      </w:pPr>
      <w:r>
        <w:t>El historial separa la petición HTTP del hecho de negocio. Un pedido deja su identificador y un comentario deja el suyo. El ingreso no guarda la contraseña.</w:t>
      </w:r>
    </w:p>
    <w:p w14:paraId="0704B402" w14:textId="77777777" w:rsidR="00485946" w:rsidRDefault="004C0BEC">
      <w:pPr>
        <w:spacing w:before="200" w:after="80"/>
      </w:pPr>
      <w:r>
        <w:rPr>
          <w:b/>
          <w:sz w:val="24"/>
        </w:rPr>
        <w:t>3.7. Lo que este diseño no cubre</w:t>
      </w:r>
    </w:p>
    <w:p w14:paraId="5A7A5E95" w14:textId="77777777" w:rsidR="00485946" w:rsidRDefault="004C0BEC">
      <w:pPr>
        <w:spacing w:after="120"/>
        <w:ind w:firstLine="709"/>
        <w:jc w:val="both"/>
      </w:pPr>
      <w:r>
        <w:t>Quedan fuera el pago, la pantalla del mostrador, el pedido de varias líneas y una prueba de carga como la de Andrianto y Suyatno (2024). Un carrito exigiría otra transacción y no queda resuelto con este recorte. El diseño está probado en local y la evidencia termina donde terminan esas pruebas.</w:t>
      </w:r>
    </w:p>
    <w:p w14:paraId="238B5A44" w14:textId="77777777" w:rsidR="00485946" w:rsidRDefault="004C0BEC">
      <w:pPr>
        <w:spacing w:before="240" w:after="160"/>
      </w:pPr>
      <w:r>
        <w:rPr>
          <w:b/>
          <w:sz w:val="28"/>
        </w:rPr>
        <w:t>4. Conclusiones</w:t>
      </w:r>
    </w:p>
    <w:p w14:paraId="341297E7" w14:textId="77777777" w:rsidR="00485946" w:rsidRDefault="004C0BEC">
      <w:pPr>
        <w:spacing w:after="120"/>
        <w:jc w:val="both"/>
      </w:pPr>
      <w:r>
        <w:t>1. La arquitectura de persistencia mixta queda descrita con dos oficios distintos. SQL Server conserva perfiles, usuarios, productos y pedidos, y copia el precio en el momento de la venta. MongoDB conserva comentarios e historial, enlazados por el identificador del pedido, sin una segunda copia del stock.</w:t>
      </w:r>
    </w:p>
    <w:p w14:paraId="485A5168" w14:textId="77777777" w:rsidR="00485946" w:rsidRDefault="004C0BEC">
      <w:pPr>
        <w:spacing w:after="120"/>
        <w:jc w:val="both"/>
      </w:pPr>
      <w:r>
        <w:t>2. El control transaccional examinado descuenta la cantidad dentro de una transacción con bloqueo de fila. Solo un pedido que sigue confirmado, al cancelarse, devuelve las unidades. Una segunda cancelación responde conflicto y no suma el stock otra vez.</w:t>
      </w:r>
    </w:p>
    <w:p w14:paraId="4BF1F07A" w14:textId="77777777" w:rsidR="00485946" w:rsidRDefault="004C0BEC">
      <w:pPr>
        <w:spacing w:after="120"/>
        <w:jc w:val="both"/>
      </w:pPr>
      <w:r>
        <w:t>3. Las pruebas evaluadas devolvieron 409 cuando la cantidad superaba el stock, sin modificarlo, y 201 al volver a pedir después de cancelar. Con MongoDB detenido, la raíz de la API respondió 200. No se midió el choque de dos clientes en el mismo instante ni una carga de muchos usuarios.</w:t>
      </w:r>
    </w:p>
    <w:p w14:paraId="1BA34F2A" w14:textId="77777777" w:rsidR="00485946" w:rsidRDefault="004C0BEC">
      <w:pPr>
        <w:spacing w:before="240" w:after="160"/>
      </w:pPr>
      <w:r>
        <w:rPr>
          <w:b/>
          <w:sz w:val="28"/>
        </w:rPr>
        <w:t>5. Referencias</w:t>
      </w:r>
    </w:p>
    <w:p w14:paraId="6320C5BD" w14:textId="77777777" w:rsidR="00485946" w:rsidRDefault="004C0BEC">
      <w:pPr>
        <w:spacing w:after="160"/>
        <w:ind w:left="720" w:hanging="720"/>
      </w:pPr>
      <w:r>
        <w:t xml:space="preserve">Andrianto, L. D. y Suyatno, D. F. (2024). Analisis performa load testing antara MySQL dan NoSQL MongoDB pada REST API Node.js menggunakan Postman. </w:t>
      </w:r>
      <w:r>
        <w:rPr>
          <w:i/>
        </w:rPr>
        <w:t>Journal of Emerging Information Systems and Business Intelligence</w:t>
      </w:r>
      <w:r>
        <w:t>. https://ejournal.unesa.ac.id/index.php/JEISBI/article/view/58157</w:t>
      </w:r>
    </w:p>
    <w:p w14:paraId="7B4EC86F" w14:textId="77777777" w:rsidR="00485946" w:rsidRDefault="004C0BEC">
      <w:pPr>
        <w:spacing w:after="160"/>
        <w:ind w:left="720" w:hanging="720"/>
      </w:pPr>
      <w:r>
        <w:t xml:space="preserve">Fielding, R. T. y Reschke, J. (Eds.). (2022). </w:t>
      </w:r>
      <w:r>
        <w:rPr>
          <w:i/>
        </w:rPr>
        <w:t>HTTP semantics</w:t>
      </w:r>
      <w:r>
        <w:t xml:space="preserve"> (Request for Comments n.º 9110). Internet Engineering Task Force. https://doi.org/10.17487/RFC9110</w:t>
      </w:r>
    </w:p>
    <w:p w14:paraId="186C564B" w14:textId="77777777" w:rsidR="00485946" w:rsidRDefault="004C0BEC">
      <w:pPr>
        <w:spacing w:after="160"/>
        <w:ind w:left="720" w:hanging="720"/>
      </w:pPr>
      <w:r>
        <w:lastRenderedPageBreak/>
        <w:t xml:space="preserve">Győrödi, C. A., Turtureanu, T., Győrödi, R. Ş. y Zmaranda, D. R. (2023). Implementing a synchronization method between a relational and a non-relational database. </w:t>
      </w:r>
      <w:r>
        <w:rPr>
          <w:i/>
        </w:rPr>
        <w:t>Big Data and Cognitive Computing, 7</w:t>
      </w:r>
      <w:r>
        <w:t>(3), Artículo 153. https://doi.org/10.3390/bdcc7030153</w:t>
      </w:r>
    </w:p>
    <w:p w14:paraId="0F373A6A" w14:textId="77777777" w:rsidR="00485946" w:rsidRDefault="004C0BEC">
      <w:pPr>
        <w:spacing w:after="160"/>
        <w:ind w:left="720" w:hanging="720"/>
      </w:pPr>
      <w:r>
        <w:t xml:space="preserve">Illian, M., Zinda, C. y Schlangenotto, D. (2024). Data store architectures: Balancing functionality and performance. </w:t>
      </w:r>
      <w:r>
        <w:rPr>
          <w:i/>
        </w:rPr>
        <w:t>2024 IEEE International Conference on Industrial Technology (ICIT)</w:t>
      </w:r>
      <w:r>
        <w:t>. https://doi.org/10.1109/ICIT58233.2024.10540811</w:t>
      </w:r>
    </w:p>
    <w:p w14:paraId="54C8ACB4" w14:textId="77777777" w:rsidR="00485946" w:rsidRDefault="004C0BEC">
      <w:pPr>
        <w:spacing w:after="160"/>
        <w:ind w:left="720" w:hanging="720"/>
      </w:pPr>
      <w:r>
        <w:t xml:space="preserve">Kazanavičius, J., Mažeika, D. y Kalibatienė, D. (2022). An approach to migrate a monolith database into multi-model polyglot persistence based on microservice architecture: A case study for mainframe database. </w:t>
      </w:r>
      <w:r>
        <w:rPr>
          <w:i/>
        </w:rPr>
        <w:t>Applied Sciences, 12</w:t>
      </w:r>
      <w:r>
        <w:t>(12), Artículo 6189. https://doi.org/10.3390/app12126189</w:t>
      </w:r>
    </w:p>
    <w:p w14:paraId="31965813" w14:textId="77777777" w:rsidR="00485946" w:rsidRDefault="004C0BEC">
      <w:pPr>
        <w:spacing w:after="160"/>
        <w:ind w:left="720" w:hanging="720"/>
      </w:pPr>
      <w:r>
        <w:t xml:space="preserve">Microsoft. (s. f.). </w:t>
      </w:r>
      <w:r>
        <w:rPr>
          <w:i/>
        </w:rPr>
        <w:t>Transaction locking and row versioning guide</w:t>
      </w:r>
      <w:r>
        <w:t>. Recuperado el 21 de octubre de 2026, de https://learn.microsoft.com/en-us/sql/relational-databases/sql-server-transaction-locking-and-row-versioning-guide</w:t>
      </w:r>
    </w:p>
    <w:p w14:paraId="6FBD8CD8" w14:textId="77777777" w:rsidR="00485946" w:rsidRDefault="004C0BEC">
      <w:pPr>
        <w:spacing w:after="160"/>
        <w:ind w:left="720" w:hanging="720"/>
      </w:pPr>
      <w:r>
        <w:t xml:space="preserve">MongoDB. (s. f.). </w:t>
      </w:r>
      <w:r>
        <w:rPr>
          <w:i/>
        </w:rPr>
        <w:t>Documents</w:t>
      </w:r>
      <w:r>
        <w:t>. Recuperado el 21 de octubre de 2026, de https://www.mongodb.com/docs/manual/core/document/</w:t>
      </w:r>
    </w:p>
    <w:p w14:paraId="55D1204C" w14:textId="77777777" w:rsidR="00485946" w:rsidRDefault="004C0BEC">
      <w:pPr>
        <w:spacing w:after="160"/>
        <w:ind w:left="720" w:hanging="720"/>
      </w:pPr>
      <w:r>
        <w:t xml:space="preserve">Muangpool, T., Silachan, K. y Kuankid, S. (2024). A model for converting data into NoSQL data warehouse for developing a real-time financial data warehouse system. </w:t>
      </w:r>
      <w:r>
        <w:rPr>
          <w:i/>
        </w:rPr>
        <w:t>Suan Sunandha Science and Technology Journal, 11</w:t>
      </w:r>
      <w:r>
        <w:t>(2). https://doi.org/10.53848/ssstj.v11i2.762</w:t>
      </w:r>
    </w:p>
    <w:p w14:paraId="52D0D7C1" w14:textId="77777777" w:rsidR="00485946" w:rsidRDefault="004C0BEC">
      <w:pPr>
        <w:spacing w:after="160"/>
        <w:ind w:left="720" w:hanging="720"/>
      </w:pPr>
      <w:r>
        <w:t xml:space="preserve">OpenJS Foundation. (s. f.). </w:t>
      </w:r>
      <w:r>
        <w:rPr>
          <w:i/>
        </w:rPr>
        <w:t>Routing</w:t>
      </w:r>
      <w:r>
        <w:t>. Express. Recuperado el 21 de octubre de 2026, de https://expressjs.com/en/guide/routing.html</w:t>
      </w:r>
    </w:p>
    <w:p w14:paraId="30F1E047" w14:textId="77777777" w:rsidR="00485946" w:rsidRDefault="004C0BEC">
      <w:pPr>
        <w:spacing w:after="160"/>
        <w:ind w:left="720" w:hanging="720"/>
      </w:pPr>
      <w:r>
        <w:t xml:space="preserve">OWASP Foundation. (s. f.-a). </w:t>
      </w:r>
      <w:r>
        <w:rPr>
          <w:i/>
        </w:rPr>
        <w:t>JSON Web Token cheat sheet</w:t>
      </w:r>
      <w:r>
        <w:t>. Recuperado el 21 de octubre de 2026, de https://cheatsheetseries.owasp.org/cheatsheets/JSON_Web_Token_Cheat_Sheet.html</w:t>
      </w:r>
    </w:p>
    <w:p w14:paraId="4A35E37A" w14:textId="77777777" w:rsidR="00485946" w:rsidRDefault="004C0BEC">
      <w:pPr>
        <w:spacing w:after="160"/>
        <w:ind w:left="720" w:hanging="720"/>
      </w:pPr>
      <w:r>
        <w:t xml:space="preserve">OWASP Foundation. (s. f.-b). </w:t>
      </w:r>
      <w:r>
        <w:rPr>
          <w:i/>
        </w:rPr>
        <w:t>Password storage cheat sheet</w:t>
      </w:r>
      <w:r>
        <w:t>. Recuperado el 21 de octubre de 2026, de https://cheatsheetseries.owasp.org/cheatsheets/Password_Storage_Cheat_Sheet.html</w:t>
      </w:r>
    </w:p>
    <w:p w14:paraId="10649770" w14:textId="77777777" w:rsidR="00485946" w:rsidRDefault="004C0BEC">
      <w:pPr>
        <w:spacing w:after="160"/>
        <w:ind w:left="720" w:hanging="720"/>
      </w:pPr>
      <w:r>
        <w:t xml:space="preserve">Provos, N. (2023, 22 de mayo). Bcrypt at 25: A retrospective on password security. </w:t>
      </w:r>
      <w:r>
        <w:rPr>
          <w:i/>
        </w:rPr>
        <w:t>;login:</w:t>
      </w:r>
      <w:r>
        <w:t>. https://www.usenix.org/publications/loginonline/bcrypt-25-retrospective-password-security</w:t>
      </w:r>
    </w:p>
    <w:p w14:paraId="7E126E8A" w14:textId="77777777" w:rsidR="00485946" w:rsidRDefault="004C0BEC">
      <w:pPr>
        <w:spacing w:after="160"/>
        <w:ind w:left="720" w:hanging="720"/>
      </w:pPr>
      <w:r>
        <w:lastRenderedPageBreak/>
        <w:t xml:space="preserve">Ramakrishnan, R. (2023). Enhancing data management with MongoDB and its REST API. </w:t>
      </w:r>
      <w:r>
        <w:rPr>
          <w:i/>
        </w:rPr>
        <w:t>International Journal for Research in Applied Science and Engineering Technology</w:t>
      </w:r>
      <w:r>
        <w:t>. https://doi.org/10.22214/ijraset.2023.54593</w:t>
      </w:r>
    </w:p>
    <w:p w14:paraId="24278F95" w14:textId="77777777" w:rsidR="00485946" w:rsidRDefault="004C0BEC">
      <w:pPr>
        <w:spacing w:after="160"/>
        <w:ind w:left="720" w:hanging="720"/>
      </w:pPr>
      <w:r>
        <w:t xml:space="preserve">Ye, F., Sheng, X., Nedjah, N., Sun, J. y Zhang, P. (2023). A benchmark for performance evaluation of a multi-model database vs. polyglot persistence. </w:t>
      </w:r>
      <w:r>
        <w:rPr>
          <w:i/>
        </w:rPr>
        <w:t>Journal of Database Management</w:t>
      </w:r>
      <w:r>
        <w:t>. https://doi.org/10.4018/JDM.321756</w:t>
      </w:r>
    </w:p>
    <w:p w14:paraId="1CBC0CE4" w14:textId="77777777" w:rsidR="00485946" w:rsidRDefault="004C0BEC">
      <w:pPr>
        <w:spacing w:before="240" w:after="160"/>
      </w:pPr>
      <w:r>
        <w:rPr>
          <w:b/>
          <w:sz w:val="28"/>
        </w:rPr>
        <w:t>6. Anexos</w:t>
      </w:r>
    </w:p>
    <w:p w14:paraId="75473E6C" w14:textId="77777777" w:rsidR="00485946" w:rsidRDefault="004C0BEC">
      <w:pPr>
        <w:spacing w:after="120"/>
        <w:ind w:firstLine="709"/>
        <w:jc w:val="both"/>
      </w:pPr>
      <w:r>
        <w:t>Los anexos reúnen el modelo, las rutas y la secuencia de prueba que sostienen el desarrollo. No repiten la lista de referencias.</w:t>
      </w:r>
    </w:p>
    <w:p w14:paraId="4932ACE5" w14:textId="77777777" w:rsidR="00485946" w:rsidRDefault="004C0BEC">
      <w:pPr>
        <w:spacing w:before="160" w:after="80"/>
      </w:pPr>
      <w:r>
        <w:rPr>
          <w:b/>
          <w:sz w:val="24"/>
        </w:rPr>
        <w:t>Anexo A. Modelo transaccional en SQL Server</w:t>
      </w:r>
    </w:p>
    <w:p w14:paraId="381FAA2E" w14:textId="77777777" w:rsidR="00485946" w:rsidRDefault="004C0BEC">
      <w:pPr>
        <w:spacing w:before="40" w:after="0"/>
      </w:pPr>
      <w:r>
        <w:rPr>
          <w:b/>
          <w:i/>
        </w:rPr>
        <w:t>Tabla A1</w:t>
      </w:r>
    </w:p>
    <w:p w14:paraId="31D06A26" w14:textId="77777777" w:rsidR="00485946" w:rsidRDefault="004C0BEC">
      <w:pPr>
        <w:spacing w:after="80"/>
      </w:pPr>
      <w:r>
        <w:rPr>
          <w:i/>
        </w:rPr>
        <w:t>Tablas de la base CafeteriaCampus y regla que cada una protege</w:t>
      </w:r>
    </w:p>
    <w:tbl>
      <w:tblPr>
        <w:tblW w:w="8788" w:type="dxa"/>
        <w:tblLayout w:type="fixed"/>
        <w:tblLook w:val="04A0" w:firstRow="1" w:lastRow="0" w:firstColumn="1" w:lastColumn="0" w:noHBand="0" w:noVBand="1"/>
      </w:tblPr>
      <w:tblGrid>
        <w:gridCol w:w="1814"/>
        <w:gridCol w:w="3572"/>
        <w:gridCol w:w="3402"/>
      </w:tblGrid>
      <w:tr w:rsidR="00485946" w14:paraId="018A717C" w14:textId="77777777">
        <w:tc>
          <w:tcPr>
            <w:tcW w:w="1814" w:type="dxa"/>
            <w:tcBorders>
              <w:top w:val="single" w:sz="4" w:space="0" w:color="B0B0B0"/>
              <w:left w:val="single" w:sz="4" w:space="0" w:color="B0B0B0"/>
              <w:bottom w:val="single" w:sz="4" w:space="0" w:color="B0B0B0"/>
              <w:right w:val="single" w:sz="4" w:space="0" w:color="B0B0B0"/>
            </w:tcBorders>
            <w:shd w:val="clear" w:color="auto" w:fill="F4E6D4"/>
          </w:tcPr>
          <w:p w14:paraId="2384F991" w14:textId="77777777" w:rsidR="00485946" w:rsidRDefault="004C0BEC">
            <w:pPr>
              <w:spacing w:after="0"/>
            </w:pPr>
            <w:r>
              <w:rPr>
                <w:b/>
                <w:sz w:val="20"/>
              </w:rPr>
              <w:t>Tabla</w:t>
            </w:r>
          </w:p>
        </w:tc>
        <w:tc>
          <w:tcPr>
            <w:tcW w:w="3572" w:type="dxa"/>
            <w:tcBorders>
              <w:top w:val="single" w:sz="4" w:space="0" w:color="B0B0B0"/>
              <w:left w:val="single" w:sz="4" w:space="0" w:color="B0B0B0"/>
              <w:bottom w:val="single" w:sz="4" w:space="0" w:color="B0B0B0"/>
              <w:right w:val="single" w:sz="4" w:space="0" w:color="B0B0B0"/>
            </w:tcBorders>
            <w:shd w:val="clear" w:color="auto" w:fill="F4E6D4"/>
          </w:tcPr>
          <w:p w14:paraId="3F66E746" w14:textId="77777777" w:rsidR="00485946" w:rsidRDefault="004C0BEC">
            <w:pPr>
              <w:spacing w:after="0"/>
            </w:pPr>
            <w:r>
              <w:rPr>
                <w:b/>
                <w:sz w:val="20"/>
              </w:rPr>
              <w:t>Qué conserva</w:t>
            </w:r>
          </w:p>
        </w:tc>
        <w:tc>
          <w:tcPr>
            <w:tcW w:w="3402" w:type="dxa"/>
            <w:tcBorders>
              <w:top w:val="single" w:sz="4" w:space="0" w:color="B0B0B0"/>
              <w:left w:val="single" w:sz="4" w:space="0" w:color="B0B0B0"/>
              <w:bottom w:val="single" w:sz="4" w:space="0" w:color="B0B0B0"/>
              <w:right w:val="single" w:sz="4" w:space="0" w:color="B0B0B0"/>
            </w:tcBorders>
            <w:shd w:val="clear" w:color="auto" w:fill="F4E6D4"/>
          </w:tcPr>
          <w:p w14:paraId="69C339BA" w14:textId="77777777" w:rsidR="00485946" w:rsidRDefault="004C0BEC">
            <w:pPr>
              <w:spacing w:after="0"/>
            </w:pPr>
            <w:r>
              <w:rPr>
                <w:b/>
                <w:sz w:val="20"/>
              </w:rPr>
              <w:t>Regla principal</w:t>
            </w:r>
          </w:p>
        </w:tc>
      </w:tr>
      <w:tr w:rsidR="00485946" w14:paraId="7FDEFBC2" w14:textId="77777777">
        <w:tc>
          <w:tcPr>
            <w:tcW w:w="1814" w:type="dxa"/>
            <w:tcBorders>
              <w:top w:val="single" w:sz="4" w:space="0" w:color="B0B0B0"/>
              <w:left w:val="single" w:sz="4" w:space="0" w:color="B0B0B0"/>
              <w:bottom w:val="single" w:sz="4" w:space="0" w:color="B0B0B0"/>
              <w:right w:val="single" w:sz="4" w:space="0" w:color="B0B0B0"/>
            </w:tcBorders>
          </w:tcPr>
          <w:p w14:paraId="37305E84" w14:textId="77777777" w:rsidR="00485946" w:rsidRDefault="004C0BEC">
            <w:pPr>
              <w:spacing w:after="0"/>
            </w:pPr>
            <w:r>
              <w:rPr>
                <w:sz w:val="20"/>
              </w:rPr>
              <w:t>Perfiles</w:t>
            </w:r>
          </w:p>
        </w:tc>
        <w:tc>
          <w:tcPr>
            <w:tcW w:w="3572" w:type="dxa"/>
            <w:tcBorders>
              <w:top w:val="single" w:sz="4" w:space="0" w:color="B0B0B0"/>
              <w:left w:val="single" w:sz="4" w:space="0" w:color="B0B0B0"/>
              <w:bottom w:val="single" w:sz="4" w:space="0" w:color="B0B0B0"/>
              <w:right w:val="single" w:sz="4" w:space="0" w:color="B0B0B0"/>
            </w:tcBorders>
          </w:tcPr>
          <w:p w14:paraId="55A6B7D5" w14:textId="77777777" w:rsidR="00485946" w:rsidRDefault="004C0BEC">
            <w:pPr>
              <w:spacing w:after="0"/>
            </w:pPr>
            <w:r>
              <w:rPr>
                <w:sz w:val="20"/>
              </w:rPr>
              <w:t>Administrador y Cliente</w:t>
            </w:r>
          </w:p>
        </w:tc>
        <w:tc>
          <w:tcPr>
            <w:tcW w:w="3402" w:type="dxa"/>
            <w:tcBorders>
              <w:top w:val="single" w:sz="4" w:space="0" w:color="B0B0B0"/>
              <w:left w:val="single" w:sz="4" w:space="0" w:color="B0B0B0"/>
              <w:bottom w:val="single" w:sz="4" w:space="0" w:color="B0B0B0"/>
              <w:right w:val="single" w:sz="4" w:space="0" w:color="B0B0B0"/>
            </w:tcBorders>
          </w:tcPr>
          <w:p w14:paraId="77E74F6D" w14:textId="77777777" w:rsidR="00485946" w:rsidRDefault="004C0BEC">
            <w:pPr>
              <w:spacing w:after="0"/>
            </w:pPr>
            <w:r>
              <w:rPr>
                <w:sz w:val="20"/>
              </w:rPr>
              <w:t>El perfil autoriza la ruta</w:t>
            </w:r>
          </w:p>
        </w:tc>
      </w:tr>
      <w:tr w:rsidR="00485946" w14:paraId="6A5550F2" w14:textId="77777777">
        <w:tc>
          <w:tcPr>
            <w:tcW w:w="1814" w:type="dxa"/>
            <w:tcBorders>
              <w:top w:val="single" w:sz="4" w:space="0" w:color="B0B0B0"/>
              <w:left w:val="single" w:sz="4" w:space="0" w:color="B0B0B0"/>
              <w:bottom w:val="single" w:sz="4" w:space="0" w:color="B0B0B0"/>
              <w:right w:val="single" w:sz="4" w:space="0" w:color="B0B0B0"/>
            </w:tcBorders>
            <w:shd w:val="clear" w:color="auto" w:fill="FBF7F2"/>
          </w:tcPr>
          <w:p w14:paraId="286D48B9" w14:textId="77777777" w:rsidR="00485946" w:rsidRDefault="004C0BEC">
            <w:pPr>
              <w:spacing w:after="0"/>
            </w:pPr>
            <w:r>
              <w:rPr>
                <w:sz w:val="20"/>
              </w:rPr>
              <w:t>Usuarios</w:t>
            </w:r>
          </w:p>
        </w:tc>
        <w:tc>
          <w:tcPr>
            <w:tcW w:w="3572" w:type="dxa"/>
            <w:tcBorders>
              <w:top w:val="single" w:sz="4" w:space="0" w:color="B0B0B0"/>
              <w:left w:val="single" w:sz="4" w:space="0" w:color="B0B0B0"/>
              <w:bottom w:val="single" w:sz="4" w:space="0" w:color="B0B0B0"/>
              <w:right w:val="single" w:sz="4" w:space="0" w:color="B0B0B0"/>
            </w:tcBorders>
            <w:shd w:val="clear" w:color="auto" w:fill="FBF7F2"/>
          </w:tcPr>
          <w:p w14:paraId="038BB5CE" w14:textId="77777777" w:rsidR="00485946" w:rsidRDefault="004C0BEC">
            <w:pPr>
              <w:spacing w:after="0"/>
            </w:pPr>
            <w:r>
              <w:rPr>
                <w:sz w:val="20"/>
              </w:rPr>
              <w:t>Correo, hash, perfil, activo y fechas</w:t>
            </w:r>
          </w:p>
        </w:tc>
        <w:tc>
          <w:tcPr>
            <w:tcW w:w="3402" w:type="dxa"/>
            <w:tcBorders>
              <w:top w:val="single" w:sz="4" w:space="0" w:color="B0B0B0"/>
              <w:left w:val="single" w:sz="4" w:space="0" w:color="B0B0B0"/>
              <w:bottom w:val="single" w:sz="4" w:space="0" w:color="B0B0B0"/>
              <w:right w:val="single" w:sz="4" w:space="0" w:color="B0B0B0"/>
            </w:tcBorders>
            <w:shd w:val="clear" w:color="auto" w:fill="FBF7F2"/>
          </w:tcPr>
          <w:p w14:paraId="21CA5616" w14:textId="77777777" w:rsidR="00485946" w:rsidRDefault="004C0BEC">
            <w:pPr>
              <w:spacing w:after="0"/>
            </w:pPr>
            <w:r>
              <w:rPr>
                <w:sz w:val="20"/>
              </w:rPr>
              <w:t>El correo es único; la baja no borra la fila</w:t>
            </w:r>
          </w:p>
        </w:tc>
      </w:tr>
      <w:tr w:rsidR="00485946" w14:paraId="2201819C" w14:textId="77777777">
        <w:tc>
          <w:tcPr>
            <w:tcW w:w="1814" w:type="dxa"/>
            <w:tcBorders>
              <w:top w:val="single" w:sz="4" w:space="0" w:color="B0B0B0"/>
              <w:left w:val="single" w:sz="4" w:space="0" w:color="B0B0B0"/>
              <w:bottom w:val="single" w:sz="4" w:space="0" w:color="B0B0B0"/>
              <w:right w:val="single" w:sz="4" w:space="0" w:color="B0B0B0"/>
            </w:tcBorders>
          </w:tcPr>
          <w:p w14:paraId="660F54A4" w14:textId="77777777" w:rsidR="00485946" w:rsidRDefault="004C0BEC">
            <w:pPr>
              <w:spacing w:after="0"/>
            </w:pPr>
            <w:r>
              <w:rPr>
                <w:sz w:val="20"/>
              </w:rPr>
              <w:t>Productos</w:t>
            </w:r>
          </w:p>
        </w:tc>
        <w:tc>
          <w:tcPr>
            <w:tcW w:w="3572" w:type="dxa"/>
            <w:tcBorders>
              <w:top w:val="single" w:sz="4" w:space="0" w:color="B0B0B0"/>
              <w:left w:val="single" w:sz="4" w:space="0" w:color="B0B0B0"/>
              <w:bottom w:val="single" w:sz="4" w:space="0" w:color="B0B0B0"/>
              <w:right w:val="single" w:sz="4" w:space="0" w:color="B0B0B0"/>
            </w:tcBorders>
          </w:tcPr>
          <w:p w14:paraId="752EF3A9" w14:textId="77777777" w:rsidR="00485946" w:rsidRDefault="004C0BEC">
            <w:pPr>
              <w:spacing w:after="0"/>
            </w:pPr>
            <w:r>
              <w:rPr>
                <w:sz w:val="20"/>
              </w:rPr>
              <w:t>Nombre, precio, stock, descripción y activo</w:t>
            </w:r>
          </w:p>
        </w:tc>
        <w:tc>
          <w:tcPr>
            <w:tcW w:w="3402" w:type="dxa"/>
            <w:tcBorders>
              <w:top w:val="single" w:sz="4" w:space="0" w:color="B0B0B0"/>
              <w:left w:val="single" w:sz="4" w:space="0" w:color="B0B0B0"/>
              <w:bottom w:val="single" w:sz="4" w:space="0" w:color="B0B0B0"/>
              <w:right w:val="single" w:sz="4" w:space="0" w:color="B0B0B0"/>
            </w:tcBorders>
          </w:tcPr>
          <w:p w14:paraId="2546A3AA" w14:textId="77777777" w:rsidR="00485946" w:rsidRDefault="004C0BEC">
            <w:pPr>
              <w:spacing w:after="0"/>
            </w:pPr>
            <w:r>
              <w:rPr>
                <w:sz w:val="20"/>
              </w:rPr>
              <w:t>El precio es mayor que cero y el stock no es negativo</w:t>
            </w:r>
          </w:p>
        </w:tc>
      </w:tr>
      <w:tr w:rsidR="00485946" w14:paraId="5E951054" w14:textId="77777777">
        <w:tc>
          <w:tcPr>
            <w:tcW w:w="1814" w:type="dxa"/>
            <w:tcBorders>
              <w:top w:val="single" w:sz="4" w:space="0" w:color="B0B0B0"/>
              <w:left w:val="single" w:sz="4" w:space="0" w:color="B0B0B0"/>
              <w:bottom w:val="single" w:sz="4" w:space="0" w:color="B0B0B0"/>
              <w:right w:val="single" w:sz="4" w:space="0" w:color="B0B0B0"/>
            </w:tcBorders>
            <w:shd w:val="clear" w:color="auto" w:fill="FBF7F2"/>
          </w:tcPr>
          <w:p w14:paraId="2ED5F0C6" w14:textId="77777777" w:rsidR="00485946" w:rsidRDefault="004C0BEC">
            <w:pPr>
              <w:spacing w:after="0"/>
            </w:pPr>
            <w:r>
              <w:rPr>
                <w:sz w:val="20"/>
              </w:rPr>
              <w:t>Pedidos</w:t>
            </w:r>
          </w:p>
        </w:tc>
        <w:tc>
          <w:tcPr>
            <w:tcW w:w="3572" w:type="dxa"/>
            <w:tcBorders>
              <w:top w:val="single" w:sz="4" w:space="0" w:color="B0B0B0"/>
              <w:left w:val="single" w:sz="4" w:space="0" w:color="B0B0B0"/>
              <w:bottom w:val="single" w:sz="4" w:space="0" w:color="B0B0B0"/>
              <w:right w:val="single" w:sz="4" w:space="0" w:color="B0B0B0"/>
            </w:tcBorders>
            <w:shd w:val="clear" w:color="auto" w:fill="FBF7F2"/>
          </w:tcPr>
          <w:p w14:paraId="6082B11F" w14:textId="77777777" w:rsidR="00485946" w:rsidRDefault="004C0BEC">
            <w:pPr>
              <w:spacing w:after="0"/>
            </w:pPr>
            <w:r>
              <w:rPr>
                <w:sz w:val="20"/>
              </w:rPr>
              <w:t>Usuario, producto, cantidad, precio copiado y estado</w:t>
            </w:r>
          </w:p>
        </w:tc>
        <w:tc>
          <w:tcPr>
            <w:tcW w:w="3402" w:type="dxa"/>
            <w:tcBorders>
              <w:top w:val="single" w:sz="4" w:space="0" w:color="B0B0B0"/>
              <w:left w:val="single" w:sz="4" w:space="0" w:color="B0B0B0"/>
              <w:bottom w:val="single" w:sz="4" w:space="0" w:color="B0B0B0"/>
              <w:right w:val="single" w:sz="4" w:space="0" w:color="B0B0B0"/>
            </w:tcBorders>
            <w:shd w:val="clear" w:color="auto" w:fill="FBF7F2"/>
          </w:tcPr>
          <w:p w14:paraId="10D1E042" w14:textId="77777777" w:rsidR="00485946" w:rsidRDefault="004C0BEC">
            <w:pPr>
              <w:spacing w:after="0"/>
            </w:pPr>
            <w:r>
              <w:rPr>
                <w:sz w:val="20"/>
              </w:rPr>
              <w:t>La cantidad es mayor que cero; el estado es confirmado o cancelado</w:t>
            </w:r>
          </w:p>
        </w:tc>
      </w:tr>
    </w:tbl>
    <w:p w14:paraId="17A043E1" w14:textId="77777777" w:rsidR="00485946" w:rsidRDefault="004C0BEC">
      <w:pPr>
        <w:spacing w:before="120" w:after="120"/>
        <w:ind w:firstLine="709"/>
        <w:jc w:val="both"/>
      </w:pPr>
      <w:r>
        <w:t>El correo único se asegura en la tabla de usuarios. Hay índices por usuario y por producto en los pedidos, para consultar el historial de cada persona y de cada producto sin recorrer toda la tabla.</w:t>
      </w:r>
    </w:p>
    <w:p w14:paraId="7A58CEA6" w14:textId="77777777" w:rsidR="00485946" w:rsidRDefault="004C0BEC">
      <w:pPr>
        <w:spacing w:before="160" w:after="80"/>
      </w:pPr>
      <w:r>
        <w:rPr>
          <w:b/>
          <w:sz w:val="24"/>
        </w:rPr>
        <w:t>Anexo B. Recursos de la interfaz</w:t>
      </w:r>
    </w:p>
    <w:p w14:paraId="3BFCB42F" w14:textId="77777777" w:rsidR="00485946" w:rsidRDefault="004C0BEC">
      <w:pPr>
        <w:spacing w:before="40" w:after="0"/>
      </w:pPr>
      <w:r>
        <w:rPr>
          <w:b/>
          <w:i/>
        </w:rPr>
        <w:t>Tabla B1</w:t>
      </w:r>
    </w:p>
    <w:p w14:paraId="68994EE8" w14:textId="77777777" w:rsidR="00485946" w:rsidRDefault="004C0BEC">
      <w:pPr>
        <w:spacing w:after="80"/>
      </w:pPr>
      <w:r>
        <w:rPr>
          <w:i/>
        </w:rPr>
        <w:t>Rutas principales, quién puede usarlas y para qué sirven</w:t>
      </w:r>
    </w:p>
    <w:tbl>
      <w:tblPr>
        <w:tblW w:w="8788" w:type="dxa"/>
        <w:tblLayout w:type="fixed"/>
        <w:tblLook w:val="04A0" w:firstRow="1" w:lastRow="0" w:firstColumn="1" w:lastColumn="0" w:noHBand="0" w:noVBand="1"/>
      </w:tblPr>
      <w:tblGrid>
        <w:gridCol w:w="3515"/>
        <w:gridCol w:w="2438"/>
        <w:gridCol w:w="2835"/>
      </w:tblGrid>
      <w:tr w:rsidR="00485946" w14:paraId="46524942" w14:textId="77777777">
        <w:tc>
          <w:tcPr>
            <w:tcW w:w="3515" w:type="dxa"/>
            <w:tcBorders>
              <w:top w:val="single" w:sz="4" w:space="0" w:color="B0B0B0"/>
              <w:left w:val="single" w:sz="4" w:space="0" w:color="B0B0B0"/>
              <w:bottom w:val="single" w:sz="4" w:space="0" w:color="B0B0B0"/>
              <w:right w:val="single" w:sz="4" w:space="0" w:color="B0B0B0"/>
            </w:tcBorders>
            <w:shd w:val="clear" w:color="auto" w:fill="F4E6D4"/>
          </w:tcPr>
          <w:p w14:paraId="5C750055" w14:textId="77777777" w:rsidR="00485946" w:rsidRDefault="004C0BEC">
            <w:pPr>
              <w:spacing w:after="0"/>
            </w:pPr>
            <w:r>
              <w:rPr>
                <w:b/>
                <w:sz w:val="20"/>
              </w:rPr>
              <w:t>Método y ruta</w:t>
            </w:r>
          </w:p>
        </w:tc>
        <w:tc>
          <w:tcPr>
            <w:tcW w:w="2438" w:type="dxa"/>
            <w:tcBorders>
              <w:top w:val="single" w:sz="4" w:space="0" w:color="B0B0B0"/>
              <w:left w:val="single" w:sz="4" w:space="0" w:color="B0B0B0"/>
              <w:bottom w:val="single" w:sz="4" w:space="0" w:color="B0B0B0"/>
              <w:right w:val="single" w:sz="4" w:space="0" w:color="B0B0B0"/>
            </w:tcBorders>
            <w:shd w:val="clear" w:color="auto" w:fill="F4E6D4"/>
          </w:tcPr>
          <w:p w14:paraId="0F9AA5DB" w14:textId="77777777" w:rsidR="00485946" w:rsidRDefault="004C0BEC">
            <w:pPr>
              <w:spacing w:after="0"/>
            </w:pPr>
            <w:r>
              <w:rPr>
                <w:b/>
                <w:sz w:val="20"/>
              </w:rPr>
              <w:t>Quién</w:t>
            </w:r>
          </w:p>
        </w:tc>
        <w:tc>
          <w:tcPr>
            <w:tcW w:w="2835" w:type="dxa"/>
            <w:tcBorders>
              <w:top w:val="single" w:sz="4" w:space="0" w:color="B0B0B0"/>
              <w:left w:val="single" w:sz="4" w:space="0" w:color="B0B0B0"/>
              <w:bottom w:val="single" w:sz="4" w:space="0" w:color="B0B0B0"/>
              <w:right w:val="single" w:sz="4" w:space="0" w:color="B0B0B0"/>
            </w:tcBorders>
            <w:shd w:val="clear" w:color="auto" w:fill="F4E6D4"/>
          </w:tcPr>
          <w:p w14:paraId="3AD98864" w14:textId="77777777" w:rsidR="00485946" w:rsidRDefault="004C0BEC">
            <w:pPr>
              <w:spacing w:after="0"/>
            </w:pPr>
            <w:r>
              <w:rPr>
                <w:b/>
                <w:sz w:val="20"/>
              </w:rPr>
              <w:t>Para qué</w:t>
            </w:r>
          </w:p>
        </w:tc>
      </w:tr>
      <w:tr w:rsidR="00485946" w14:paraId="5858DF6A" w14:textId="77777777">
        <w:tc>
          <w:tcPr>
            <w:tcW w:w="3515" w:type="dxa"/>
            <w:tcBorders>
              <w:top w:val="single" w:sz="4" w:space="0" w:color="B0B0B0"/>
              <w:left w:val="single" w:sz="4" w:space="0" w:color="B0B0B0"/>
              <w:bottom w:val="single" w:sz="4" w:space="0" w:color="B0B0B0"/>
              <w:right w:val="single" w:sz="4" w:space="0" w:color="B0B0B0"/>
            </w:tcBorders>
          </w:tcPr>
          <w:p w14:paraId="5DD13627" w14:textId="77777777" w:rsidR="00485946" w:rsidRDefault="004C0BEC">
            <w:pPr>
              <w:spacing w:after="0"/>
            </w:pPr>
            <w:r>
              <w:rPr>
                <w:sz w:val="20"/>
              </w:rPr>
              <w:t>POST /api/auth/login</w:t>
            </w:r>
          </w:p>
        </w:tc>
        <w:tc>
          <w:tcPr>
            <w:tcW w:w="2438" w:type="dxa"/>
            <w:tcBorders>
              <w:top w:val="single" w:sz="4" w:space="0" w:color="B0B0B0"/>
              <w:left w:val="single" w:sz="4" w:space="0" w:color="B0B0B0"/>
              <w:bottom w:val="single" w:sz="4" w:space="0" w:color="B0B0B0"/>
              <w:right w:val="single" w:sz="4" w:space="0" w:color="B0B0B0"/>
            </w:tcBorders>
          </w:tcPr>
          <w:p w14:paraId="3E175374" w14:textId="77777777" w:rsidR="00485946" w:rsidRDefault="004C0BEC">
            <w:pPr>
              <w:spacing w:after="0"/>
            </w:pPr>
            <w:r>
              <w:rPr>
                <w:sz w:val="20"/>
              </w:rPr>
              <w:t>Público</w:t>
            </w:r>
          </w:p>
        </w:tc>
        <w:tc>
          <w:tcPr>
            <w:tcW w:w="2835" w:type="dxa"/>
            <w:tcBorders>
              <w:top w:val="single" w:sz="4" w:space="0" w:color="B0B0B0"/>
              <w:left w:val="single" w:sz="4" w:space="0" w:color="B0B0B0"/>
              <w:bottom w:val="single" w:sz="4" w:space="0" w:color="B0B0B0"/>
              <w:right w:val="single" w:sz="4" w:space="0" w:color="B0B0B0"/>
            </w:tcBorders>
          </w:tcPr>
          <w:p w14:paraId="1FE96874" w14:textId="77777777" w:rsidR="00485946" w:rsidRDefault="004C0BEC">
            <w:pPr>
              <w:spacing w:after="0"/>
            </w:pPr>
            <w:r>
              <w:rPr>
                <w:sz w:val="20"/>
              </w:rPr>
              <w:t>Entregar el token</w:t>
            </w:r>
          </w:p>
        </w:tc>
      </w:tr>
      <w:tr w:rsidR="00485946" w14:paraId="73DFFF8B" w14:textId="77777777">
        <w:tc>
          <w:tcPr>
            <w:tcW w:w="3515" w:type="dxa"/>
            <w:tcBorders>
              <w:top w:val="single" w:sz="4" w:space="0" w:color="B0B0B0"/>
              <w:left w:val="single" w:sz="4" w:space="0" w:color="B0B0B0"/>
              <w:bottom w:val="single" w:sz="4" w:space="0" w:color="B0B0B0"/>
              <w:right w:val="single" w:sz="4" w:space="0" w:color="B0B0B0"/>
            </w:tcBorders>
            <w:shd w:val="clear" w:color="auto" w:fill="FBF7F2"/>
          </w:tcPr>
          <w:p w14:paraId="647FC4F7" w14:textId="77777777" w:rsidR="00485946" w:rsidRDefault="004C0BEC">
            <w:pPr>
              <w:spacing w:after="0"/>
            </w:pPr>
            <w:r>
              <w:rPr>
                <w:sz w:val="20"/>
              </w:rPr>
              <w:t>POST /api/auth/registro</w:t>
            </w:r>
          </w:p>
        </w:tc>
        <w:tc>
          <w:tcPr>
            <w:tcW w:w="2438" w:type="dxa"/>
            <w:tcBorders>
              <w:top w:val="single" w:sz="4" w:space="0" w:color="B0B0B0"/>
              <w:left w:val="single" w:sz="4" w:space="0" w:color="B0B0B0"/>
              <w:bottom w:val="single" w:sz="4" w:space="0" w:color="B0B0B0"/>
              <w:right w:val="single" w:sz="4" w:space="0" w:color="B0B0B0"/>
            </w:tcBorders>
            <w:shd w:val="clear" w:color="auto" w:fill="FBF7F2"/>
          </w:tcPr>
          <w:p w14:paraId="14B4214F" w14:textId="77777777" w:rsidR="00485946" w:rsidRDefault="004C0BEC">
            <w:pPr>
              <w:spacing w:after="0"/>
            </w:pPr>
            <w:r>
              <w:rPr>
                <w:sz w:val="20"/>
              </w:rPr>
              <w:t>Público</w:t>
            </w:r>
          </w:p>
        </w:tc>
        <w:tc>
          <w:tcPr>
            <w:tcW w:w="2835" w:type="dxa"/>
            <w:tcBorders>
              <w:top w:val="single" w:sz="4" w:space="0" w:color="B0B0B0"/>
              <w:left w:val="single" w:sz="4" w:space="0" w:color="B0B0B0"/>
              <w:bottom w:val="single" w:sz="4" w:space="0" w:color="B0B0B0"/>
              <w:right w:val="single" w:sz="4" w:space="0" w:color="B0B0B0"/>
            </w:tcBorders>
            <w:shd w:val="clear" w:color="auto" w:fill="FBF7F2"/>
          </w:tcPr>
          <w:p w14:paraId="5D6E848D" w14:textId="77777777" w:rsidR="00485946" w:rsidRDefault="004C0BEC">
            <w:pPr>
              <w:spacing w:after="0"/>
            </w:pPr>
            <w:r>
              <w:rPr>
                <w:sz w:val="20"/>
              </w:rPr>
              <w:t>Crear un cliente</w:t>
            </w:r>
          </w:p>
        </w:tc>
      </w:tr>
      <w:tr w:rsidR="00485946" w14:paraId="4C1EB397" w14:textId="77777777">
        <w:tc>
          <w:tcPr>
            <w:tcW w:w="3515" w:type="dxa"/>
            <w:tcBorders>
              <w:top w:val="single" w:sz="4" w:space="0" w:color="B0B0B0"/>
              <w:left w:val="single" w:sz="4" w:space="0" w:color="B0B0B0"/>
              <w:bottom w:val="single" w:sz="4" w:space="0" w:color="B0B0B0"/>
              <w:right w:val="single" w:sz="4" w:space="0" w:color="B0B0B0"/>
            </w:tcBorders>
          </w:tcPr>
          <w:p w14:paraId="735B6E08" w14:textId="77777777" w:rsidR="00485946" w:rsidRDefault="004C0BEC">
            <w:pPr>
              <w:spacing w:after="0"/>
            </w:pPr>
            <w:r>
              <w:rPr>
                <w:sz w:val="20"/>
              </w:rPr>
              <w:t>GET y POST /api/usuarios</w:t>
            </w:r>
          </w:p>
        </w:tc>
        <w:tc>
          <w:tcPr>
            <w:tcW w:w="2438" w:type="dxa"/>
            <w:tcBorders>
              <w:top w:val="single" w:sz="4" w:space="0" w:color="B0B0B0"/>
              <w:left w:val="single" w:sz="4" w:space="0" w:color="B0B0B0"/>
              <w:bottom w:val="single" w:sz="4" w:space="0" w:color="B0B0B0"/>
              <w:right w:val="single" w:sz="4" w:space="0" w:color="B0B0B0"/>
            </w:tcBorders>
          </w:tcPr>
          <w:p w14:paraId="15991089" w14:textId="77777777" w:rsidR="00485946" w:rsidRDefault="004C0BEC">
            <w:pPr>
              <w:spacing w:after="0"/>
            </w:pPr>
            <w:r>
              <w:rPr>
                <w:sz w:val="20"/>
              </w:rPr>
              <w:t>Administrador</w:t>
            </w:r>
          </w:p>
        </w:tc>
        <w:tc>
          <w:tcPr>
            <w:tcW w:w="2835" w:type="dxa"/>
            <w:tcBorders>
              <w:top w:val="single" w:sz="4" w:space="0" w:color="B0B0B0"/>
              <w:left w:val="single" w:sz="4" w:space="0" w:color="B0B0B0"/>
              <w:bottom w:val="single" w:sz="4" w:space="0" w:color="B0B0B0"/>
              <w:right w:val="single" w:sz="4" w:space="0" w:color="B0B0B0"/>
            </w:tcBorders>
          </w:tcPr>
          <w:p w14:paraId="2C1C1357" w14:textId="77777777" w:rsidR="00485946" w:rsidRDefault="004C0BEC">
            <w:pPr>
              <w:spacing w:after="0"/>
            </w:pPr>
            <w:r>
              <w:rPr>
                <w:sz w:val="20"/>
              </w:rPr>
              <w:t>Listar y crear cuentas</w:t>
            </w:r>
          </w:p>
        </w:tc>
      </w:tr>
      <w:tr w:rsidR="00485946" w14:paraId="7A8ADC39" w14:textId="77777777">
        <w:tc>
          <w:tcPr>
            <w:tcW w:w="3515" w:type="dxa"/>
            <w:tcBorders>
              <w:top w:val="single" w:sz="4" w:space="0" w:color="B0B0B0"/>
              <w:left w:val="single" w:sz="4" w:space="0" w:color="B0B0B0"/>
              <w:bottom w:val="single" w:sz="4" w:space="0" w:color="B0B0B0"/>
              <w:right w:val="single" w:sz="4" w:space="0" w:color="B0B0B0"/>
            </w:tcBorders>
            <w:shd w:val="clear" w:color="auto" w:fill="FBF7F2"/>
          </w:tcPr>
          <w:p w14:paraId="50DC9088" w14:textId="77777777" w:rsidR="00485946" w:rsidRDefault="004C0BEC">
            <w:pPr>
              <w:spacing w:after="0"/>
            </w:pPr>
            <w:r>
              <w:rPr>
                <w:sz w:val="20"/>
              </w:rPr>
              <w:t>GET y PUT /api/usuarios/:id</w:t>
            </w:r>
          </w:p>
        </w:tc>
        <w:tc>
          <w:tcPr>
            <w:tcW w:w="2438" w:type="dxa"/>
            <w:tcBorders>
              <w:top w:val="single" w:sz="4" w:space="0" w:color="B0B0B0"/>
              <w:left w:val="single" w:sz="4" w:space="0" w:color="B0B0B0"/>
              <w:bottom w:val="single" w:sz="4" w:space="0" w:color="B0B0B0"/>
              <w:right w:val="single" w:sz="4" w:space="0" w:color="B0B0B0"/>
            </w:tcBorders>
            <w:shd w:val="clear" w:color="auto" w:fill="FBF7F2"/>
          </w:tcPr>
          <w:p w14:paraId="38A181BB" w14:textId="77777777" w:rsidR="00485946" w:rsidRDefault="004C0BEC">
            <w:pPr>
              <w:spacing w:after="0"/>
            </w:pPr>
            <w:r>
              <w:rPr>
                <w:sz w:val="20"/>
              </w:rPr>
              <w:t>Dueño o administrador</w:t>
            </w:r>
          </w:p>
        </w:tc>
        <w:tc>
          <w:tcPr>
            <w:tcW w:w="2835" w:type="dxa"/>
            <w:tcBorders>
              <w:top w:val="single" w:sz="4" w:space="0" w:color="B0B0B0"/>
              <w:left w:val="single" w:sz="4" w:space="0" w:color="B0B0B0"/>
              <w:bottom w:val="single" w:sz="4" w:space="0" w:color="B0B0B0"/>
              <w:right w:val="single" w:sz="4" w:space="0" w:color="B0B0B0"/>
            </w:tcBorders>
            <w:shd w:val="clear" w:color="auto" w:fill="FBF7F2"/>
          </w:tcPr>
          <w:p w14:paraId="26FAB1FC" w14:textId="77777777" w:rsidR="00485946" w:rsidRDefault="004C0BEC">
            <w:pPr>
              <w:spacing w:after="0"/>
            </w:pPr>
            <w:r>
              <w:rPr>
                <w:sz w:val="20"/>
              </w:rPr>
              <w:t>Ver y editar la cuenta</w:t>
            </w:r>
          </w:p>
        </w:tc>
      </w:tr>
      <w:tr w:rsidR="00485946" w14:paraId="5F72E7AC" w14:textId="77777777">
        <w:tc>
          <w:tcPr>
            <w:tcW w:w="3515" w:type="dxa"/>
            <w:tcBorders>
              <w:top w:val="single" w:sz="4" w:space="0" w:color="B0B0B0"/>
              <w:left w:val="single" w:sz="4" w:space="0" w:color="B0B0B0"/>
              <w:bottom w:val="single" w:sz="4" w:space="0" w:color="B0B0B0"/>
              <w:right w:val="single" w:sz="4" w:space="0" w:color="B0B0B0"/>
            </w:tcBorders>
          </w:tcPr>
          <w:p w14:paraId="3C2F6214" w14:textId="77777777" w:rsidR="00485946" w:rsidRDefault="004C0BEC">
            <w:pPr>
              <w:spacing w:after="0"/>
            </w:pPr>
            <w:r>
              <w:rPr>
                <w:sz w:val="20"/>
              </w:rPr>
              <w:lastRenderedPageBreak/>
              <w:t>DELETE /api/usuarios/:id</w:t>
            </w:r>
          </w:p>
        </w:tc>
        <w:tc>
          <w:tcPr>
            <w:tcW w:w="2438" w:type="dxa"/>
            <w:tcBorders>
              <w:top w:val="single" w:sz="4" w:space="0" w:color="B0B0B0"/>
              <w:left w:val="single" w:sz="4" w:space="0" w:color="B0B0B0"/>
              <w:bottom w:val="single" w:sz="4" w:space="0" w:color="B0B0B0"/>
              <w:right w:val="single" w:sz="4" w:space="0" w:color="B0B0B0"/>
            </w:tcBorders>
          </w:tcPr>
          <w:p w14:paraId="00D27E59" w14:textId="77777777" w:rsidR="00485946" w:rsidRDefault="004C0BEC">
            <w:pPr>
              <w:spacing w:after="0"/>
            </w:pPr>
            <w:r>
              <w:rPr>
                <w:sz w:val="20"/>
              </w:rPr>
              <w:t>Administrador</w:t>
            </w:r>
          </w:p>
        </w:tc>
        <w:tc>
          <w:tcPr>
            <w:tcW w:w="2835" w:type="dxa"/>
            <w:tcBorders>
              <w:top w:val="single" w:sz="4" w:space="0" w:color="B0B0B0"/>
              <w:left w:val="single" w:sz="4" w:space="0" w:color="B0B0B0"/>
              <w:bottom w:val="single" w:sz="4" w:space="0" w:color="B0B0B0"/>
              <w:right w:val="single" w:sz="4" w:space="0" w:color="B0B0B0"/>
            </w:tcBorders>
          </w:tcPr>
          <w:p w14:paraId="2645D115" w14:textId="77777777" w:rsidR="00485946" w:rsidRDefault="004C0BEC">
            <w:pPr>
              <w:spacing w:after="0"/>
            </w:pPr>
            <w:r>
              <w:rPr>
                <w:sz w:val="20"/>
              </w:rPr>
              <w:t>Desactivar, sin borrarse a sí mismo</w:t>
            </w:r>
          </w:p>
        </w:tc>
      </w:tr>
      <w:tr w:rsidR="00485946" w14:paraId="3034AF3B" w14:textId="77777777">
        <w:tc>
          <w:tcPr>
            <w:tcW w:w="3515" w:type="dxa"/>
            <w:tcBorders>
              <w:top w:val="single" w:sz="4" w:space="0" w:color="B0B0B0"/>
              <w:left w:val="single" w:sz="4" w:space="0" w:color="B0B0B0"/>
              <w:bottom w:val="single" w:sz="4" w:space="0" w:color="B0B0B0"/>
              <w:right w:val="single" w:sz="4" w:space="0" w:color="B0B0B0"/>
            </w:tcBorders>
            <w:shd w:val="clear" w:color="auto" w:fill="FBF7F2"/>
          </w:tcPr>
          <w:p w14:paraId="562E9D0B" w14:textId="77777777" w:rsidR="00485946" w:rsidRDefault="004C0BEC">
            <w:pPr>
              <w:spacing w:after="0"/>
            </w:pPr>
            <w:r>
              <w:rPr>
                <w:sz w:val="20"/>
              </w:rPr>
              <w:t>POST, PUT y DELETE /api/productos</w:t>
            </w:r>
          </w:p>
        </w:tc>
        <w:tc>
          <w:tcPr>
            <w:tcW w:w="2438" w:type="dxa"/>
            <w:tcBorders>
              <w:top w:val="single" w:sz="4" w:space="0" w:color="B0B0B0"/>
              <w:left w:val="single" w:sz="4" w:space="0" w:color="B0B0B0"/>
              <w:bottom w:val="single" w:sz="4" w:space="0" w:color="B0B0B0"/>
              <w:right w:val="single" w:sz="4" w:space="0" w:color="B0B0B0"/>
            </w:tcBorders>
            <w:shd w:val="clear" w:color="auto" w:fill="FBF7F2"/>
          </w:tcPr>
          <w:p w14:paraId="554B9233" w14:textId="77777777" w:rsidR="00485946" w:rsidRDefault="004C0BEC">
            <w:pPr>
              <w:spacing w:after="0"/>
            </w:pPr>
            <w:r>
              <w:rPr>
                <w:sz w:val="20"/>
              </w:rPr>
              <w:t>Administrador</w:t>
            </w:r>
          </w:p>
        </w:tc>
        <w:tc>
          <w:tcPr>
            <w:tcW w:w="2835" w:type="dxa"/>
            <w:tcBorders>
              <w:top w:val="single" w:sz="4" w:space="0" w:color="B0B0B0"/>
              <w:left w:val="single" w:sz="4" w:space="0" w:color="B0B0B0"/>
              <w:bottom w:val="single" w:sz="4" w:space="0" w:color="B0B0B0"/>
              <w:right w:val="single" w:sz="4" w:space="0" w:color="B0B0B0"/>
            </w:tcBorders>
            <w:shd w:val="clear" w:color="auto" w:fill="FBF7F2"/>
          </w:tcPr>
          <w:p w14:paraId="4F349B3F" w14:textId="77777777" w:rsidR="00485946" w:rsidRDefault="004C0BEC">
            <w:pPr>
              <w:spacing w:after="0"/>
            </w:pPr>
            <w:r>
              <w:rPr>
                <w:sz w:val="20"/>
              </w:rPr>
              <w:t>Alta, cambio y baja lógica</w:t>
            </w:r>
          </w:p>
        </w:tc>
      </w:tr>
      <w:tr w:rsidR="00485946" w14:paraId="17B11887" w14:textId="77777777">
        <w:tc>
          <w:tcPr>
            <w:tcW w:w="3515" w:type="dxa"/>
            <w:tcBorders>
              <w:top w:val="single" w:sz="4" w:space="0" w:color="B0B0B0"/>
              <w:left w:val="single" w:sz="4" w:space="0" w:color="B0B0B0"/>
              <w:bottom w:val="single" w:sz="4" w:space="0" w:color="B0B0B0"/>
              <w:right w:val="single" w:sz="4" w:space="0" w:color="B0B0B0"/>
            </w:tcBorders>
          </w:tcPr>
          <w:p w14:paraId="7033411F" w14:textId="77777777" w:rsidR="00485946" w:rsidRDefault="004C0BEC">
            <w:pPr>
              <w:spacing w:after="0"/>
            </w:pPr>
            <w:r>
              <w:rPr>
                <w:sz w:val="20"/>
              </w:rPr>
              <w:t>GET /api/productos</w:t>
            </w:r>
          </w:p>
        </w:tc>
        <w:tc>
          <w:tcPr>
            <w:tcW w:w="2438" w:type="dxa"/>
            <w:tcBorders>
              <w:top w:val="single" w:sz="4" w:space="0" w:color="B0B0B0"/>
              <w:left w:val="single" w:sz="4" w:space="0" w:color="B0B0B0"/>
              <w:bottom w:val="single" w:sz="4" w:space="0" w:color="B0B0B0"/>
              <w:right w:val="single" w:sz="4" w:space="0" w:color="B0B0B0"/>
            </w:tcBorders>
          </w:tcPr>
          <w:p w14:paraId="79564888" w14:textId="77777777" w:rsidR="00485946" w:rsidRDefault="004C0BEC">
            <w:pPr>
              <w:spacing w:after="0"/>
            </w:pPr>
            <w:r>
              <w:rPr>
                <w:sz w:val="20"/>
              </w:rPr>
              <w:t>Autenticado</w:t>
            </w:r>
          </w:p>
        </w:tc>
        <w:tc>
          <w:tcPr>
            <w:tcW w:w="2835" w:type="dxa"/>
            <w:tcBorders>
              <w:top w:val="single" w:sz="4" w:space="0" w:color="B0B0B0"/>
              <w:left w:val="single" w:sz="4" w:space="0" w:color="B0B0B0"/>
              <w:bottom w:val="single" w:sz="4" w:space="0" w:color="B0B0B0"/>
              <w:right w:val="single" w:sz="4" w:space="0" w:color="B0B0B0"/>
            </w:tcBorders>
          </w:tcPr>
          <w:p w14:paraId="7E29766C" w14:textId="77777777" w:rsidR="00485946" w:rsidRDefault="004C0BEC">
            <w:pPr>
              <w:spacing w:after="0"/>
            </w:pPr>
            <w:r>
              <w:rPr>
                <w:sz w:val="20"/>
              </w:rPr>
              <w:t>Consultar el menú</w:t>
            </w:r>
          </w:p>
        </w:tc>
      </w:tr>
      <w:tr w:rsidR="00485946" w14:paraId="72913795" w14:textId="77777777">
        <w:tc>
          <w:tcPr>
            <w:tcW w:w="3515" w:type="dxa"/>
            <w:tcBorders>
              <w:top w:val="single" w:sz="4" w:space="0" w:color="B0B0B0"/>
              <w:left w:val="single" w:sz="4" w:space="0" w:color="B0B0B0"/>
              <w:bottom w:val="single" w:sz="4" w:space="0" w:color="B0B0B0"/>
              <w:right w:val="single" w:sz="4" w:space="0" w:color="B0B0B0"/>
            </w:tcBorders>
            <w:shd w:val="clear" w:color="auto" w:fill="FBF7F2"/>
          </w:tcPr>
          <w:p w14:paraId="0006C04C" w14:textId="77777777" w:rsidR="00485946" w:rsidRDefault="004C0BEC">
            <w:pPr>
              <w:spacing w:after="0"/>
            </w:pPr>
            <w:r>
              <w:rPr>
                <w:sz w:val="20"/>
              </w:rPr>
              <w:t>POST y GET /api/pedidos</w:t>
            </w:r>
          </w:p>
        </w:tc>
        <w:tc>
          <w:tcPr>
            <w:tcW w:w="2438" w:type="dxa"/>
            <w:tcBorders>
              <w:top w:val="single" w:sz="4" w:space="0" w:color="B0B0B0"/>
              <w:left w:val="single" w:sz="4" w:space="0" w:color="B0B0B0"/>
              <w:bottom w:val="single" w:sz="4" w:space="0" w:color="B0B0B0"/>
              <w:right w:val="single" w:sz="4" w:space="0" w:color="B0B0B0"/>
            </w:tcBorders>
            <w:shd w:val="clear" w:color="auto" w:fill="FBF7F2"/>
          </w:tcPr>
          <w:p w14:paraId="1E0BE181" w14:textId="77777777" w:rsidR="00485946" w:rsidRDefault="004C0BEC">
            <w:pPr>
              <w:spacing w:after="0"/>
            </w:pPr>
            <w:r>
              <w:rPr>
                <w:sz w:val="20"/>
              </w:rPr>
              <w:t>Autenticado</w:t>
            </w:r>
          </w:p>
        </w:tc>
        <w:tc>
          <w:tcPr>
            <w:tcW w:w="2835" w:type="dxa"/>
            <w:tcBorders>
              <w:top w:val="single" w:sz="4" w:space="0" w:color="B0B0B0"/>
              <w:left w:val="single" w:sz="4" w:space="0" w:color="B0B0B0"/>
              <w:bottom w:val="single" w:sz="4" w:space="0" w:color="B0B0B0"/>
              <w:right w:val="single" w:sz="4" w:space="0" w:color="B0B0B0"/>
            </w:tcBorders>
            <w:shd w:val="clear" w:color="auto" w:fill="FBF7F2"/>
          </w:tcPr>
          <w:p w14:paraId="48D6C6B0" w14:textId="77777777" w:rsidR="00485946" w:rsidRDefault="004C0BEC">
            <w:pPr>
              <w:spacing w:after="0"/>
            </w:pPr>
            <w:r>
              <w:rPr>
                <w:sz w:val="20"/>
              </w:rPr>
              <w:t>Pedir y listar; el cliente solo ve lo suyo</w:t>
            </w:r>
          </w:p>
        </w:tc>
      </w:tr>
      <w:tr w:rsidR="00485946" w14:paraId="790EC5E9" w14:textId="77777777">
        <w:tc>
          <w:tcPr>
            <w:tcW w:w="3515" w:type="dxa"/>
            <w:tcBorders>
              <w:top w:val="single" w:sz="4" w:space="0" w:color="B0B0B0"/>
              <w:left w:val="single" w:sz="4" w:space="0" w:color="B0B0B0"/>
              <w:bottom w:val="single" w:sz="4" w:space="0" w:color="B0B0B0"/>
              <w:right w:val="single" w:sz="4" w:space="0" w:color="B0B0B0"/>
            </w:tcBorders>
          </w:tcPr>
          <w:p w14:paraId="480E53AD" w14:textId="77777777" w:rsidR="00485946" w:rsidRDefault="004C0BEC">
            <w:pPr>
              <w:spacing w:after="0"/>
            </w:pPr>
            <w:r>
              <w:rPr>
                <w:sz w:val="20"/>
              </w:rPr>
              <w:t>DELETE /api/pedidos/:id</w:t>
            </w:r>
          </w:p>
        </w:tc>
        <w:tc>
          <w:tcPr>
            <w:tcW w:w="2438" w:type="dxa"/>
            <w:tcBorders>
              <w:top w:val="single" w:sz="4" w:space="0" w:color="B0B0B0"/>
              <w:left w:val="single" w:sz="4" w:space="0" w:color="B0B0B0"/>
              <w:bottom w:val="single" w:sz="4" w:space="0" w:color="B0B0B0"/>
              <w:right w:val="single" w:sz="4" w:space="0" w:color="B0B0B0"/>
            </w:tcBorders>
          </w:tcPr>
          <w:p w14:paraId="68ACFA1F" w14:textId="77777777" w:rsidR="00485946" w:rsidRDefault="004C0BEC">
            <w:pPr>
              <w:spacing w:after="0"/>
            </w:pPr>
            <w:r>
              <w:rPr>
                <w:sz w:val="20"/>
              </w:rPr>
              <w:t>Dueño o administrador</w:t>
            </w:r>
          </w:p>
        </w:tc>
        <w:tc>
          <w:tcPr>
            <w:tcW w:w="2835" w:type="dxa"/>
            <w:tcBorders>
              <w:top w:val="single" w:sz="4" w:space="0" w:color="B0B0B0"/>
              <w:left w:val="single" w:sz="4" w:space="0" w:color="B0B0B0"/>
              <w:bottom w:val="single" w:sz="4" w:space="0" w:color="B0B0B0"/>
              <w:right w:val="single" w:sz="4" w:space="0" w:color="B0B0B0"/>
            </w:tcBorders>
          </w:tcPr>
          <w:p w14:paraId="4F047524" w14:textId="77777777" w:rsidR="00485946" w:rsidRDefault="004C0BEC">
            <w:pPr>
              <w:spacing w:after="0"/>
            </w:pPr>
            <w:r>
              <w:rPr>
                <w:sz w:val="20"/>
              </w:rPr>
              <w:t>Cancelar y reponer stock</w:t>
            </w:r>
          </w:p>
        </w:tc>
      </w:tr>
      <w:tr w:rsidR="00485946" w14:paraId="4E46ABDB" w14:textId="77777777">
        <w:tc>
          <w:tcPr>
            <w:tcW w:w="3515" w:type="dxa"/>
            <w:tcBorders>
              <w:top w:val="single" w:sz="4" w:space="0" w:color="B0B0B0"/>
              <w:left w:val="single" w:sz="4" w:space="0" w:color="B0B0B0"/>
              <w:bottom w:val="single" w:sz="4" w:space="0" w:color="B0B0B0"/>
              <w:right w:val="single" w:sz="4" w:space="0" w:color="B0B0B0"/>
            </w:tcBorders>
            <w:shd w:val="clear" w:color="auto" w:fill="FBF7F2"/>
          </w:tcPr>
          <w:p w14:paraId="46CB61B2" w14:textId="77777777" w:rsidR="00485946" w:rsidRDefault="004C0BEC">
            <w:pPr>
              <w:spacing w:after="0"/>
            </w:pPr>
            <w:r>
              <w:rPr>
                <w:sz w:val="20"/>
              </w:rPr>
              <w:t>POST y GET /api/pedidos/:id/comentarios</w:t>
            </w:r>
          </w:p>
        </w:tc>
        <w:tc>
          <w:tcPr>
            <w:tcW w:w="2438" w:type="dxa"/>
            <w:tcBorders>
              <w:top w:val="single" w:sz="4" w:space="0" w:color="B0B0B0"/>
              <w:left w:val="single" w:sz="4" w:space="0" w:color="B0B0B0"/>
              <w:bottom w:val="single" w:sz="4" w:space="0" w:color="B0B0B0"/>
              <w:right w:val="single" w:sz="4" w:space="0" w:color="B0B0B0"/>
            </w:tcBorders>
            <w:shd w:val="clear" w:color="auto" w:fill="FBF7F2"/>
          </w:tcPr>
          <w:p w14:paraId="036FD2CB" w14:textId="77777777" w:rsidR="00485946" w:rsidRDefault="004C0BEC">
            <w:pPr>
              <w:spacing w:after="0"/>
            </w:pPr>
            <w:r>
              <w:rPr>
                <w:sz w:val="20"/>
              </w:rPr>
              <w:t>Dueño o administrador</w:t>
            </w:r>
          </w:p>
        </w:tc>
        <w:tc>
          <w:tcPr>
            <w:tcW w:w="2835" w:type="dxa"/>
            <w:tcBorders>
              <w:top w:val="single" w:sz="4" w:space="0" w:color="B0B0B0"/>
              <w:left w:val="single" w:sz="4" w:space="0" w:color="B0B0B0"/>
              <w:bottom w:val="single" w:sz="4" w:space="0" w:color="B0B0B0"/>
              <w:right w:val="single" w:sz="4" w:space="0" w:color="B0B0B0"/>
            </w:tcBorders>
            <w:shd w:val="clear" w:color="auto" w:fill="FBF7F2"/>
          </w:tcPr>
          <w:p w14:paraId="73F66326" w14:textId="77777777" w:rsidR="00485946" w:rsidRDefault="004C0BEC">
            <w:pPr>
              <w:spacing w:after="0"/>
            </w:pPr>
            <w:r>
              <w:rPr>
                <w:sz w:val="20"/>
              </w:rPr>
              <w:t>Comentar y leer comentarios</w:t>
            </w:r>
          </w:p>
        </w:tc>
      </w:tr>
    </w:tbl>
    <w:p w14:paraId="083BBE90" w14:textId="77777777" w:rsidR="00485946" w:rsidRDefault="004C0BEC">
      <w:pPr>
        <w:spacing w:before="200" w:after="80"/>
      </w:pPr>
      <w:r>
        <w:rPr>
          <w:b/>
          <w:sz w:val="24"/>
        </w:rPr>
        <w:t>Anexo C. Secuencia observada en el flujo completo</w:t>
      </w:r>
    </w:p>
    <w:p w14:paraId="770A5128" w14:textId="77777777" w:rsidR="00485946" w:rsidRDefault="004C0BEC">
      <w:pPr>
        <w:spacing w:before="40" w:after="0"/>
      </w:pPr>
      <w:r>
        <w:rPr>
          <w:b/>
          <w:i/>
        </w:rPr>
        <w:t>Tabla C1</w:t>
      </w:r>
    </w:p>
    <w:p w14:paraId="61D86A3C" w14:textId="77777777" w:rsidR="00485946" w:rsidRDefault="004C0BEC">
      <w:pPr>
        <w:spacing w:after="80"/>
      </w:pPr>
      <w:r>
        <w:rPr>
          <w:i/>
        </w:rPr>
        <w:t>Códigos HTTP obtenidos al probar el flujo de stock en local</w:t>
      </w:r>
    </w:p>
    <w:tbl>
      <w:tblPr>
        <w:tblW w:w="8788" w:type="dxa"/>
        <w:tblLayout w:type="fixed"/>
        <w:tblLook w:val="04A0" w:firstRow="1" w:lastRow="0" w:firstColumn="1" w:lastColumn="0" w:noHBand="0" w:noVBand="1"/>
      </w:tblPr>
      <w:tblGrid>
        <w:gridCol w:w="1247"/>
        <w:gridCol w:w="5840"/>
        <w:gridCol w:w="1701"/>
      </w:tblGrid>
      <w:tr w:rsidR="00485946" w14:paraId="09986402" w14:textId="77777777">
        <w:tc>
          <w:tcPr>
            <w:tcW w:w="1247" w:type="dxa"/>
            <w:tcBorders>
              <w:top w:val="single" w:sz="4" w:space="0" w:color="B0B0B0"/>
              <w:left w:val="single" w:sz="4" w:space="0" w:color="B0B0B0"/>
              <w:bottom w:val="single" w:sz="4" w:space="0" w:color="B0B0B0"/>
              <w:right w:val="single" w:sz="4" w:space="0" w:color="B0B0B0"/>
            </w:tcBorders>
            <w:shd w:val="clear" w:color="auto" w:fill="F4E6D4"/>
          </w:tcPr>
          <w:p w14:paraId="46705FA1" w14:textId="77777777" w:rsidR="00485946" w:rsidRDefault="004C0BEC">
            <w:pPr>
              <w:spacing w:after="0"/>
            </w:pPr>
            <w:r>
              <w:rPr>
                <w:b/>
                <w:sz w:val="20"/>
              </w:rPr>
              <w:t>Paso</w:t>
            </w:r>
          </w:p>
        </w:tc>
        <w:tc>
          <w:tcPr>
            <w:tcW w:w="5839" w:type="dxa"/>
            <w:tcBorders>
              <w:top w:val="single" w:sz="4" w:space="0" w:color="B0B0B0"/>
              <w:left w:val="single" w:sz="4" w:space="0" w:color="B0B0B0"/>
              <w:bottom w:val="single" w:sz="4" w:space="0" w:color="B0B0B0"/>
              <w:right w:val="single" w:sz="4" w:space="0" w:color="B0B0B0"/>
            </w:tcBorders>
            <w:shd w:val="clear" w:color="auto" w:fill="F4E6D4"/>
          </w:tcPr>
          <w:p w14:paraId="6011898A" w14:textId="77777777" w:rsidR="00485946" w:rsidRDefault="004C0BEC">
            <w:pPr>
              <w:spacing w:after="0"/>
            </w:pPr>
            <w:r>
              <w:rPr>
                <w:b/>
                <w:sz w:val="20"/>
              </w:rPr>
              <w:t>Acción</w:t>
            </w:r>
          </w:p>
        </w:tc>
        <w:tc>
          <w:tcPr>
            <w:tcW w:w="1701" w:type="dxa"/>
            <w:tcBorders>
              <w:top w:val="single" w:sz="4" w:space="0" w:color="B0B0B0"/>
              <w:left w:val="single" w:sz="4" w:space="0" w:color="B0B0B0"/>
              <w:bottom w:val="single" w:sz="4" w:space="0" w:color="B0B0B0"/>
              <w:right w:val="single" w:sz="4" w:space="0" w:color="B0B0B0"/>
            </w:tcBorders>
            <w:shd w:val="clear" w:color="auto" w:fill="F4E6D4"/>
          </w:tcPr>
          <w:p w14:paraId="1BD65C1C" w14:textId="77777777" w:rsidR="00485946" w:rsidRDefault="004C0BEC">
            <w:pPr>
              <w:spacing w:after="0"/>
            </w:pPr>
            <w:r>
              <w:rPr>
                <w:b/>
                <w:sz w:val="20"/>
              </w:rPr>
              <w:t>Código</w:t>
            </w:r>
          </w:p>
        </w:tc>
      </w:tr>
      <w:tr w:rsidR="00485946" w14:paraId="2E36DEA0" w14:textId="77777777">
        <w:tc>
          <w:tcPr>
            <w:tcW w:w="1247" w:type="dxa"/>
            <w:tcBorders>
              <w:top w:val="single" w:sz="4" w:space="0" w:color="B0B0B0"/>
              <w:left w:val="single" w:sz="4" w:space="0" w:color="B0B0B0"/>
              <w:bottom w:val="single" w:sz="4" w:space="0" w:color="B0B0B0"/>
              <w:right w:val="single" w:sz="4" w:space="0" w:color="B0B0B0"/>
            </w:tcBorders>
          </w:tcPr>
          <w:p w14:paraId="36415F4B" w14:textId="77777777" w:rsidR="00485946" w:rsidRDefault="004C0BEC">
            <w:pPr>
              <w:spacing w:after="0"/>
            </w:pPr>
            <w:r>
              <w:rPr>
                <w:sz w:val="20"/>
              </w:rPr>
              <w:t>1</w:t>
            </w:r>
          </w:p>
        </w:tc>
        <w:tc>
          <w:tcPr>
            <w:tcW w:w="5839" w:type="dxa"/>
            <w:tcBorders>
              <w:top w:val="single" w:sz="4" w:space="0" w:color="B0B0B0"/>
              <w:left w:val="single" w:sz="4" w:space="0" w:color="B0B0B0"/>
              <w:bottom w:val="single" w:sz="4" w:space="0" w:color="B0B0B0"/>
              <w:right w:val="single" w:sz="4" w:space="0" w:color="B0B0B0"/>
            </w:tcBorders>
          </w:tcPr>
          <w:p w14:paraId="04F18D6D" w14:textId="77777777" w:rsidR="00485946" w:rsidRDefault="004C0BEC">
            <w:pPr>
              <w:spacing w:after="0"/>
            </w:pPr>
            <w:r>
              <w:rPr>
                <w:sz w:val="20"/>
              </w:rPr>
              <w:t>Iniciar sesión</w:t>
            </w:r>
          </w:p>
        </w:tc>
        <w:tc>
          <w:tcPr>
            <w:tcW w:w="1701" w:type="dxa"/>
            <w:tcBorders>
              <w:top w:val="single" w:sz="4" w:space="0" w:color="B0B0B0"/>
              <w:left w:val="single" w:sz="4" w:space="0" w:color="B0B0B0"/>
              <w:bottom w:val="single" w:sz="4" w:space="0" w:color="B0B0B0"/>
              <w:right w:val="single" w:sz="4" w:space="0" w:color="B0B0B0"/>
            </w:tcBorders>
          </w:tcPr>
          <w:p w14:paraId="41CB4585" w14:textId="77777777" w:rsidR="00485946" w:rsidRDefault="004C0BEC">
            <w:pPr>
              <w:spacing w:after="0"/>
            </w:pPr>
            <w:r>
              <w:rPr>
                <w:sz w:val="20"/>
              </w:rPr>
              <w:t>200</w:t>
            </w:r>
          </w:p>
        </w:tc>
      </w:tr>
      <w:tr w:rsidR="00485946" w14:paraId="49581A4A" w14:textId="77777777">
        <w:tc>
          <w:tcPr>
            <w:tcW w:w="1247" w:type="dxa"/>
            <w:tcBorders>
              <w:top w:val="single" w:sz="4" w:space="0" w:color="B0B0B0"/>
              <w:left w:val="single" w:sz="4" w:space="0" w:color="B0B0B0"/>
              <w:bottom w:val="single" w:sz="4" w:space="0" w:color="B0B0B0"/>
              <w:right w:val="single" w:sz="4" w:space="0" w:color="B0B0B0"/>
            </w:tcBorders>
            <w:shd w:val="clear" w:color="auto" w:fill="FBF7F2"/>
          </w:tcPr>
          <w:p w14:paraId="0A077BC4" w14:textId="77777777" w:rsidR="00485946" w:rsidRDefault="004C0BEC">
            <w:pPr>
              <w:spacing w:after="0"/>
            </w:pPr>
            <w:r>
              <w:rPr>
                <w:sz w:val="20"/>
              </w:rPr>
              <w:t>2</w:t>
            </w:r>
          </w:p>
        </w:tc>
        <w:tc>
          <w:tcPr>
            <w:tcW w:w="5839" w:type="dxa"/>
            <w:tcBorders>
              <w:top w:val="single" w:sz="4" w:space="0" w:color="B0B0B0"/>
              <w:left w:val="single" w:sz="4" w:space="0" w:color="B0B0B0"/>
              <w:bottom w:val="single" w:sz="4" w:space="0" w:color="B0B0B0"/>
              <w:right w:val="single" w:sz="4" w:space="0" w:color="B0B0B0"/>
            </w:tcBorders>
            <w:shd w:val="clear" w:color="auto" w:fill="FBF7F2"/>
          </w:tcPr>
          <w:p w14:paraId="5C23C74C" w14:textId="77777777" w:rsidR="00485946" w:rsidRDefault="004C0BEC">
            <w:pPr>
              <w:spacing w:after="0"/>
            </w:pPr>
            <w:r>
              <w:rPr>
                <w:sz w:val="20"/>
              </w:rPr>
              <w:t>Crear un producto con dos unidades</w:t>
            </w:r>
          </w:p>
        </w:tc>
        <w:tc>
          <w:tcPr>
            <w:tcW w:w="1701" w:type="dxa"/>
            <w:tcBorders>
              <w:top w:val="single" w:sz="4" w:space="0" w:color="B0B0B0"/>
              <w:left w:val="single" w:sz="4" w:space="0" w:color="B0B0B0"/>
              <w:bottom w:val="single" w:sz="4" w:space="0" w:color="B0B0B0"/>
              <w:right w:val="single" w:sz="4" w:space="0" w:color="B0B0B0"/>
            </w:tcBorders>
            <w:shd w:val="clear" w:color="auto" w:fill="FBF7F2"/>
          </w:tcPr>
          <w:p w14:paraId="63A1982E" w14:textId="77777777" w:rsidR="00485946" w:rsidRDefault="004C0BEC">
            <w:pPr>
              <w:spacing w:after="0"/>
            </w:pPr>
            <w:r>
              <w:rPr>
                <w:sz w:val="20"/>
              </w:rPr>
              <w:t>201</w:t>
            </w:r>
          </w:p>
        </w:tc>
      </w:tr>
      <w:tr w:rsidR="00485946" w14:paraId="0F289DD3" w14:textId="77777777">
        <w:tc>
          <w:tcPr>
            <w:tcW w:w="1247" w:type="dxa"/>
            <w:tcBorders>
              <w:top w:val="single" w:sz="4" w:space="0" w:color="B0B0B0"/>
              <w:left w:val="single" w:sz="4" w:space="0" w:color="B0B0B0"/>
              <w:bottom w:val="single" w:sz="4" w:space="0" w:color="B0B0B0"/>
              <w:right w:val="single" w:sz="4" w:space="0" w:color="B0B0B0"/>
            </w:tcBorders>
          </w:tcPr>
          <w:p w14:paraId="53F57335" w14:textId="77777777" w:rsidR="00485946" w:rsidRDefault="004C0BEC">
            <w:pPr>
              <w:spacing w:after="0"/>
            </w:pPr>
            <w:r>
              <w:rPr>
                <w:sz w:val="20"/>
              </w:rPr>
              <w:t>3</w:t>
            </w:r>
          </w:p>
        </w:tc>
        <w:tc>
          <w:tcPr>
            <w:tcW w:w="5839" w:type="dxa"/>
            <w:tcBorders>
              <w:top w:val="single" w:sz="4" w:space="0" w:color="B0B0B0"/>
              <w:left w:val="single" w:sz="4" w:space="0" w:color="B0B0B0"/>
              <w:bottom w:val="single" w:sz="4" w:space="0" w:color="B0B0B0"/>
              <w:right w:val="single" w:sz="4" w:space="0" w:color="B0B0B0"/>
            </w:tcBorders>
          </w:tcPr>
          <w:p w14:paraId="0A51886E" w14:textId="77777777" w:rsidR="00485946" w:rsidRDefault="004C0BEC">
            <w:pPr>
              <w:spacing w:after="0"/>
            </w:pPr>
            <w:r>
              <w:rPr>
                <w:sz w:val="20"/>
              </w:rPr>
              <w:t>Pedir esas dos unidades</w:t>
            </w:r>
          </w:p>
        </w:tc>
        <w:tc>
          <w:tcPr>
            <w:tcW w:w="1701" w:type="dxa"/>
            <w:tcBorders>
              <w:top w:val="single" w:sz="4" w:space="0" w:color="B0B0B0"/>
              <w:left w:val="single" w:sz="4" w:space="0" w:color="B0B0B0"/>
              <w:bottom w:val="single" w:sz="4" w:space="0" w:color="B0B0B0"/>
              <w:right w:val="single" w:sz="4" w:space="0" w:color="B0B0B0"/>
            </w:tcBorders>
          </w:tcPr>
          <w:p w14:paraId="74EBA512" w14:textId="77777777" w:rsidR="00485946" w:rsidRDefault="004C0BEC">
            <w:pPr>
              <w:spacing w:after="0"/>
            </w:pPr>
            <w:r>
              <w:rPr>
                <w:sz w:val="20"/>
              </w:rPr>
              <w:t>201</w:t>
            </w:r>
          </w:p>
        </w:tc>
      </w:tr>
      <w:tr w:rsidR="00485946" w14:paraId="7580F8A9" w14:textId="77777777">
        <w:tc>
          <w:tcPr>
            <w:tcW w:w="1247" w:type="dxa"/>
            <w:tcBorders>
              <w:top w:val="single" w:sz="4" w:space="0" w:color="B0B0B0"/>
              <w:left w:val="single" w:sz="4" w:space="0" w:color="B0B0B0"/>
              <w:bottom w:val="single" w:sz="4" w:space="0" w:color="B0B0B0"/>
              <w:right w:val="single" w:sz="4" w:space="0" w:color="B0B0B0"/>
            </w:tcBorders>
            <w:shd w:val="clear" w:color="auto" w:fill="FBF7F2"/>
          </w:tcPr>
          <w:p w14:paraId="243B6BEA" w14:textId="77777777" w:rsidR="00485946" w:rsidRDefault="004C0BEC">
            <w:pPr>
              <w:spacing w:after="0"/>
            </w:pPr>
            <w:r>
              <w:rPr>
                <w:sz w:val="20"/>
              </w:rPr>
              <w:t>4</w:t>
            </w:r>
          </w:p>
        </w:tc>
        <w:tc>
          <w:tcPr>
            <w:tcW w:w="5839" w:type="dxa"/>
            <w:tcBorders>
              <w:top w:val="single" w:sz="4" w:space="0" w:color="B0B0B0"/>
              <w:left w:val="single" w:sz="4" w:space="0" w:color="B0B0B0"/>
              <w:bottom w:val="single" w:sz="4" w:space="0" w:color="B0B0B0"/>
              <w:right w:val="single" w:sz="4" w:space="0" w:color="B0B0B0"/>
            </w:tcBorders>
            <w:shd w:val="clear" w:color="auto" w:fill="FBF7F2"/>
          </w:tcPr>
          <w:p w14:paraId="16A7B5B2" w14:textId="77777777" w:rsidR="00485946" w:rsidRDefault="004C0BEC">
            <w:pPr>
              <w:spacing w:after="0"/>
            </w:pPr>
            <w:r>
              <w:rPr>
                <w:sz w:val="20"/>
              </w:rPr>
              <w:t>Pedir una unidad más del mismo producto</w:t>
            </w:r>
          </w:p>
        </w:tc>
        <w:tc>
          <w:tcPr>
            <w:tcW w:w="1701" w:type="dxa"/>
            <w:tcBorders>
              <w:top w:val="single" w:sz="4" w:space="0" w:color="B0B0B0"/>
              <w:left w:val="single" w:sz="4" w:space="0" w:color="B0B0B0"/>
              <w:bottom w:val="single" w:sz="4" w:space="0" w:color="B0B0B0"/>
              <w:right w:val="single" w:sz="4" w:space="0" w:color="B0B0B0"/>
            </w:tcBorders>
            <w:shd w:val="clear" w:color="auto" w:fill="FBF7F2"/>
          </w:tcPr>
          <w:p w14:paraId="3AF21E4B" w14:textId="77777777" w:rsidR="00485946" w:rsidRDefault="004C0BEC">
            <w:pPr>
              <w:spacing w:after="0"/>
            </w:pPr>
            <w:r>
              <w:rPr>
                <w:sz w:val="20"/>
              </w:rPr>
              <w:t>409</w:t>
            </w:r>
          </w:p>
        </w:tc>
      </w:tr>
      <w:tr w:rsidR="00485946" w14:paraId="196E6EA7" w14:textId="77777777">
        <w:tc>
          <w:tcPr>
            <w:tcW w:w="1247" w:type="dxa"/>
            <w:tcBorders>
              <w:top w:val="single" w:sz="4" w:space="0" w:color="B0B0B0"/>
              <w:left w:val="single" w:sz="4" w:space="0" w:color="B0B0B0"/>
              <w:bottom w:val="single" w:sz="4" w:space="0" w:color="B0B0B0"/>
              <w:right w:val="single" w:sz="4" w:space="0" w:color="B0B0B0"/>
            </w:tcBorders>
          </w:tcPr>
          <w:p w14:paraId="6FD06E4B" w14:textId="77777777" w:rsidR="00485946" w:rsidRDefault="004C0BEC">
            <w:pPr>
              <w:spacing w:after="0"/>
            </w:pPr>
            <w:r>
              <w:rPr>
                <w:sz w:val="20"/>
              </w:rPr>
              <w:t>5</w:t>
            </w:r>
          </w:p>
        </w:tc>
        <w:tc>
          <w:tcPr>
            <w:tcW w:w="5839" w:type="dxa"/>
            <w:tcBorders>
              <w:top w:val="single" w:sz="4" w:space="0" w:color="B0B0B0"/>
              <w:left w:val="single" w:sz="4" w:space="0" w:color="B0B0B0"/>
              <w:bottom w:val="single" w:sz="4" w:space="0" w:color="B0B0B0"/>
              <w:right w:val="single" w:sz="4" w:space="0" w:color="B0B0B0"/>
            </w:tcBorders>
          </w:tcPr>
          <w:p w14:paraId="2A2419AD" w14:textId="77777777" w:rsidR="00485946" w:rsidRDefault="004C0BEC">
            <w:pPr>
              <w:spacing w:after="0"/>
            </w:pPr>
            <w:r>
              <w:rPr>
                <w:sz w:val="20"/>
              </w:rPr>
              <w:t>Comentar el pedido</w:t>
            </w:r>
          </w:p>
        </w:tc>
        <w:tc>
          <w:tcPr>
            <w:tcW w:w="1701" w:type="dxa"/>
            <w:tcBorders>
              <w:top w:val="single" w:sz="4" w:space="0" w:color="B0B0B0"/>
              <w:left w:val="single" w:sz="4" w:space="0" w:color="B0B0B0"/>
              <w:bottom w:val="single" w:sz="4" w:space="0" w:color="B0B0B0"/>
              <w:right w:val="single" w:sz="4" w:space="0" w:color="B0B0B0"/>
            </w:tcBorders>
          </w:tcPr>
          <w:p w14:paraId="45F9C103" w14:textId="77777777" w:rsidR="00485946" w:rsidRDefault="004C0BEC">
            <w:pPr>
              <w:spacing w:after="0"/>
            </w:pPr>
            <w:r>
              <w:rPr>
                <w:sz w:val="20"/>
              </w:rPr>
              <w:t>201</w:t>
            </w:r>
          </w:p>
        </w:tc>
      </w:tr>
      <w:tr w:rsidR="00485946" w14:paraId="766C8C3F" w14:textId="77777777">
        <w:tc>
          <w:tcPr>
            <w:tcW w:w="1247" w:type="dxa"/>
            <w:tcBorders>
              <w:top w:val="single" w:sz="4" w:space="0" w:color="B0B0B0"/>
              <w:left w:val="single" w:sz="4" w:space="0" w:color="B0B0B0"/>
              <w:bottom w:val="single" w:sz="4" w:space="0" w:color="B0B0B0"/>
              <w:right w:val="single" w:sz="4" w:space="0" w:color="B0B0B0"/>
            </w:tcBorders>
            <w:shd w:val="clear" w:color="auto" w:fill="FBF7F2"/>
          </w:tcPr>
          <w:p w14:paraId="3C97B8FC" w14:textId="77777777" w:rsidR="00485946" w:rsidRDefault="004C0BEC">
            <w:pPr>
              <w:spacing w:after="0"/>
            </w:pPr>
            <w:r>
              <w:rPr>
                <w:sz w:val="20"/>
              </w:rPr>
              <w:t>6</w:t>
            </w:r>
          </w:p>
        </w:tc>
        <w:tc>
          <w:tcPr>
            <w:tcW w:w="5839" w:type="dxa"/>
            <w:tcBorders>
              <w:top w:val="single" w:sz="4" w:space="0" w:color="B0B0B0"/>
              <w:left w:val="single" w:sz="4" w:space="0" w:color="B0B0B0"/>
              <w:bottom w:val="single" w:sz="4" w:space="0" w:color="B0B0B0"/>
              <w:right w:val="single" w:sz="4" w:space="0" w:color="B0B0B0"/>
            </w:tcBorders>
            <w:shd w:val="clear" w:color="auto" w:fill="FBF7F2"/>
          </w:tcPr>
          <w:p w14:paraId="23A07DDB" w14:textId="77777777" w:rsidR="00485946" w:rsidRDefault="004C0BEC">
            <w:pPr>
              <w:spacing w:after="0"/>
            </w:pPr>
            <w:r>
              <w:rPr>
                <w:sz w:val="20"/>
              </w:rPr>
              <w:t>Cancelar el pedido</w:t>
            </w:r>
          </w:p>
        </w:tc>
        <w:tc>
          <w:tcPr>
            <w:tcW w:w="1701" w:type="dxa"/>
            <w:tcBorders>
              <w:top w:val="single" w:sz="4" w:space="0" w:color="B0B0B0"/>
              <w:left w:val="single" w:sz="4" w:space="0" w:color="B0B0B0"/>
              <w:bottom w:val="single" w:sz="4" w:space="0" w:color="B0B0B0"/>
              <w:right w:val="single" w:sz="4" w:space="0" w:color="B0B0B0"/>
            </w:tcBorders>
            <w:shd w:val="clear" w:color="auto" w:fill="FBF7F2"/>
          </w:tcPr>
          <w:p w14:paraId="5F08FA05" w14:textId="77777777" w:rsidR="00485946" w:rsidRDefault="004C0BEC">
            <w:pPr>
              <w:spacing w:after="0"/>
            </w:pPr>
            <w:r>
              <w:rPr>
                <w:sz w:val="20"/>
              </w:rPr>
              <w:t>200</w:t>
            </w:r>
          </w:p>
        </w:tc>
      </w:tr>
      <w:tr w:rsidR="00485946" w14:paraId="28BD2A42" w14:textId="77777777">
        <w:tc>
          <w:tcPr>
            <w:tcW w:w="1247" w:type="dxa"/>
            <w:tcBorders>
              <w:top w:val="single" w:sz="4" w:space="0" w:color="B0B0B0"/>
              <w:left w:val="single" w:sz="4" w:space="0" w:color="B0B0B0"/>
              <w:bottom w:val="single" w:sz="4" w:space="0" w:color="B0B0B0"/>
              <w:right w:val="single" w:sz="4" w:space="0" w:color="B0B0B0"/>
            </w:tcBorders>
          </w:tcPr>
          <w:p w14:paraId="3D4D4572" w14:textId="77777777" w:rsidR="00485946" w:rsidRDefault="004C0BEC">
            <w:pPr>
              <w:spacing w:after="0"/>
            </w:pPr>
            <w:r>
              <w:rPr>
                <w:sz w:val="20"/>
              </w:rPr>
              <w:t>7</w:t>
            </w:r>
          </w:p>
        </w:tc>
        <w:tc>
          <w:tcPr>
            <w:tcW w:w="5839" w:type="dxa"/>
            <w:tcBorders>
              <w:top w:val="single" w:sz="4" w:space="0" w:color="B0B0B0"/>
              <w:left w:val="single" w:sz="4" w:space="0" w:color="B0B0B0"/>
              <w:bottom w:val="single" w:sz="4" w:space="0" w:color="B0B0B0"/>
              <w:right w:val="single" w:sz="4" w:space="0" w:color="B0B0B0"/>
            </w:tcBorders>
          </w:tcPr>
          <w:p w14:paraId="586E0A4B" w14:textId="77777777" w:rsidR="00485946" w:rsidRDefault="004C0BEC">
            <w:pPr>
              <w:spacing w:after="0"/>
            </w:pPr>
            <w:r>
              <w:rPr>
                <w:sz w:val="20"/>
              </w:rPr>
              <w:t>Pedir de nuevo las unidades liberadas</w:t>
            </w:r>
          </w:p>
        </w:tc>
        <w:tc>
          <w:tcPr>
            <w:tcW w:w="1701" w:type="dxa"/>
            <w:tcBorders>
              <w:top w:val="single" w:sz="4" w:space="0" w:color="B0B0B0"/>
              <w:left w:val="single" w:sz="4" w:space="0" w:color="B0B0B0"/>
              <w:bottom w:val="single" w:sz="4" w:space="0" w:color="B0B0B0"/>
              <w:right w:val="single" w:sz="4" w:space="0" w:color="B0B0B0"/>
            </w:tcBorders>
          </w:tcPr>
          <w:p w14:paraId="108DBDF5" w14:textId="77777777" w:rsidR="00485946" w:rsidRDefault="004C0BEC">
            <w:pPr>
              <w:spacing w:after="0"/>
            </w:pPr>
            <w:r>
              <w:rPr>
                <w:sz w:val="20"/>
              </w:rPr>
              <w:t>201</w:t>
            </w:r>
          </w:p>
        </w:tc>
      </w:tr>
    </w:tbl>
    <w:p w14:paraId="7C0B0009" w14:textId="77777777" w:rsidR="00485946" w:rsidRDefault="004C0BEC">
      <w:pPr>
        <w:spacing w:before="120" w:after="120"/>
        <w:ind w:firstLine="709"/>
        <w:jc w:val="both"/>
      </w:pPr>
      <w:r>
        <w:t>Una segunda cancelación del mismo pedido respondió 409 y no volvió a sumar stock. Con MongoDB detenido, la consulta a la raíz respondió 200. Esas dos comprobaciones complementan la tabla y quedan descritas en el apartado 3.6.</w:t>
      </w:r>
    </w:p>
    <w:sectPr w:rsidR="00485946" w:rsidSect="00034616">
      <w:footerReference w:type="default" r:id="rId9"/>
      <w:pgSz w:w="11906" w:h="16838"/>
      <w:pgMar w:top="1417" w:right="1417" w:bottom="1417"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11AE" w14:textId="77777777" w:rsidR="00387885" w:rsidRDefault="00387885">
      <w:pPr>
        <w:spacing w:after="0" w:line="240" w:lineRule="auto"/>
      </w:pPr>
      <w:r>
        <w:separator/>
      </w:r>
    </w:p>
  </w:endnote>
  <w:endnote w:type="continuationSeparator" w:id="0">
    <w:p w14:paraId="1C3F9595" w14:textId="77777777" w:rsidR="00387885" w:rsidRDefault="00387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55FD" w14:textId="77777777" w:rsidR="00485946" w:rsidRDefault="004C0BEC">
    <w:pPr>
      <w:pStyle w:val="Piedepgina"/>
      <w:spacing w:line="360" w:lineRule="auto"/>
      <w:jc w:val="center"/>
    </w:pPr>
    <w:r>
      <w:fldChar w:fldCharType="begin"/>
    </w:r>
    <w:r>
      <w:instrText xml:space="preserve"> PAGE </w:instrText>
    </w:r>
    <w:r>
      <w:fldChar w:fldCharType="separate"/>
    </w:r>
    <w:r w:rsidR="00A523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AB2A" w14:textId="77777777" w:rsidR="00387885" w:rsidRDefault="00387885">
      <w:pPr>
        <w:spacing w:after="0" w:line="240" w:lineRule="auto"/>
      </w:pPr>
      <w:r>
        <w:separator/>
      </w:r>
    </w:p>
  </w:footnote>
  <w:footnote w:type="continuationSeparator" w:id="0">
    <w:p w14:paraId="4D03A006" w14:textId="77777777" w:rsidR="00387885" w:rsidRDefault="00387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4463642">
    <w:abstractNumId w:val="8"/>
  </w:num>
  <w:num w:numId="2" w16cid:durableId="1221406475">
    <w:abstractNumId w:val="6"/>
  </w:num>
  <w:num w:numId="3" w16cid:durableId="79718685">
    <w:abstractNumId w:val="5"/>
  </w:num>
  <w:num w:numId="4" w16cid:durableId="15741977">
    <w:abstractNumId w:val="4"/>
  </w:num>
  <w:num w:numId="5" w16cid:durableId="1232231839">
    <w:abstractNumId w:val="7"/>
  </w:num>
  <w:num w:numId="6" w16cid:durableId="301615243">
    <w:abstractNumId w:val="3"/>
  </w:num>
  <w:num w:numId="7" w16cid:durableId="1562641910">
    <w:abstractNumId w:val="2"/>
  </w:num>
  <w:num w:numId="8" w16cid:durableId="55782644">
    <w:abstractNumId w:val="1"/>
  </w:num>
  <w:num w:numId="9" w16cid:durableId="148034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A3F"/>
    <w:rsid w:val="00113006"/>
    <w:rsid w:val="0015074B"/>
    <w:rsid w:val="0029639D"/>
    <w:rsid w:val="00326F90"/>
    <w:rsid w:val="00387885"/>
    <w:rsid w:val="00485946"/>
    <w:rsid w:val="004C0BEC"/>
    <w:rsid w:val="008B6F8E"/>
    <w:rsid w:val="00A523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695995"/>
  <w14:defaultImageDpi w14:val="300"/>
  <w15:docId w15:val="{827ED732-2C84-4BC7-B217-40379333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eastAsia="Calibri" w:hAnsi="Calibri" w:cs="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3314</Words>
  <Characters>17170</Characters>
  <Application>Microsoft Office Word</Application>
  <DocSecurity>0</DocSecurity>
  <Lines>336</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API de pedidos para la cafetería de un campus universitario en Lima, 2026</dc:title>
  <dc:subject>Informe académico. Desarrollo Web Full Stack Backend.</dc:subject>
  <dc:creator>python-docx</dc:creator>
  <cp:keywords/>
  <dc:description>generated by python-docx</dc:description>
  <cp:lastModifiedBy>JASON JOSEPH GUTIERREZ CUADROS</cp:lastModifiedBy>
  <cp:revision>4</cp:revision>
  <dcterms:created xsi:type="dcterms:W3CDTF">2013-12-23T23:15:00Z</dcterms:created>
  <dcterms:modified xsi:type="dcterms:W3CDTF">2026-10-22T04:18:00Z</dcterms:modified>
  <cp:category>Informe académico</cp:category>
  <dc:language>es-PE</dc:language>
</cp:coreProperties>
</file>