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Cause probable</w:t>
      </w:r>
    </w:p>
    <w:p w:rsidR="00000000" w:rsidDel="00000000" w:rsidP="00000000" w:rsidRDefault="00000000" w:rsidRPr="00000000" w14:paraId="00000002">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L'effet de serre renforcé : L'activité humaine, en particulier l'émission de gaz à effet de serre tels que le dioxyde de carbone (CO2), le méthane (CH4) et le protoxyde d'azote (N2O), augmente la concentration de ces gaz dans l'atmosphère. Ils piègent davantage de chaleur près de la surface de la Terre, provoquant ainsi une augmentation des températures.</w:t>
      </w:r>
    </w:p>
    <w:p w:rsidR="00000000" w:rsidDel="00000000" w:rsidP="00000000" w:rsidRDefault="00000000" w:rsidRPr="00000000" w14:paraId="0000000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La combustion des combustibles fossiles : L'utilisation intensive de combustibles fossiles tels que le charbon, le pétrole et le gaz naturel pour la production d'énergie et les transports génère d'importantes quantités de gaz à effet de serre. Les centrales électriques, les véhicules et les industries sont des sources majeures d'émissions de dioxyde de carbone.</w:t>
      </w:r>
    </w:p>
    <w:p w:rsidR="00000000" w:rsidDel="00000000" w:rsidP="00000000" w:rsidRDefault="00000000" w:rsidRPr="00000000" w14:paraId="0000000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La déforestation : La destruction des forêts à grande échelle contribue à l'augmentation des températures. Les arbres absorbent le dioxyde de carbone de l'atmosphère lors de la photosynthèse, agissant comme un puits de carbone. Lorsqu'ils sont coupés ou brûlés, le carbone stocké est libéré dans l'atmosphère, augmentant ainsi la concentration de CO2.</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L'agriculture intensive : Les pratiques agricoles telles que l'élevage intensif, la riziculture et l'utilisation d'engrais synthétiques génèrent des émissions de méthane et de protoxyde d'azote. Ces gaz contribuent à l'effet de serre et à l'augmentation des températures.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L'urbanisation et l'expansion urbaine : L'expansion des zones urbaines avec des infrastructures telles que les bâtiments, les routes et les parkings conduit à l'augmentation de la chaleur urbaine. Le remplacement de surfaces naturelles par des surfaces imperméables et la production de chaleur par les activités humaines entraînent des températures plus élevées dans les zones urbaines.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Les activités industrielles : Les processus industriels, y compris la production de ciment, d'acier, de produits chimiques et de plastiques, génèrent des émissions de gaz à effet de serre. De plus, les émissions de certains polluants industriels peuvent également avoir un effet indirect sur les températures.</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Les changements d'utilisation des terres : La conversion des terres naturelles en terres agricoles, en zones urbaines ou en infrastructures, ainsi que les pratiques d'exploitation minière et l'extraction de combustibles fossiles, perturbent les écosystèmes et peuvent contribuer à l'augmentation des températures.</w:t>
      </w:r>
    </w:p>
    <w:p w:rsidR="00000000" w:rsidDel="00000000" w:rsidP="00000000" w:rsidRDefault="00000000" w:rsidRPr="00000000" w14:paraId="00000009">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La température de l’eau</w:t>
      </w:r>
      <w:r w:rsidDel="00000000" w:rsidR="00000000" w:rsidRPr="00000000">
        <w:rPr>
          <w:sz w:val="20"/>
          <w:szCs w:val="20"/>
          <w:rtl w:val="0"/>
        </w:rPr>
        <w:t xml:space="preserve">: Les changements de température de l’eau ont une influence sur les variations du niveau des mers. L’eau se dilate en chauffant, ce qui provoque une augmentation de son volume, et donc une élévation du niveau. On observe toutefois un retard de 2 mois entre ces 2 variables, correspondant au laps de temps nécessaire à la température pour se diffuser depuis la surface jusque dans les profondeurs de l’océan. Les océans peuvent ainsi réagir en quelques années à un réchauffement climatique. La température moyenne mesurée depuis 2000 à la surface de l’océan Arctique était de 2 à 3°C supérieure par rapport à ces 50 dernières années, selon le Centre de données sur la neige et la glace américain, le NSDIC. Les différentes projections envisagent une augmentation des températures de l’eau de 3°C à 5°C.</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