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32"/>
        </w:rPr>
        <w:t>📋  The Master Tracking Schema</w:t>
      </w:r>
    </w:p>
    <w:p>
      <w:pPr>
        <w:spacing w:after="200"/>
      </w:pPr>
      <w:r>
        <w:rPr>
          <w:sz w:val="20"/>
        </w:rPr>
        <w:t>Every action item generated during a shift review must capture these specific fields.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shd w:val="clear" w:color="auto" w:fill="F2F2F2"/>
          </w:tcPr>
          <w:p>
            <w:pPr>
              <w:spacing w:before="60" w:after="60"/>
            </w:pPr>
            <w:r>
              <w:rPr>
                <w:b/>
                <w:i w:val="0"/>
                <w:sz w:val="20"/>
              </w:rPr>
              <w:t>Field</w:t>
              <w:br/>
              <w:t>Category</w:t>
            </w:r>
          </w:p>
        </w:tc>
        <w:tc>
          <w:tcPr>
            <w:tcW w:type="dxa" w:w="2016"/>
            <w:shd w:val="clear" w:color="auto" w:fill="F2F2F2"/>
          </w:tcPr>
          <w:p>
            <w:pPr>
              <w:spacing w:before="60" w:after="60"/>
            </w:pPr>
            <w:r>
              <w:rPr>
                <w:b/>
                <w:i w:val="0"/>
                <w:sz w:val="20"/>
              </w:rPr>
              <w:t>Column Name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before="60" w:after="60"/>
            </w:pPr>
            <w:r>
              <w:rPr>
                <w:b/>
                <w:i w:val="0"/>
                <w:sz w:val="20"/>
              </w:rPr>
              <w:t>Data Type / Validation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before="60" w:after="60"/>
            </w:pPr>
            <w:r>
              <w:rPr>
                <w:b/>
                <w:i w:val="0"/>
                <w:sz w:val="20"/>
              </w:rPr>
              <w:t>Purpose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>
              <w:rPr>
                <w:b/>
                <w:i w:val="0"/>
                <w:sz w:val="20"/>
              </w:rPr>
              <w:t>Context</w:t>
            </w:r>
          </w:p>
        </w:tc>
        <w:tc>
          <w:tcPr>
            <w:tcW w:type="dxa" w:w="2016"/>
          </w:tcPr>
          <w:p>
            <w:pPr>
              <w:spacing w:before="60" w:after="60"/>
            </w:pPr>
            <w:r>
              <w:rPr>
                <w:b/>
                <w:i w:val="0"/>
                <w:sz w:val="20"/>
              </w:rPr>
              <w:t>Interval ID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Dropdown (06:00-08:00, 08:00-10:00, etc.)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Isolates when the bottleneck occurred.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16"/>
          </w:tcPr>
          <w:p>
            <w:pPr>
              <w:spacing w:before="60" w:after="60"/>
            </w:pPr>
            <w:r>
              <w:rPr>
                <w:b/>
                <w:i w:val="0"/>
                <w:sz w:val="20"/>
              </w:rPr>
              <w:t>Asset / Area ID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Text / Dropdown (e.g., SHV-02, CRUSH-01)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Pinpoints the exact piece of equipment or pit zone.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>
              <w:rPr>
                <w:b/>
                <w:i w:val="0"/>
                <w:sz w:val="20"/>
              </w:rPr>
              <w:t>Activity</w:t>
            </w:r>
          </w:p>
        </w:tc>
        <w:tc>
          <w:tcPr>
            <w:tcW w:type="dxa" w:w="2016"/>
          </w:tcPr>
          <w:p>
            <w:pPr>
              <w:spacing w:before="60" w:after="60"/>
            </w:pPr>
            <w:r>
              <w:rPr>
                <w:b/>
                <w:i w:val="0"/>
                <w:sz w:val="20"/>
              </w:rPr>
              <w:t>Deviation Observed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Short Text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The problem statement (e.g., Truck queue exceeds 15 mins).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16"/>
          </w:tcPr>
          <w:p>
            <w:pPr>
              <w:spacing w:before="60" w:after="60"/>
            </w:pPr>
            <w:r>
              <w:rPr>
                <w:b/>
                <w:i w:val="0"/>
                <w:sz w:val="20"/>
              </w:rPr>
              <w:t>Corrective Action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Imperative Sentence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The exact directive issued to fix the variance.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>
              <w:rPr>
                <w:b/>
                <w:i w:val="0"/>
                <w:sz w:val="20"/>
              </w:rPr>
              <w:t>Ownership</w:t>
            </w:r>
          </w:p>
        </w:tc>
        <w:tc>
          <w:tcPr>
            <w:tcW w:type="dxa" w:w="2016"/>
          </w:tcPr>
          <w:p>
            <w:pPr>
              <w:spacing w:before="60" w:after="60"/>
            </w:pPr>
            <w:r>
              <w:rPr>
                <w:b/>
                <w:i w:val="0"/>
                <w:sz w:val="20"/>
              </w:rPr>
              <w:t>Action Owner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Single Name / Role Pin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The one specific person accountable for execution.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16"/>
          </w:tcPr>
          <w:p>
            <w:pPr>
              <w:spacing w:before="60" w:after="60"/>
            </w:pPr>
            <w:r>
              <w:rPr>
                <w:b/>
                <w:i w:val="0"/>
                <w:sz w:val="20"/>
              </w:rPr>
              <w:t>Support Resource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Text / Dropdown (Optional)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Secondary teams called to help (e.g., Maintenance, Dozers).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>
              <w:rPr>
                <w:b/>
                <w:i w:val="0"/>
                <w:sz w:val="20"/>
              </w:rPr>
              <w:t>Outcome</w:t>
            </w:r>
          </w:p>
        </w:tc>
        <w:tc>
          <w:tcPr>
            <w:tcW w:type="dxa" w:w="2016"/>
          </w:tcPr>
          <w:p>
            <w:pPr>
              <w:spacing w:before="60" w:after="60"/>
            </w:pPr>
            <w:r>
              <w:rPr>
                <w:b/>
                <w:i w:val="0"/>
                <w:sz w:val="20"/>
              </w:rPr>
              <w:t>SLA Deadline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Timestamp (Interval End + 30 Mins)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The hard cutoff time before automatic escalation.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16"/>
          </w:tcPr>
          <w:p>
            <w:pPr>
              <w:spacing w:before="60" w:after="60"/>
            </w:pPr>
            <w:r>
              <w:rPr>
                <w:b/>
                <w:i w:val="0"/>
                <w:sz w:val="20"/>
              </w:rPr>
              <w:t>Resolution Status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Dropdown (Open, In-Progress, Closed, Escalated)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Real-time status of the fix.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16"/>
          </w:tcPr>
          <w:p>
            <w:pPr>
              <w:spacing w:before="60" w:after="60"/>
            </w:pPr>
            <w:r>
              <w:rPr>
                <w:b/>
                <w:i w:val="0"/>
                <w:sz w:val="20"/>
              </w:rPr>
              <w:t>Root-Cause Code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Dropdown (Standardized list)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Used for end-of-month engineering audits.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16"/>
          </w:tcPr>
          <w:p>
            <w:pPr>
              <w:spacing w:before="60" w:after="60"/>
            </w:pPr>
            <w:r>
              <w:rPr>
                <w:b/>
                <w:i w:val="0"/>
                <w:sz w:val="20"/>
              </w:rPr>
              <w:t>Final Production Impact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Numeric (Tons, Meters, or Hours)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Quantifiable result of the intervention.</w:t>
            </w:r>
          </w:p>
        </w:tc>
      </w:tr>
    </w:tbl>
    <w:p/>
    <w:p>
      <w:r>
        <w:rPr>
          <w:i/>
          <w:sz w:val="18"/>
        </w:rPr>
        <w:t>Note: Fields marked Optional may be left blank if no secondary resource is involved. All other fields are mandatory before an action item can be marked Closed.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