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One Evidence for Bounded Visual Memory</w:t>
      </w:r>
    </w:p>
    <w:p>
      <w:pPr>
        <w:pStyle w:val="Subtitle"/>
      </w:pPr>
      <w:r>
        <w:t>I-JEPA prototype  Controlled prediction and equal capacity deletion</w:t>
        <w:br/>
        <w:t>Academic evidence report  |  16 October 2026</w:t>
      </w:r>
    </w:p>
    <w:p>
      <w:pPr>
        <w:pStyle w:val="Heading1"/>
      </w:pPr>
      <w:r>
        <w:t>1  Research objective</w:t>
      </w:r>
    </w:p>
    <w:p>
      <w:r>
        <w:t>Our proposal asks which historical observations a model should retain when its memory is limited. The intended learning signal is the prediction cost of deleting an observation: a memory should matter when forgetting it makes useful future prediction worse. The research goal is a better retention decision, rather than a predictor that solves every possible future.</w:t>
      </w:r>
    </w:p>
    <w:p>
      <w:r>
        <w:t>Phase One tests the prerequisites: whether stored visual features contain the missing evidence, and whether a predictor can use it. The later deletion assay adds a bridge toward policy learning, while keeping the predictor and memory capacity fixed. No retention policy has been trained.</w:t>
      </w:r>
    </w:p>
    <w:p>
      <w:pPr>
        <w:keepNext/>
        <w:spacing w:after="80"/>
      </w:pPr>
      <w:r>
        <w:drawing>
          <wp:inline xmlns:a="http://schemas.openxmlformats.org/drawingml/2006/main" xmlns:pic="http://schemas.openxmlformats.org/drawingml/2006/picture">
            <wp:extent cx="6355080" cy="2850564"/>
            <wp:docPr id="1" name="Picture 1" descr="Figure 1. Read each row from left to right: earlier evidence, recent view, then future outcome. A and B look the same recently but have different futures. A useful memory must preserve what distinguishes them: the Gate cue or earlier Motion positions. Drawings illustrate the task; they are not test images or model predictions."/>
            <wp:cNvGraphicFramePr>
              <a:graphicFrameLocks noChangeAspect="1"/>
            </wp:cNvGraphicFramePr>
            <a:graphic>
              <a:graphicData uri="http://schemas.openxmlformats.org/drawingml/2006/picture">
                <pic:pic>
                  <pic:nvPicPr>
                    <pic:cNvPr id="0" name="01_tasks.png"/>
                    <pic:cNvPicPr/>
                  </pic:nvPicPr>
                  <pic:blipFill>
                    <a:blip r:embed="rId10"/>
                    <a:stretch>
                      <a:fillRect/>
                    </a:stretch>
                  </pic:blipFill>
                  <pic:spPr>
                    <a:xfrm>
                      <a:off x="0" y="0"/>
                      <a:ext cx="6355080" cy="2850564"/>
                    </a:xfrm>
                    <a:prstGeom prst="rect"/>
                  </pic:spPr>
                </pic:pic>
              </a:graphicData>
            </a:graphic>
          </wp:inline>
        </w:drawing>
      </w:r>
    </w:p>
    <w:p>
      <w:pPr>
        <w:pStyle w:val="Caption"/>
      </w:pPr>
      <w:r>
        <w:t>Figure 1. Read each row from left to right: earlier evidence, recent view, then future outcome. A and B look the same recently but have different futures. A useful memory must preserve what distinguishes them: the Gate cue or earlier Motion positions. Drawings illustrate the task; they are not test images or model predictions.</w:t>
      </w:r>
    </w:p>
    <w:p>
      <w:pPr>
        <w:pStyle w:val="Heading2"/>
      </w:pPr>
      <w:r>
        <w:t>Three questions guide the experiments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44"/>
        <w:gridCol w:w="7992"/>
      </w:tblGrid>
      <w:tr>
        <w:trPr>
          <w:cantSplit/>
          <w:tblHeader/>
        </w:trPr>
        <w:tc>
          <w:tcPr>
            <w:tcW w:type="dxa" w:w="1944"/>
            <w:vAlign w:val="center"/>
            <w:tcMar>
              <w:top w:w="75" w:type="dxa"/>
              <w:bottom w:w="75" w:type="dxa"/>
              <w:left w:w="95" w:type="dxa"/>
              <w:right w:w="95" w:type="dxa"/>
            </w:tcMar>
            <w:shd w:fill="333333"/>
          </w:tcPr>
          <w:p>
            <w:pPr>
              <w:spacing w:after="0" w:line="252" w:lineRule="auto"/>
              <w:jc w:val="left"/>
            </w:pPr>
            <w:r>
              <w:rPr>
                <w:b/>
                <w:color w:val="FFFFFF"/>
                <w:sz w:val="19"/>
              </w:rPr>
              <w:t>Question</w:t>
            </w:r>
          </w:p>
        </w:tc>
        <w:tc>
          <w:tcPr>
            <w:tcW w:type="dxa" w:w="7992"/>
            <w:vAlign w:val="center"/>
            <w:tcMar>
              <w:top w:w="75" w:type="dxa"/>
              <w:bottom w:w="75" w:type="dxa"/>
              <w:left w:w="95" w:type="dxa"/>
              <w:right w:w="95" w:type="dxa"/>
            </w:tcMar>
            <w:shd w:fill="333333"/>
          </w:tcPr>
          <w:p>
            <w:pPr>
              <w:spacing w:after="0" w:line="252" w:lineRule="auto"/>
              <w:jc w:val="center"/>
            </w:pPr>
            <w:r>
              <w:rPr>
                <w:b/>
                <w:color w:val="FFFFFF"/>
                <w:sz w:val="19"/>
              </w:rPr>
              <w:t>Evidence needed</w:t>
            </w:r>
          </w:p>
        </w:tc>
      </w:tr>
      <w:tr>
        <w:trPr>
          <w:cantSplit/>
        </w:trPr>
        <w:tc>
          <w:tcPr>
            <w:tcW w:type="dxa" w:w="1944"/>
            <w:vAlign w:val="center"/>
            <w:tcMar>
              <w:top w:w="75" w:type="dxa"/>
              <w:bottom w:w="75" w:type="dxa"/>
              <w:left w:w="95" w:type="dxa"/>
              <w:right w:w="95" w:type="dxa"/>
            </w:tcMar>
            <w:shd w:fill="FFFFFF"/>
          </w:tcPr>
          <w:p>
            <w:pPr>
              <w:spacing w:after="0" w:line="252" w:lineRule="auto"/>
              <w:jc w:val="left"/>
            </w:pPr>
            <w:r>
              <w:rPr>
                <w:b w:val="0"/>
                <w:color w:val="000000"/>
                <w:sz w:val="19"/>
              </w:rPr>
              <w:t>Representation</w:t>
            </w:r>
          </w:p>
        </w:tc>
        <w:tc>
          <w:tcPr>
            <w:tcW w:type="dxa" w:w="7992"/>
            <w:vAlign w:val="center"/>
            <w:tcMar>
              <w:top w:w="75" w:type="dxa"/>
              <w:bottom w:w="75" w:type="dxa"/>
              <w:left w:w="95" w:type="dxa"/>
              <w:right w:w="95" w:type="dxa"/>
            </w:tcMar>
            <w:shd w:fill="FFFFFF"/>
          </w:tcPr>
          <w:p>
            <w:pPr>
              <w:spacing w:after="0" w:line="252" w:lineRule="auto"/>
              <w:jc w:val="left"/>
            </w:pPr>
            <w:r>
              <w:rPr>
                <w:b w:val="0"/>
                <w:color w:val="000000"/>
                <w:sz w:val="19"/>
              </w:rPr>
              <w:t>Can the relevant cue or motion evidence be recovered from frozen image features?</w:t>
            </w:r>
          </w:p>
        </w:tc>
      </w:tr>
      <w:tr>
        <w:trPr>
          <w:cantSplit/>
        </w:trPr>
        <w:tc>
          <w:tcPr>
            <w:tcW w:type="dxa" w:w="1944"/>
            <w:vAlign w:val="center"/>
            <w:tcMar>
              <w:top w:w="75" w:type="dxa"/>
              <w:bottom w:w="75" w:type="dxa"/>
              <w:left w:w="95" w:type="dxa"/>
              <w:right w:w="95" w:type="dxa"/>
            </w:tcMar>
            <w:shd w:fill="F4F4F4"/>
          </w:tcPr>
          <w:p>
            <w:pPr>
              <w:spacing w:after="0" w:line="252" w:lineRule="auto"/>
              <w:jc w:val="left"/>
            </w:pPr>
            <w:r>
              <w:rPr>
                <w:b w:val="0"/>
                <w:color w:val="000000"/>
                <w:sz w:val="19"/>
              </w:rPr>
              <w:t>Prediction</w:t>
            </w:r>
          </w:p>
        </w:tc>
        <w:tc>
          <w:tcPr>
            <w:tcW w:type="dxa" w:w="7992"/>
            <w:vAlign w:val="center"/>
            <w:tcMar>
              <w:top w:w="75" w:type="dxa"/>
              <w:bottom w:w="75" w:type="dxa"/>
              <w:left w:w="95" w:type="dxa"/>
              <w:right w:w="95" w:type="dxa"/>
            </w:tcMar>
            <w:shd w:fill="F4F4F4"/>
          </w:tcPr>
          <w:p>
            <w:pPr>
              <w:spacing w:after="0" w:line="252" w:lineRule="auto"/>
              <w:jc w:val="left"/>
            </w:pPr>
            <w:r>
              <w:rPr>
                <w:b w:val="0"/>
                <w:color w:val="000000"/>
                <w:sz w:val="19"/>
              </w:rPr>
              <w:t>Does supplying historical evidence improve forecasts over recent observations alone?</w:t>
            </w:r>
          </w:p>
        </w:tc>
      </w:tr>
      <w:tr>
        <w:trPr>
          <w:cantSplit/>
        </w:trPr>
        <w:tc>
          <w:tcPr>
            <w:tcW w:type="dxa" w:w="1944"/>
            <w:vAlign w:val="center"/>
            <w:tcMar>
              <w:top w:w="75" w:type="dxa"/>
              <w:bottom w:w="75" w:type="dxa"/>
              <w:left w:w="95" w:type="dxa"/>
              <w:right w:w="95" w:type="dxa"/>
            </w:tcMar>
            <w:shd w:fill="FFFFFF"/>
          </w:tcPr>
          <w:p>
            <w:pPr>
              <w:spacing w:after="0" w:line="252" w:lineRule="auto"/>
              <w:jc w:val="left"/>
            </w:pPr>
            <w:r>
              <w:rPr>
                <w:b w:val="0"/>
                <w:color w:val="000000"/>
                <w:sz w:val="19"/>
              </w:rPr>
              <w:t>Deletion signal</w:t>
            </w:r>
          </w:p>
        </w:tc>
        <w:tc>
          <w:tcPr>
            <w:tcW w:type="dxa" w:w="7992"/>
            <w:vAlign w:val="center"/>
            <w:tcMar>
              <w:top w:w="75" w:type="dxa"/>
              <w:bottom w:w="75" w:type="dxa"/>
              <w:left w:w="95" w:type="dxa"/>
              <w:right w:w="95" w:type="dxa"/>
            </w:tcMar>
            <w:shd w:fill="FFFFFF"/>
          </w:tcPr>
          <w:p>
            <w:pPr>
              <w:spacing w:after="0" w:line="252" w:lineRule="auto"/>
              <w:jc w:val="left"/>
            </w:pPr>
            <w:r>
              <w:rPr>
                <w:b w:val="0"/>
                <w:color w:val="000000"/>
                <w:sz w:val="19"/>
              </w:rPr>
              <w:t>At the same memory capacity, does losing critical evidence cause more harm than losing a nuisance frame?</w:t>
            </w:r>
          </w:p>
        </w:tc>
      </w:tr>
    </w:tbl>
    <w:p>
      <w:pPr>
        <w:spacing w:after="0"/>
      </w:pPr>
    </w:p>
    <w:p>
      <w:r>
        <w:rPr>
          <w:b/>
        </w:rPr>
        <w:t>Scope.</w:t>
      </w:r>
      <w:r>
        <w:t xml:space="preserve"> The proposal asks for evidence that history is useful before policy training. It does not require every diagnostic to succeed. We therefore report coverage, effect sizes and exceptions; the original strict all-checks verdict is retained separately. The deletion assay is a later-stage bridge, and no policy has been trained.</w:t>
      </w:r>
    </w:p>
    <w:p>
      <w:pPr>
        <w:pStyle w:val="Heading1"/>
        <w:pageBreakBefore/>
      </w:pPr>
      <w:r>
        <w:t>2  Experimental design</w:t>
      </w:r>
    </w:p>
    <w:p>
      <w:pPr>
        <w:keepNext/>
        <w:spacing w:after="80"/>
      </w:pPr>
      <w:r>
        <w:drawing>
          <wp:inline xmlns:a="http://schemas.openxmlformats.org/drawingml/2006/main" xmlns:pic="http://schemas.openxmlformats.org/drawingml/2006/picture">
            <wp:extent cx="6355080" cy="1660034"/>
            <wp:docPr id="2" name="Picture 2" descr="Figure 2. Images become numerical features, then a small model predicts future features. Compare the same recent context with and without history to measure memory value. The image encoder is frozen I-JEPA [1], not V-JEPA. No future image or hidden simulator state is supplied to the predictor."/>
            <wp:cNvGraphicFramePr>
              <a:graphicFrameLocks noChangeAspect="1"/>
            </wp:cNvGraphicFramePr>
            <a:graphic>
              <a:graphicData uri="http://schemas.openxmlformats.org/drawingml/2006/picture">
                <pic:pic>
                  <pic:nvPicPr>
                    <pic:cNvPr id="0" name="02_pipeline.png"/>
                    <pic:cNvPicPr/>
                  </pic:nvPicPr>
                  <pic:blipFill>
                    <a:blip r:embed="rId11"/>
                    <a:stretch>
                      <a:fillRect/>
                    </a:stretch>
                  </pic:blipFill>
                  <pic:spPr>
                    <a:xfrm>
                      <a:off x="0" y="0"/>
                      <a:ext cx="6355080" cy="1660034"/>
                    </a:xfrm>
                    <a:prstGeom prst="rect"/>
                  </pic:spPr>
                </pic:pic>
              </a:graphicData>
            </a:graphic>
          </wp:inline>
        </w:drawing>
      </w:r>
    </w:p>
    <w:p>
      <w:pPr>
        <w:pStyle w:val="Caption"/>
      </w:pPr>
      <w:r>
        <w:t>Figure 2. Images become numerical features, then a small model predicts future features. Compare the same recent context with and without history to measure memory value. The image encoder is frozen I-JEPA [1], not V-JEPA. No future image or hidden simulator state is supplied to the predictor.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04"/>
        <w:gridCol w:w="7632"/>
      </w:tblGrid>
      <w:tr>
        <w:trPr>
          <w:cantSplit/>
          <w:tblHeader/>
        </w:trPr>
        <w:tc>
          <w:tcPr>
            <w:tcW w:type="dxa" w:w="2304"/>
            <w:vAlign w:val="center"/>
            <w:tcMar>
              <w:top w:w="75" w:type="dxa"/>
              <w:bottom w:w="75" w:type="dxa"/>
              <w:left w:w="95" w:type="dxa"/>
              <w:right w:w="95" w:type="dxa"/>
            </w:tcMar>
            <w:shd w:fill="333333"/>
          </w:tcPr>
          <w:p>
            <w:pPr>
              <w:spacing w:after="0" w:line="252" w:lineRule="auto"/>
              <w:jc w:val="left"/>
            </w:pPr>
            <w:r>
              <w:rPr>
                <w:b/>
                <w:color w:val="FFFFFF"/>
                <w:sz w:val="18"/>
              </w:rPr>
              <w:t>Component</w:t>
            </w:r>
          </w:p>
        </w:tc>
        <w:tc>
          <w:tcPr>
            <w:tcW w:type="dxa" w:w="7632"/>
            <w:vAlign w:val="center"/>
            <w:tcMar>
              <w:top w:w="75" w:type="dxa"/>
              <w:bottom w:w="75" w:type="dxa"/>
              <w:left w:w="95" w:type="dxa"/>
              <w:right w:w="95" w:type="dxa"/>
            </w:tcMar>
            <w:shd w:fill="333333"/>
          </w:tcPr>
          <w:p>
            <w:pPr>
              <w:spacing w:after="0" w:line="252" w:lineRule="auto"/>
              <w:jc w:val="center"/>
            </w:pPr>
            <w:r>
              <w:rPr>
                <w:b/>
                <w:color w:val="FFFFFF"/>
                <w:sz w:val="18"/>
              </w:rPr>
              <w:t>Specification</w:t>
            </w:r>
          </w:p>
        </w:tc>
      </w:tr>
      <w:tr>
        <w:trPr>
          <w:cantSplit/>
        </w:trPr>
        <w:tc>
          <w:tcPr>
            <w:tcW w:type="dxa" w:w="2304"/>
            <w:vAlign w:val="center"/>
            <w:tcMar>
              <w:top w:w="75" w:type="dxa"/>
              <w:bottom w:w="75" w:type="dxa"/>
              <w:left w:w="95" w:type="dxa"/>
              <w:right w:w="95" w:type="dxa"/>
            </w:tcMar>
            <w:shd w:fill="FFFFFF"/>
          </w:tcPr>
          <w:p>
            <w:pPr>
              <w:spacing w:after="0" w:line="252" w:lineRule="auto"/>
              <w:jc w:val="left"/>
            </w:pPr>
            <w:r>
              <w:rPr>
                <w:b w:val="0"/>
                <w:color w:val="000000"/>
                <w:sz w:val="18"/>
              </w:rPr>
              <w:t>Controlled tasks</w:t>
            </w:r>
          </w:p>
        </w:tc>
        <w:tc>
          <w:tcPr>
            <w:tcW w:type="dxa" w:w="7632"/>
            <w:vAlign w:val="center"/>
            <w:tcMar>
              <w:top w:w="75" w:type="dxa"/>
              <w:bottom w:w="75" w:type="dxa"/>
              <w:left w:w="95" w:type="dxa"/>
              <w:right w:w="95" w:type="dxa"/>
            </w:tcMar>
            <w:shd w:fill="FFFFFF"/>
          </w:tcPr>
          <w:p>
            <w:pPr>
              <w:spacing w:after="0" w:line="252" w:lineRule="auto"/>
              <w:jc w:val="left"/>
            </w:pPr>
            <w:r>
              <w:rPr>
                <w:b w:val="0"/>
                <w:color w:val="000000"/>
                <w:sz w:val="18"/>
              </w:rPr>
              <w:t>Gate cue and occluded Motion</w:t>
            </w:r>
          </w:p>
        </w:tc>
      </w:tr>
      <w:tr>
        <w:trPr>
          <w:cantSplit/>
        </w:trPr>
        <w:tc>
          <w:tcPr>
            <w:tcW w:type="dxa" w:w="2304"/>
            <w:vAlign w:val="center"/>
            <w:tcMar>
              <w:top w:w="75" w:type="dxa"/>
              <w:bottom w:w="75" w:type="dxa"/>
              <w:left w:w="95" w:type="dxa"/>
              <w:right w:w="95" w:type="dxa"/>
            </w:tcMar>
            <w:shd w:fill="F4F4F4"/>
          </w:tcPr>
          <w:p>
            <w:pPr>
              <w:spacing w:after="0" w:line="252" w:lineRule="auto"/>
              <w:jc w:val="left"/>
            </w:pPr>
            <w:r>
              <w:rPr>
                <w:b w:val="0"/>
                <w:color w:val="000000"/>
                <w:sz w:val="18"/>
              </w:rPr>
              <w:t>Data per task</w:t>
            </w:r>
          </w:p>
        </w:tc>
        <w:tc>
          <w:tcPr>
            <w:tcW w:type="dxa" w:w="7632"/>
            <w:vAlign w:val="center"/>
            <w:tcMar>
              <w:top w:w="75" w:type="dxa"/>
              <w:bottom w:w="75" w:type="dxa"/>
              <w:left w:w="95" w:type="dxa"/>
              <w:right w:w="95" w:type="dxa"/>
            </w:tcMar>
            <w:shd w:fill="F4F4F4"/>
          </w:tcPr>
          <w:p>
            <w:pPr>
              <w:spacing w:after="0" w:line="252" w:lineRule="auto"/>
              <w:jc w:val="left"/>
            </w:pPr>
            <w:r>
              <w:rPr>
                <w:b w:val="0"/>
                <w:color w:val="000000"/>
                <w:sz w:val="18"/>
              </w:rPr>
              <w:t>512 training pairs; 96 validation pairs; 128 test pairs in each of 3 conditions</w:t>
            </w:r>
          </w:p>
        </w:tc>
      </w:tr>
      <w:tr>
        <w:trPr>
          <w:cantSplit/>
        </w:trPr>
        <w:tc>
          <w:tcPr>
            <w:tcW w:type="dxa" w:w="2304"/>
            <w:vAlign w:val="center"/>
            <w:tcMar>
              <w:top w:w="75" w:type="dxa"/>
              <w:bottom w:w="75" w:type="dxa"/>
              <w:left w:w="95" w:type="dxa"/>
              <w:right w:w="95" w:type="dxa"/>
            </w:tcMar>
            <w:shd w:fill="FFFFFF"/>
          </w:tcPr>
          <w:p>
            <w:pPr>
              <w:spacing w:after="0" w:line="252" w:lineRule="auto"/>
              <w:jc w:val="left"/>
            </w:pPr>
            <w:r>
              <w:rPr>
                <w:b w:val="0"/>
                <w:color w:val="000000"/>
                <w:sz w:val="18"/>
              </w:rPr>
              <w:t>Test conditions</w:t>
            </w:r>
          </w:p>
        </w:tc>
        <w:tc>
          <w:tcPr>
            <w:tcW w:type="dxa" w:w="7632"/>
            <w:vAlign w:val="center"/>
            <w:tcMar>
              <w:top w:w="75" w:type="dxa"/>
              <w:bottom w:w="75" w:type="dxa"/>
              <w:left w:w="95" w:type="dxa"/>
              <w:right w:w="95" w:type="dxa"/>
            </w:tcMar>
            <w:shd w:fill="FFFFFF"/>
          </w:tcPr>
          <w:p>
            <w:pPr>
              <w:spacing w:after="0" w:line="252" w:lineRule="auto"/>
              <w:jc w:val="left"/>
            </w:pPr>
            <w:r>
              <w:rPr>
                <w:b w:val="0"/>
                <w:color w:val="000000"/>
                <w:sz w:val="18"/>
              </w:rPr>
              <w:t>Ordinary; longer gaps or occlusion; changed visual distractors</w:t>
            </w:r>
          </w:p>
        </w:tc>
      </w:tr>
      <w:tr>
        <w:trPr>
          <w:cantSplit/>
        </w:trPr>
        <w:tc>
          <w:tcPr>
            <w:tcW w:type="dxa" w:w="2304"/>
            <w:vAlign w:val="center"/>
            <w:tcMar>
              <w:top w:w="75" w:type="dxa"/>
              <w:bottom w:w="75" w:type="dxa"/>
              <w:left w:w="95" w:type="dxa"/>
              <w:right w:w="95" w:type="dxa"/>
            </w:tcMar>
            <w:shd w:fill="F4F4F4"/>
          </w:tcPr>
          <w:p>
            <w:pPr>
              <w:spacing w:after="0" w:line="252" w:lineRule="auto"/>
              <w:jc w:val="left"/>
            </w:pPr>
            <w:r>
              <w:rPr>
                <w:b w:val="0"/>
                <w:color w:val="000000"/>
                <w:sz w:val="18"/>
              </w:rPr>
              <w:t>Prediction context</w:t>
            </w:r>
          </w:p>
        </w:tc>
        <w:tc>
          <w:tcPr>
            <w:tcW w:type="dxa" w:w="7632"/>
            <w:vAlign w:val="center"/>
            <w:tcMar>
              <w:top w:w="75" w:type="dxa"/>
              <w:bottom w:w="75" w:type="dxa"/>
              <w:left w:w="95" w:type="dxa"/>
              <w:right w:w="95" w:type="dxa"/>
            </w:tcMar>
            <w:shd w:fill="F4F4F4"/>
          </w:tcPr>
          <w:p>
            <w:pPr>
              <w:spacing w:after="0" w:line="252" w:lineRule="auto"/>
              <w:jc w:val="left"/>
            </w:pPr>
            <w:r>
              <w:rPr>
                <w:b w:val="0"/>
                <w:color w:val="000000"/>
                <w:sz w:val="18"/>
              </w:rPr>
              <w:t>4 recent frames; historical budget B = 2; horizons h = 3 and h = 6</w:t>
            </w:r>
          </w:p>
        </w:tc>
      </w:tr>
      <w:tr>
        <w:trPr>
          <w:cantSplit/>
        </w:trPr>
        <w:tc>
          <w:tcPr>
            <w:tcW w:type="dxa" w:w="2304"/>
            <w:vAlign w:val="center"/>
            <w:tcMar>
              <w:top w:w="75" w:type="dxa"/>
              <w:bottom w:w="75" w:type="dxa"/>
              <w:left w:w="95" w:type="dxa"/>
              <w:right w:w="95" w:type="dxa"/>
            </w:tcMar>
            <w:shd w:fill="FFFFFF"/>
          </w:tcPr>
          <w:p>
            <w:pPr>
              <w:spacing w:after="0" w:line="252" w:lineRule="auto"/>
              <w:jc w:val="left"/>
            </w:pPr>
            <w:r>
              <w:rPr>
                <w:b w:val="0"/>
                <w:color w:val="000000"/>
                <w:sz w:val="18"/>
              </w:rPr>
              <w:t>Complete candidate models</w:t>
            </w:r>
          </w:p>
        </w:tc>
        <w:tc>
          <w:tcPr>
            <w:tcW w:type="dxa" w:w="7632"/>
            <w:vAlign w:val="center"/>
            <w:tcMar>
              <w:top w:w="75" w:type="dxa"/>
              <w:bottom w:w="75" w:type="dxa"/>
              <w:left w:w="95" w:type="dxa"/>
              <w:right w:w="95" w:type="dxa"/>
            </w:tcMar>
            <w:shd w:fill="FFFFFF"/>
          </w:tcPr>
          <w:p>
            <w:pPr>
              <w:spacing w:after="0" w:line="252" w:lineRule="auto"/>
              <w:jc w:val="left"/>
            </w:pPr>
            <w:r>
              <w:rPr>
                <w:b w:val="0"/>
                <w:color w:val="000000"/>
                <w:sz w:val="18"/>
              </w:rPr>
              <w:t>2 tasks x seeds 17, 29, 43 = 6 models; 120 epochs and 7680 steps each</w:t>
            </w:r>
          </w:p>
        </w:tc>
      </w:tr>
      <w:tr>
        <w:trPr>
          <w:cantSplit/>
        </w:trPr>
        <w:tc>
          <w:tcPr>
            <w:tcW w:type="dxa" w:w="2304"/>
            <w:vAlign w:val="center"/>
            <w:tcMar>
              <w:top w:w="75" w:type="dxa"/>
              <w:bottom w:w="75" w:type="dxa"/>
              <w:left w:w="95" w:type="dxa"/>
              <w:right w:w="95" w:type="dxa"/>
            </w:tcMar>
            <w:shd w:fill="F4F4F4"/>
          </w:tcPr>
          <w:p>
            <w:pPr>
              <w:spacing w:after="0" w:line="252" w:lineRule="auto"/>
              <w:jc w:val="left"/>
            </w:pPr>
            <w:r>
              <w:rPr>
                <w:b w:val="0"/>
                <w:color w:val="000000"/>
                <w:sz w:val="18"/>
              </w:rPr>
              <w:t>Visual representation</w:t>
            </w:r>
          </w:p>
        </w:tc>
        <w:tc>
          <w:tcPr>
            <w:tcW w:type="dxa" w:w="7632"/>
            <w:vAlign w:val="center"/>
            <w:tcMar>
              <w:top w:w="75" w:type="dxa"/>
              <w:bottom w:w="75" w:type="dxa"/>
              <w:left w:w="95" w:type="dxa"/>
              <w:right w:w="95" w:type="dxa"/>
            </w:tcMar>
            <w:shd w:fill="F4F4F4"/>
          </w:tcPr>
          <w:p>
            <w:pPr>
              <w:spacing w:after="0" w:line="252" w:lineRule="auto"/>
              <w:jc w:val="left"/>
            </w:pPr>
            <w:r>
              <w:rPr>
                <w:b w:val="0"/>
                <w:color w:val="000000"/>
                <w:sz w:val="18"/>
              </w:rPr>
              <w:t>Frozen I-JEPA; train-only normalization and 128-dimensional basis; full 5120-dimensional scored output</w:t>
            </w:r>
          </w:p>
        </w:tc>
      </w:tr>
      <w:tr>
        <w:trPr>
          <w:cantSplit/>
        </w:trPr>
        <w:tc>
          <w:tcPr>
            <w:tcW w:type="dxa" w:w="2304"/>
            <w:vAlign w:val="center"/>
            <w:tcMar>
              <w:top w:w="75" w:type="dxa"/>
              <w:bottom w:w="75" w:type="dxa"/>
              <w:left w:w="95" w:type="dxa"/>
              <w:right w:w="95" w:type="dxa"/>
            </w:tcMar>
            <w:shd w:fill="FFFFFF"/>
          </w:tcPr>
          <w:p>
            <w:pPr>
              <w:spacing w:after="0" w:line="252" w:lineRule="auto"/>
              <w:jc w:val="left"/>
            </w:pPr>
            <w:r>
              <w:rPr>
                <w:b w:val="0"/>
                <w:color w:val="000000"/>
                <w:sz w:val="18"/>
              </w:rPr>
              <w:t>Model selection</w:t>
            </w:r>
          </w:p>
        </w:tc>
        <w:tc>
          <w:tcPr>
            <w:tcW w:type="dxa" w:w="7632"/>
            <w:vAlign w:val="center"/>
            <w:tcMar>
              <w:top w:w="75" w:type="dxa"/>
              <w:bottom w:w="75" w:type="dxa"/>
              <w:left w:w="95" w:type="dxa"/>
              <w:right w:w="95" w:type="dxa"/>
            </w:tcMar>
            <w:shd w:fill="FFFFFF"/>
          </w:tcPr>
          <w:p>
            <w:pPr>
              <w:spacing w:after="0" w:line="252" w:lineRule="auto"/>
              <w:jc w:val="left"/>
            </w:pPr>
            <w:r>
              <w:rPr>
                <w:b w:val="0"/>
                <w:color w:val="000000"/>
                <w:sz w:val="18"/>
              </w:rPr>
              <w:t>Earliest minimum of validation MSE, equally weighting 4 conditions and both horizons</w:t>
            </w:r>
          </w:p>
        </w:tc>
      </w:tr>
      <w:tr>
        <w:trPr>
          <w:cantSplit/>
        </w:trPr>
        <w:tc>
          <w:tcPr>
            <w:tcW w:type="dxa" w:w="2304"/>
            <w:vAlign w:val="center"/>
            <w:tcMar>
              <w:top w:w="75" w:type="dxa"/>
              <w:bottom w:w="75" w:type="dxa"/>
              <w:left w:w="95" w:type="dxa"/>
              <w:right w:w="95" w:type="dxa"/>
            </w:tcMar>
            <w:shd w:fill="F4F4F4"/>
          </w:tcPr>
          <w:p>
            <w:pPr>
              <w:spacing w:after="0" w:line="252" w:lineRule="auto"/>
              <w:jc w:val="left"/>
            </w:pPr>
            <w:r>
              <w:rPr>
                <w:b w:val="0"/>
                <w:color w:val="000000"/>
                <w:sz w:val="18"/>
              </w:rPr>
              <w:t>Data separation</w:t>
            </w:r>
          </w:p>
        </w:tc>
        <w:tc>
          <w:tcPr>
            <w:tcW w:type="dxa" w:w="7632"/>
            <w:vAlign w:val="center"/>
            <w:tcMar>
              <w:top w:w="75" w:type="dxa"/>
              <w:bottom w:w="75" w:type="dxa"/>
              <w:left w:w="95" w:type="dxa"/>
              <w:right w:w="95" w:type="dxa"/>
            </w:tcMar>
            <w:shd w:fill="F4F4F4"/>
          </w:tcPr>
          <w:p>
            <w:pPr>
              <w:spacing w:after="0" w:line="252" w:lineRule="auto"/>
              <w:jc w:val="left"/>
            </w:pPr>
            <w:r>
              <w:rPr>
                <w:b w:val="0"/>
                <w:color w:val="000000"/>
                <w:sz w:val="18"/>
              </w:rPr>
              <w:t>Pairs stay in one split; no simulator state, sibling identity or future image is a predictor input</w:t>
            </w:r>
          </w:p>
        </w:tc>
      </w:tr>
    </w:tbl>
    <w:p>
      <w:pPr>
        <w:spacing w:after="0"/>
      </w:pPr>
    </w:p>
    <w:p>
      <w:pPr>
        <w:pStyle w:val="Heading2"/>
      </w:pPr>
      <w:r>
        <w:t>What was compared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04"/>
        <w:gridCol w:w="7632"/>
      </w:tblGrid>
      <w:tr>
        <w:trPr>
          <w:cantSplit/>
          <w:tblHeader/>
        </w:trPr>
        <w:tc>
          <w:tcPr>
            <w:tcW w:type="dxa" w:w="2304"/>
            <w:vAlign w:val="center"/>
            <w:tcMar>
              <w:top w:w="75" w:type="dxa"/>
              <w:bottom w:w="75" w:type="dxa"/>
              <w:left w:w="95" w:type="dxa"/>
              <w:right w:w="95" w:type="dxa"/>
            </w:tcMar>
            <w:shd w:fill="333333"/>
          </w:tcPr>
          <w:p>
            <w:pPr>
              <w:spacing w:after="0" w:line="252" w:lineRule="auto"/>
              <w:jc w:val="left"/>
            </w:pPr>
            <w:r>
              <w:rPr>
                <w:b/>
                <w:color w:val="FFFFFF"/>
                <w:sz w:val="18"/>
              </w:rPr>
              <w:t>Condition</w:t>
            </w:r>
          </w:p>
        </w:tc>
        <w:tc>
          <w:tcPr>
            <w:tcW w:type="dxa" w:w="7632"/>
            <w:vAlign w:val="center"/>
            <w:tcMar>
              <w:top w:w="75" w:type="dxa"/>
              <w:bottom w:w="75" w:type="dxa"/>
              <w:left w:w="95" w:type="dxa"/>
              <w:right w:w="95" w:type="dxa"/>
            </w:tcMar>
            <w:shd w:fill="333333"/>
          </w:tcPr>
          <w:p>
            <w:pPr>
              <w:spacing w:after="0" w:line="252" w:lineRule="auto"/>
              <w:jc w:val="center"/>
            </w:pPr>
            <w:r>
              <w:rPr>
                <w:b/>
                <w:color w:val="FFFFFF"/>
                <w:sz w:val="18"/>
              </w:rPr>
              <w:t>Information provided</w:t>
            </w:r>
          </w:p>
        </w:tc>
      </w:tr>
      <w:tr>
        <w:trPr>
          <w:cantSplit/>
        </w:trPr>
        <w:tc>
          <w:tcPr>
            <w:tcW w:type="dxa" w:w="2304"/>
            <w:vAlign w:val="center"/>
            <w:tcMar>
              <w:top w:w="75" w:type="dxa"/>
              <w:bottom w:w="75" w:type="dxa"/>
              <w:left w:w="95" w:type="dxa"/>
              <w:right w:w="95" w:type="dxa"/>
            </w:tcMar>
            <w:shd w:fill="FFFFFF"/>
          </w:tcPr>
          <w:p>
            <w:pPr>
              <w:spacing w:after="0" w:line="252" w:lineRule="auto"/>
              <w:jc w:val="left"/>
            </w:pPr>
            <w:r>
              <w:rPr>
                <w:b w:val="0"/>
                <w:color w:val="000000"/>
                <w:sz w:val="18"/>
              </w:rPr>
              <w:t>Recent only</w:t>
            </w:r>
          </w:p>
        </w:tc>
        <w:tc>
          <w:tcPr>
            <w:tcW w:type="dxa" w:w="7632"/>
            <w:vAlign w:val="center"/>
            <w:tcMar>
              <w:top w:w="75" w:type="dxa"/>
              <w:bottom w:w="75" w:type="dxa"/>
              <w:left w:w="95" w:type="dxa"/>
              <w:right w:w="95" w:type="dxa"/>
            </w:tcMar>
            <w:shd w:fill="FFFFFF"/>
          </w:tcPr>
          <w:p>
            <w:pPr>
              <w:spacing w:after="0" w:line="252" w:lineRule="auto"/>
              <w:jc w:val="left"/>
            </w:pPr>
            <w:r>
              <w:rPr>
                <w:b w:val="0"/>
                <w:color w:val="000000"/>
                <w:sz w:val="18"/>
              </w:rPr>
              <w:t>Recent buffer and actions; no historical evidence</w:t>
            </w:r>
          </w:p>
        </w:tc>
      </w:tr>
      <w:tr>
        <w:trPr>
          <w:cantSplit/>
        </w:trPr>
        <w:tc>
          <w:tcPr>
            <w:tcW w:type="dxa" w:w="2304"/>
            <w:vAlign w:val="center"/>
            <w:tcMar>
              <w:top w:w="75" w:type="dxa"/>
              <w:bottom w:w="75" w:type="dxa"/>
              <w:left w:w="95" w:type="dxa"/>
              <w:right w:w="95" w:type="dxa"/>
            </w:tcMar>
            <w:shd w:fill="F4F4F4"/>
          </w:tcPr>
          <w:p>
            <w:pPr>
              <w:spacing w:after="0" w:line="252" w:lineRule="auto"/>
              <w:jc w:val="left"/>
            </w:pPr>
            <w:r>
              <w:rPr>
                <w:b w:val="0"/>
                <w:color w:val="000000"/>
                <w:sz w:val="18"/>
              </w:rPr>
              <w:t>Full history</w:t>
            </w:r>
          </w:p>
        </w:tc>
        <w:tc>
          <w:tcPr>
            <w:tcW w:type="dxa" w:w="7632"/>
            <w:vAlign w:val="center"/>
            <w:tcMar>
              <w:top w:w="75" w:type="dxa"/>
              <w:bottom w:w="75" w:type="dxa"/>
              <w:left w:w="95" w:type="dxa"/>
              <w:right w:w="95" w:type="dxa"/>
            </w:tcMar>
            <w:shd w:fill="F4F4F4"/>
          </w:tcPr>
          <w:p>
            <w:pPr>
              <w:spacing w:after="0" w:line="252" w:lineRule="auto"/>
              <w:jc w:val="left"/>
            </w:pPr>
            <w:r>
              <w:rPr>
                <w:b w:val="0"/>
                <w:color w:val="000000"/>
                <w:sz w:val="18"/>
              </w:rPr>
              <w:t>All available legal history; a diagnostic upper information reference</w:t>
            </w:r>
          </w:p>
        </w:tc>
      </w:tr>
      <w:tr>
        <w:trPr>
          <w:cantSplit/>
        </w:trPr>
        <w:tc>
          <w:tcPr>
            <w:tcW w:type="dxa" w:w="2304"/>
            <w:vAlign w:val="center"/>
            <w:tcMar>
              <w:top w:w="75" w:type="dxa"/>
              <w:bottom w:w="75" w:type="dxa"/>
              <w:left w:w="95" w:type="dxa"/>
              <w:right w:w="95" w:type="dxa"/>
            </w:tcMar>
            <w:shd w:fill="FFFFFF"/>
          </w:tcPr>
          <w:p>
            <w:pPr>
              <w:spacing w:after="0" w:line="252" w:lineRule="auto"/>
              <w:jc w:val="left"/>
            </w:pPr>
            <w:r>
              <w:rPr>
                <w:b w:val="0"/>
                <w:color w:val="000000"/>
                <w:sz w:val="18"/>
              </w:rPr>
              <w:t>Privileged small budget</w:t>
            </w:r>
          </w:p>
        </w:tc>
        <w:tc>
          <w:tcPr>
            <w:tcW w:type="dxa" w:w="7632"/>
            <w:vAlign w:val="center"/>
            <w:tcMar>
              <w:top w:w="75" w:type="dxa"/>
              <w:bottom w:w="75" w:type="dxa"/>
              <w:left w:w="95" w:type="dxa"/>
              <w:right w:w="95" w:type="dxa"/>
            </w:tcMar>
            <w:shd w:fill="FFFFFF"/>
          </w:tcPr>
          <w:p>
            <w:pPr>
              <w:spacing w:after="0" w:line="252" w:lineRule="auto"/>
              <w:jc w:val="left"/>
            </w:pPr>
            <w:r>
              <w:rPr>
                <w:b w:val="0"/>
                <w:color w:val="000000"/>
                <w:sz w:val="18"/>
              </w:rPr>
              <w:t>Two important historical frames, chosen using task construction</w:t>
            </w:r>
          </w:p>
        </w:tc>
      </w:tr>
      <w:tr>
        <w:trPr>
          <w:cantSplit/>
        </w:trPr>
        <w:tc>
          <w:tcPr>
            <w:tcW w:type="dxa" w:w="2304"/>
            <w:vAlign w:val="center"/>
            <w:tcMar>
              <w:top w:w="75" w:type="dxa"/>
              <w:bottom w:w="75" w:type="dxa"/>
              <w:left w:w="95" w:type="dxa"/>
              <w:right w:w="95" w:type="dxa"/>
            </w:tcMar>
            <w:shd w:fill="F4F4F4"/>
          </w:tcPr>
          <w:p>
            <w:pPr>
              <w:spacing w:after="0" w:line="252" w:lineRule="auto"/>
              <w:jc w:val="left"/>
            </w:pPr>
            <w:r>
              <w:rPr>
                <w:b w:val="0"/>
                <w:color w:val="000000"/>
                <w:sz w:val="18"/>
              </w:rPr>
              <w:t>Content intervention</w:t>
            </w:r>
          </w:p>
        </w:tc>
        <w:tc>
          <w:tcPr>
            <w:tcW w:type="dxa" w:w="7632"/>
            <w:vAlign w:val="center"/>
            <w:tcMar>
              <w:top w:w="75" w:type="dxa"/>
              <w:bottom w:w="75" w:type="dxa"/>
              <w:left w:w="95" w:type="dxa"/>
              <w:right w:w="95" w:type="dxa"/>
            </w:tcMar>
            <w:shd w:fill="F4F4F4"/>
          </w:tcPr>
          <w:p>
            <w:pPr>
              <w:spacing w:after="0" w:line="252" w:lineRule="auto"/>
              <w:jc w:val="left"/>
            </w:pPr>
            <w:r>
              <w:rPr>
                <w:b w:val="0"/>
                <w:color w:val="000000"/>
                <w:sz w:val="18"/>
              </w:rPr>
              <w:t>Replace the relevant historical content to test whether prediction depends on it</w:t>
            </w:r>
          </w:p>
        </w:tc>
      </w:tr>
    </w:tbl>
    <w:p>
      <w:pPr>
        <w:spacing w:after="0"/>
      </w:pPr>
    </w:p>
    <w:p>
      <w:r>
        <w:t>The last complete candidate used centered visual differences, attention pooling over observed history and explicit elapsed-time transport. These components were motivated by Set Transformer [2] and NLinear [3]; the candidate is an adaptation, not a reproduction or a novelty claim. Its empty-history output equals the frozen recent-only reference.</w:t>
      </w:r>
    </w:p>
    <w:p>
      <w:r>
        <w:rPr>
          <w:b/>
        </w:rPr>
        <w:t>Statistics.</w:t>
      </w:r>
      <w:r>
        <w:t xml:space="preserve"> Feature error is mean squared error (MSE); task error measures lane or position. Reported prediction intervals use paired bootstrap resampling over 128 base trajectory pairs. Seed-averaged intervals are conditional on the three tested training seeds. Forks, siblings and seeds are not treated as extra independent episodes.</w:t>
      </w:r>
    </w:p>
    <w:p>
      <w:pPr>
        <w:pStyle w:val="Heading1"/>
        <w:pageBreakBefore/>
      </w:pPr>
      <w:r>
        <w:t>3  Prediction gains and coverage</w:t>
      </w:r>
    </w:p>
    <w:p>
      <w:pPr>
        <w:keepNext/>
        <w:spacing w:after="80"/>
      </w:pPr>
      <w:r>
        <w:drawing>
          <wp:inline xmlns:a="http://schemas.openxmlformats.org/drawingml/2006/main" xmlns:pic="http://schemas.openxmlformats.org/drawingml/2006/picture">
            <wp:extent cx="6355080" cy="2666115"/>
            <wp:docPr id="3" name="Picture 3" descr="Figure 3. Further right means a larger error reduction from history. A point is the average gain; its horizontal line shows uncertainty. A line crossing zero leaves the direction uncertain. Squares predict 3 steps ahead and circles 6. Gate gains are broad; Motion gains shrink in harder conditions. Paired 95 percent intervals, conditional on the three seeds; D1."/>
            <wp:cNvGraphicFramePr>
              <a:graphicFrameLocks noChangeAspect="1"/>
            </wp:cNvGraphicFramePr>
            <a:graphic>
              <a:graphicData uri="http://schemas.openxmlformats.org/drawingml/2006/picture">
                <pic:pic>
                  <pic:nvPicPr>
                    <pic:cNvPr id="0" name="03_prediction_gains.png"/>
                    <pic:cNvPicPr/>
                  </pic:nvPicPr>
                  <pic:blipFill>
                    <a:blip r:embed="rId12"/>
                    <a:stretch>
                      <a:fillRect/>
                    </a:stretch>
                  </pic:blipFill>
                  <pic:spPr>
                    <a:xfrm>
                      <a:off x="0" y="0"/>
                      <a:ext cx="6355080" cy="2666115"/>
                    </a:xfrm>
                    <a:prstGeom prst="rect"/>
                  </pic:spPr>
                </pic:pic>
              </a:graphicData>
            </a:graphic>
          </wp:inline>
        </w:drawing>
      </w:r>
    </w:p>
    <w:p>
      <w:pPr>
        <w:pStyle w:val="Caption"/>
      </w:pPr>
      <w:r>
        <w:t>Figure 3. Further right means a larger error reduction from history. A point is the average gain; its horizontal line shows uncertainty. A line crossing zero leaves the direction uncertain. Squares predict 3 steps ahead and circles 6. Gate gains are broad; Motion gains shrink in harder conditions. Paired 95 percent intervals, conditional on the three seeds; D1.</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08"/>
        <w:gridCol w:w="1224"/>
        <w:gridCol w:w="1224"/>
        <w:gridCol w:w="1368"/>
        <w:gridCol w:w="3312"/>
      </w:tblGrid>
      <w:tr>
        <w:trPr>
          <w:cantSplit/>
          <w:tblHeader/>
        </w:trPr>
        <w:tc>
          <w:tcPr>
            <w:tcW w:type="dxa" w:w="2808"/>
            <w:vAlign w:val="center"/>
            <w:tcMar>
              <w:top w:w="75" w:type="dxa"/>
              <w:bottom w:w="75" w:type="dxa"/>
              <w:left w:w="95" w:type="dxa"/>
              <w:right w:w="95" w:type="dxa"/>
            </w:tcMar>
            <w:shd w:fill="333333"/>
          </w:tcPr>
          <w:p>
            <w:pPr>
              <w:spacing w:after="0" w:line="252" w:lineRule="auto"/>
              <w:jc w:val="left"/>
            </w:pPr>
            <w:r>
              <w:rPr>
                <w:b/>
                <w:color w:val="FFFFFF"/>
                <w:sz w:val="17"/>
              </w:rPr>
              <w:t>Task and condition</w:t>
            </w:r>
          </w:p>
        </w:tc>
        <w:tc>
          <w:tcPr>
            <w:tcW w:type="dxa" w:w="1224"/>
            <w:vAlign w:val="center"/>
            <w:tcMar>
              <w:top w:w="75" w:type="dxa"/>
              <w:bottom w:w="75" w:type="dxa"/>
              <w:left w:w="95" w:type="dxa"/>
              <w:right w:w="95" w:type="dxa"/>
            </w:tcMar>
            <w:shd w:fill="333333"/>
          </w:tcPr>
          <w:p>
            <w:pPr>
              <w:spacing w:after="0" w:line="252" w:lineRule="auto"/>
              <w:jc w:val="center"/>
            </w:pPr>
            <w:r>
              <w:rPr>
                <w:b/>
                <w:color w:val="FFFFFF"/>
                <w:sz w:val="17"/>
              </w:rPr>
              <w:t>Recent only</w:t>
              <w:br/>
              <w:t>MSE</w:t>
            </w:r>
          </w:p>
        </w:tc>
        <w:tc>
          <w:tcPr>
            <w:tcW w:type="dxa" w:w="1224"/>
            <w:vAlign w:val="center"/>
            <w:tcMar>
              <w:top w:w="75" w:type="dxa"/>
              <w:bottom w:w="75" w:type="dxa"/>
              <w:left w:w="95" w:type="dxa"/>
              <w:right w:w="95" w:type="dxa"/>
            </w:tcMar>
            <w:shd w:fill="333333"/>
          </w:tcPr>
          <w:p>
            <w:pPr>
              <w:spacing w:after="0" w:line="252" w:lineRule="auto"/>
              <w:jc w:val="center"/>
            </w:pPr>
            <w:r>
              <w:rPr>
                <w:b/>
                <w:color w:val="FFFFFF"/>
                <w:sz w:val="17"/>
              </w:rPr>
              <w:t>Full history</w:t>
              <w:br/>
              <w:t>MSE</w:t>
            </w:r>
          </w:p>
        </w:tc>
        <w:tc>
          <w:tcPr>
            <w:tcW w:type="dxa" w:w="1368"/>
            <w:vAlign w:val="center"/>
            <w:tcMar>
              <w:top w:w="75" w:type="dxa"/>
              <w:bottom w:w="75" w:type="dxa"/>
              <w:left w:w="95" w:type="dxa"/>
              <w:right w:w="95" w:type="dxa"/>
            </w:tcMar>
            <w:shd w:fill="333333"/>
          </w:tcPr>
          <w:p>
            <w:pPr>
              <w:spacing w:after="0" w:line="252" w:lineRule="auto"/>
              <w:jc w:val="center"/>
            </w:pPr>
            <w:r>
              <w:rPr>
                <w:b/>
                <w:color w:val="FFFFFF"/>
                <w:sz w:val="17"/>
              </w:rPr>
              <w:t>Budget 2</w:t>
              <w:br/>
              <w:t>MSE</w:t>
            </w:r>
          </w:p>
        </w:tc>
        <w:tc>
          <w:tcPr>
            <w:tcW w:type="dxa" w:w="3312"/>
            <w:vAlign w:val="center"/>
            <w:tcMar>
              <w:top w:w="75" w:type="dxa"/>
              <w:bottom w:w="75" w:type="dxa"/>
              <w:left w:w="95" w:type="dxa"/>
              <w:right w:w="95" w:type="dxa"/>
            </w:tcMar>
            <w:shd w:fill="333333"/>
          </w:tcPr>
          <w:p>
            <w:pPr>
              <w:spacing w:after="0" w:line="252" w:lineRule="auto"/>
              <w:jc w:val="center"/>
            </w:pPr>
            <w:r>
              <w:rPr>
                <w:b/>
                <w:color w:val="FFFFFF"/>
                <w:sz w:val="17"/>
              </w:rPr>
              <w:t>Gain and 95 percent CI</w:t>
            </w:r>
          </w:p>
        </w:tc>
      </w:tr>
      <w:tr>
        <w:trPr>
          <w:cantSplit/>
        </w:trPr>
        <w:tc>
          <w:tcPr>
            <w:tcW w:type="dxa" w:w="2808"/>
            <w:vAlign w:val="center"/>
            <w:tcMar>
              <w:top w:w="75" w:type="dxa"/>
              <w:bottom w:w="75" w:type="dxa"/>
              <w:left w:w="95" w:type="dxa"/>
              <w:right w:w="95" w:type="dxa"/>
            </w:tcMar>
            <w:shd w:fill="FFFFFF"/>
          </w:tcPr>
          <w:p>
            <w:pPr>
              <w:spacing w:after="0" w:line="252" w:lineRule="auto"/>
              <w:jc w:val="left"/>
            </w:pPr>
            <w:r>
              <w:rPr>
                <w:b w:val="0"/>
                <w:color w:val="000000"/>
                <w:sz w:val="17"/>
              </w:rPr>
              <w:t>Gate  Ordinary</w:t>
            </w:r>
          </w:p>
        </w:tc>
        <w:tc>
          <w:tcPr>
            <w:tcW w:type="dxa" w:w="1224"/>
            <w:vAlign w:val="center"/>
            <w:tcMar>
              <w:top w:w="75" w:type="dxa"/>
              <w:bottom w:w="75" w:type="dxa"/>
              <w:left w:w="95" w:type="dxa"/>
              <w:right w:w="95" w:type="dxa"/>
            </w:tcMar>
            <w:shd w:fill="FFFFFF"/>
          </w:tcPr>
          <w:p>
            <w:pPr>
              <w:spacing w:after="0" w:line="252" w:lineRule="auto"/>
              <w:jc w:val="center"/>
            </w:pPr>
            <w:r>
              <w:rPr>
                <w:b w:val="0"/>
                <w:color w:val="000000"/>
                <w:sz w:val="17"/>
              </w:rPr>
              <w:t>0.0997</w:t>
            </w:r>
          </w:p>
        </w:tc>
        <w:tc>
          <w:tcPr>
            <w:tcW w:type="dxa" w:w="1224"/>
            <w:vAlign w:val="center"/>
            <w:tcMar>
              <w:top w:w="75" w:type="dxa"/>
              <w:bottom w:w="75" w:type="dxa"/>
              <w:left w:w="95" w:type="dxa"/>
              <w:right w:w="95" w:type="dxa"/>
            </w:tcMar>
            <w:shd w:fill="FFFFFF"/>
          </w:tcPr>
          <w:p>
            <w:pPr>
              <w:spacing w:after="0" w:line="252" w:lineRule="auto"/>
              <w:jc w:val="center"/>
            </w:pPr>
            <w:r>
              <w:rPr>
                <w:b w:val="0"/>
                <w:color w:val="000000"/>
                <w:sz w:val="17"/>
              </w:rPr>
              <w:t>0.0562</w:t>
            </w:r>
          </w:p>
        </w:tc>
        <w:tc>
          <w:tcPr>
            <w:tcW w:type="dxa" w:w="1368"/>
            <w:vAlign w:val="center"/>
            <w:tcMar>
              <w:top w:w="75" w:type="dxa"/>
              <w:bottom w:w="75" w:type="dxa"/>
              <w:left w:w="95" w:type="dxa"/>
              <w:right w:w="95" w:type="dxa"/>
            </w:tcMar>
            <w:shd w:fill="FFFFFF"/>
          </w:tcPr>
          <w:p>
            <w:pPr>
              <w:spacing w:after="0" w:line="252" w:lineRule="auto"/>
              <w:jc w:val="center"/>
            </w:pPr>
            <w:r>
              <w:rPr>
                <w:b w:val="0"/>
                <w:color w:val="000000"/>
                <w:sz w:val="17"/>
              </w:rPr>
              <w:t>0.0776</w:t>
            </w:r>
          </w:p>
        </w:tc>
        <w:tc>
          <w:tcPr>
            <w:tcW w:type="dxa" w:w="3312"/>
            <w:vAlign w:val="center"/>
            <w:tcMar>
              <w:top w:w="75" w:type="dxa"/>
              <w:bottom w:w="75" w:type="dxa"/>
              <w:left w:w="95" w:type="dxa"/>
              <w:right w:w="95" w:type="dxa"/>
            </w:tcMar>
            <w:shd w:fill="FFFFFF"/>
          </w:tcPr>
          <w:p>
            <w:pPr>
              <w:spacing w:after="0" w:line="252" w:lineRule="auto"/>
              <w:jc w:val="center"/>
            </w:pPr>
            <w:r>
              <w:rPr>
                <w:b w:val="0"/>
                <w:color w:val="000000"/>
                <w:sz w:val="17"/>
              </w:rPr>
              <w:t>22.2%  [15.2, 28.5]</w:t>
            </w:r>
          </w:p>
        </w:tc>
      </w:tr>
      <w:tr>
        <w:trPr>
          <w:cantSplit/>
        </w:trPr>
        <w:tc>
          <w:tcPr>
            <w:tcW w:type="dxa" w:w="2808"/>
            <w:vAlign w:val="center"/>
            <w:tcMar>
              <w:top w:w="75" w:type="dxa"/>
              <w:bottom w:w="75" w:type="dxa"/>
              <w:left w:w="95" w:type="dxa"/>
              <w:right w:w="95" w:type="dxa"/>
            </w:tcMar>
            <w:shd w:fill="F4F4F4"/>
          </w:tcPr>
          <w:p>
            <w:pPr>
              <w:spacing w:after="0" w:line="252" w:lineRule="auto"/>
              <w:jc w:val="left"/>
            </w:pPr>
            <w:r>
              <w:rPr>
                <w:b w:val="0"/>
                <w:color w:val="000000"/>
                <w:sz w:val="17"/>
              </w:rPr>
              <w:t>Gate  Long gap</w:t>
            </w:r>
          </w:p>
        </w:tc>
        <w:tc>
          <w:tcPr>
            <w:tcW w:type="dxa" w:w="1224"/>
            <w:vAlign w:val="center"/>
            <w:tcMar>
              <w:top w:w="75" w:type="dxa"/>
              <w:bottom w:w="75" w:type="dxa"/>
              <w:left w:w="95" w:type="dxa"/>
              <w:right w:w="95" w:type="dxa"/>
            </w:tcMar>
            <w:shd w:fill="F4F4F4"/>
          </w:tcPr>
          <w:p>
            <w:pPr>
              <w:spacing w:after="0" w:line="252" w:lineRule="auto"/>
              <w:jc w:val="center"/>
            </w:pPr>
            <w:r>
              <w:rPr>
                <w:b w:val="0"/>
                <w:color w:val="000000"/>
                <w:sz w:val="17"/>
              </w:rPr>
              <w:t>0.0995</w:t>
            </w:r>
          </w:p>
        </w:tc>
        <w:tc>
          <w:tcPr>
            <w:tcW w:type="dxa" w:w="1224"/>
            <w:vAlign w:val="center"/>
            <w:tcMar>
              <w:top w:w="75" w:type="dxa"/>
              <w:bottom w:w="75" w:type="dxa"/>
              <w:left w:w="95" w:type="dxa"/>
              <w:right w:w="95" w:type="dxa"/>
            </w:tcMar>
            <w:shd w:fill="F4F4F4"/>
          </w:tcPr>
          <w:p>
            <w:pPr>
              <w:spacing w:after="0" w:line="252" w:lineRule="auto"/>
              <w:jc w:val="center"/>
            </w:pPr>
            <w:r>
              <w:rPr>
                <w:b w:val="0"/>
                <w:color w:val="000000"/>
                <w:sz w:val="17"/>
              </w:rPr>
              <w:t>0.0960</w:t>
            </w:r>
          </w:p>
        </w:tc>
        <w:tc>
          <w:tcPr>
            <w:tcW w:type="dxa" w:w="1368"/>
            <w:vAlign w:val="center"/>
            <w:tcMar>
              <w:top w:w="75" w:type="dxa"/>
              <w:bottom w:w="75" w:type="dxa"/>
              <w:left w:w="95" w:type="dxa"/>
              <w:right w:w="95" w:type="dxa"/>
            </w:tcMar>
            <w:shd w:fill="F4F4F4"/>
          </w:tcPr>
          <w:p>
            <w:pPr>
              <w:spacing w:after="0" w:line="252" w:lineRule="auto"/>
              <w:jc w:val="center"/>
            </w:pPr>
            <w:r>
              <w:rPr>
                <w:b w:val="0"/>
                <w:color w:val="000000"/>
                <w:sz w:val="17"/>
              </w:rPr>
              <w:t>0.0737</w:t>
            </w:r>
          </w:p>
        </w:tc>
        <w:tc>
          <w:tcPr>
            <w:tcW w:type="dxa" w:w="3312"/>
            <w:vAlign w:val="center"/>
            <w:tcMar>
              <w:top w:w="75" w:type="dxa"/>
              <w:bottom w:w="75" w:type="dxa"/>
              <w:left w:w="95" w:type="dxa"/>
              <w:right w:w="95" w:type="dxa"/>
            </w:tcMar>
            <w:shd w:fill="F4F4F4"/>
          </w:tcPr>
          <w:p>
            <w:pPr>
              <w:spacing w:after="0" w:line="252" w:lineRule="auto"/>
              <w:jc w:val="center"/>
            </w:pPr>
            <w:r>
              <w:rPr>
                <w:b w:val="0"/>
                <w:color w:val="000000"/>
                <w:sz w:val="17"/>
              </w:rPr>
              <w:t>26.0%  [20.0, 31.9]</w:t>
            </w:r>
          </w:p>
        </w:tc>
      </w:tr>
      <w:tr>
        <w:trPr>
          <w:cantSplit/>
        </w:trPr>
        <w:tc>
          <w:tcPr>
            <w:tcW w:type="dxa" w:w="2808"/>
            <w:vAlign w:val="center"/>
            <w:tcMar>
              <w:top w:w="75" w:type="dxa"/>
              <w:bottom w:w="75" w:type="dxa"/>
              <w:left w:w="95" w:type="dxa"/>
              <w:right w:w="95" w:type="dxa"/>
            </w:tcMar>
            <w:shd w:fill="FFFFFF"/>
          </w:tcPr>
          <w:p>
            <w:pPr>
              <w:spacing w:after="0" w:line="252" w:lineRule="auto"/>
              <w:jc w:val="left"/>
            </w:pPr>
            <w:r>
              <w:rPr>
                <w:b w:val="0"/>
                <w:color w:val="000000"/>
                <w:sz w:val="17"/>
              </w:rPr>
              <w:t>Gate  Distractor shift</w:t>
            </w:r>
          </w:p>
        </w:tc>
        <w:tc>
          <w:tcPr>
            <w:tcW w:type="dxa" w:w="1224"/>
            <w:vAlign w:val="center"/>
            <w:tcMar>
              <w:top w:w="75" w:type="dxa"/>
              <w:bottom w:w="75" w:type="dxa"/>
              <w:left w:w="95" w:type="dxa"/>
              <w:right w:w="95" w:type="dxa"/>
            </w:tcMar>
            <w:shd w:fill="FFFFFF"/>
          </w:tcPr>
          <w:p>
            <w:pPr>
              <w:spacing w:after="0" w:line="252" w:lineRule="auto"/>
              <w:jc w:val="center"/>
            </w:pPr>
            <w:r>
              <w:rPr>
                <w:b w:val="0"/>
                <w:color w:val="000000"/>
                <w:sz w:val="17"/>
              </w:rPr>
              <w:t>0.1385</w:t>
            </w:r>
          </w:p>
        </w:tc>
        <w:tc>
          <w:tcPr>
            <w:tcW w:type="dxa" w:w="1224"/>
            <w:vAlign w:val="center"/>
            <w:tcMar>
              <w:top w:w="75" w:type="dxa"/>
              <w:bottom w:w="75" w:type="dxa"/>
              <w:left w:w="95" w:type="dxa"/>
              <w:right w:w="95" w:type="dxa"/>
            </w:tcMar>
            <w:shd w:fill="FFFFFF"/>
          </w:tcPr>
          <w:p>
            <w:pPr>
              <w:spacing w:after="0" w:line="252" w:lineRule="auto"/>
              <w:jc w:val="center"/>
            </w:pPr>
            <w:r>
              <w:rPr>
                <w:b w:val="0"/>
                <w:color w:val="000000"/>
                <w:sz w:val="17"/>
              </w:rPr>
              <w:t>0.1003</w:t>
            </w:r>
          </w:p>
        </w:tc>
        <w:tc>
          <w:tcPr>
            <w:tcW w:type="dxa" w:w="1368"/>
            <w:vAlign w:val="center"/>
            <w:tcMar>
              <w:top w:w="75" w:type="dxa"/>
              <w:bottom w:w="75" w:type="dxa"/>
              <w:left w:w="95" w:type="dxa"/>
              <w:right w:w="95" w:type="dxa"/>
            </w:tcMar>
            <w:shd w:fill="FFFFFF"/>
          </w:tcPr>
          <w:p>
            <w:pPr>
              <w:spacing w:after="0" w:line="252" w:lineRule="auto"/>
              <w:jc w:val="center"/>
            </w:pPr>
            <w:r>
              <w:rPr>
                <w:b w:val="0"/>
                <w:color w:val="000000"/>
                <w:sz w:val="17"/>
              </w:rPr>
              <w:t>0.1196</w:t>
            </w:r>
          </w:p>
        </w:tc>
        <w:tc>
          <w:tcPr>
            <w:tcW w:type="dxa" w:w="3312"/>
            <w:vAlign w:val="center"/>
            <w:tcMar>
              <w:top w:w="75" w:type="dxa"/>
              <w:bottom w:w="75" w:type="dxa"/>
              <w:left w:w="95" w:type="dxa"/>
              <w:right w:w="95" w:type="dxa"/>
            </w:tcMar>
            <w:shd w:fill="FFFFFF"/>
          </w:tcPr>
          <w:p>
            <w:pPr>
              <w:spacing w:after="0" w:line="252" w:lineRule="auto"/>
              <w:jc w:val="center"/>
            </w:pPr>
            <w:r>
              <w:rPr>
                <w:b w:val="0"/>
                <w:color w:val="000000"/>
                <w:sz w:val="17"/>
              </w:rPr>
              <w:t>13.7%  [10.3, 17.1]</w:t>
            </w:r>
          </w:p>
        </w:tc>
      </w:tr>
      <w:tr>
        <w:trPr>
          <w:cantSplit/>
        </w:trPr>
        <w:tc>
          <w:tcPr>
            <w:tcW w:type="dxa" w:w="2808"/>
            <w:vAlign w:val="center"/>
            <w:tcMar>
              <w:top w:w="75" w:type="dxa"/>
              <w:bottom w:w="75" w:type="dxa"/>
              <w:left w:w="95" w:type="dxa"/>
              <w:right w:w="95" w:type="dxa"/>
            </w:tcMar>
            <w:shd w:fill="F4F4F4"/>
          </w:tcPr>
          <w:p>
            <w:pPr>
              <w:spacing w:after="0" w:line="252" w:lineRule="auto"/>
              <w:jc w:val="left"/>
            </w:pPr>
            <w:r>
              <w:rPr>
                <w:b w:val="0"/>
                <w:color w:val="000000"/>
                <w:sz w:val="17"/>
              </w:rPr>
              <w:t>Motion  Ordinary</w:t>
            </w:r>
          </w:p>
        </w:tc>
        <w:tc>
          <w:tcPr>
            <w:tcW w:type="dxa" w:w="1224"/>
            <w:vAlign w:val="center"/>
            <w:tcMar>
              <w:top w:w="75" w:type="dxa"/>
              <w:bottom w:w="75" w:type="dxa"/>
              <w:left w:w="95" w:type="dxa"/>
              <w:right w:w="95" w:type="dxa"/>
            </w:tcMar>
            <w:shd w:fill="F4F4F4"/>
          </w:tcPr>
          <w:p>
            <w:pPr>
              <w:spacing w:after="0" w:line="252" w:lineRule="auto"/>
              <w:jc w:val="center"/>
            </w:pPr>
            <w:r>
              <w:rPr>
                <w:b w:val="0"/>
                <w:color w:val="000000"/>
                <w:sz w:val="17"/>
              </w:rPr>
              <w:t>0.1526</w:t>
            </w:r>
          </w:p>
        </w:tc>
        <w:tc>
          <w:tcPr>
            <w:tcW w:type="dxa" w:w="1224"/>
            <w:vAlign w:val="center"/>
            <w:tcMar>
              <w:top w:w="75" w:type="dxa"/>
              <w:bottom w:w="75" w:type="dxa"/>
              <w:left w:w="95" w:type="dxa"/>
              <w:right w:w="95" w:type="dxa"/>
            </w:tcMar>
            <w:shd w:fill="F4F4F4"/>
          </w:tcPr>
          <w:p>
            <w:pPr>
              <w:spacing w:after="0" w:line="252" w:lineRule="auto"/>
              <w:jc w:val="center"/>
            </w:pPr>
            <w:r>
              <w:rPr>
                <w:b w:val="0"/>
                <w:color w:val="000000"/>
                <w:sz w:val="17"/>
              </w:rPr>
              <w:t>0.0995</w:t>
            </w:r>
          </w:p>
        </w:tc>
        <w:tc>
          <w:tcPr>
            <w:tcW w:type="dxa" w:w="1368"/>
            <w:vAlign w:val="center"/>
            <w:tcMar>
              <w:top w:w="75" w:type="dxa"/>
              <w:bottom w:w="75" w:type="dxa"/>
              <w:left w:w="95" w:type="dxa"/>
              <w:right w:w="95" w:type="dxa"/>
            </w:tcMar>
            <w:shd w:fill="F4F4F4"/>
          </w:tcPr>
          <w:p>
            <w:pPr>
              <w:spacing w:after="0" w:line="252" w:lineRule="auto"/>
              <w:jc w:val="center"/>
            </w:pPr>
            <w:r>
              <w:rPr>
                <w:b w:val="0"/>
                <w:color w:val="000000"/>
                <w:sz w:val="17"/>
              </w:rPr>
              <w:t>0.1161</w:t>
            </w:r>
          </w:p>
        </w:tc>
        <w:tc>
          <w:tcPr>
            <w:tcW w:type="dxa" w:w="3312"/>
            <w:vAlign w:val="center"/>
            <w:tcMar>
              <w:top w:w="75" w:type="dxa"/>
              <w:bottom w:w="75" w:type="dxa"/>
              <w:left w:w="95" w:type="dxa"/>
              <w:right w:w="95" w:type="dxa"/>
            </w:tcMar>
            <w:shd w:fill="F4F4F4"/>
          </w:tcPr>
          <w:p>
            <w:pPr>
              <w:spacing w:after="0" w:line="252" w:lineRule="auto"/>
              <w:jc w:val="center"/>
            </w:pPr>
            <w:r>
              <w:rPr>
                <w:b w:val="0"/>
                <w:color w:val="000000"/>
                <w:sz w:val="17"/>
              </w:rPr>
              <w:t>23.9%  [21.7, 26.1]</w:t>
            </w:r>
          </w:p>
        </w:tc>
      </w:tr>
      <w:tr>
        <w:trPr>
          <w:cantSplit/>
        </w:trPr>
        <w:tc>
          <w:tcPr>
            <w:tcW w:type="dxa" w:w="2808"/>
            <w:vAlign w:val="center"/>
            <w:tcMar>
              <w:top w:w="75" w:type="dxa"/>
              <w:bottom w:w="75" w:type="dxa"/>
              <w:left w:w="95" w:type="dxa"/>
              <w:right w:w="95" w:type="dxa"/>
            </w:tcMar>
            <w:shd w:fill="FFFFFF"/>
          </w:tcPr>
          <w:p>
            <w:pPr>
              <w:spacing w:after="0" w:line="252" w:lineRule="auto"/>
              <w:jc w:val="left"/>
            </w:pPr>
            <w:r>
              <w:rPr>
                <w:b w:val="0"/>
                <w:color w:val="000000"/>
                <w:sz w:val="17"/>
              </w:rPr>
              <w:t>Motion  Long gap</w:t>
            </w:r>
          </w:p>
        </w:tc>
        <w:tc>
          <w:tcPr>
            <w:tcW w:type="dxa" w:w="1224"/>
            <w:vAlign w:val="center"/>
            <w:tcMar>
              <w:top w:w="75" w:type="dxa"/>
              <w:bottom w:w="75" w:type="dxa"/>
              <w:left w:w="95" w:type="dxa"/>
              <w:right w:w="95" w:type="dxa"/>
            </w:tcMar>
            <w:shd w:fill="FFFFFF"/>
          </w:tcPr>
          <w:p>
            <w:pPr>
              <w:spacing w:after="0" w:line="252" w:lineRule="auto"/>
              <w:jc w:val="center"/>
            </w:pPr>
            <w:r>
              <w:rPr>
                <w:b w:val="0"/>
                <w:color w:val="000000"/>
                <w:sz w:val="17"/>
              </w:rPr>
              <w:t>0.1831</w:t>
            </w:r>
          </w:p>
        </w:tc>
        <w:tc>
          <w:tcPr>
            <w:tcW w:type="dxa" w:w="1224"/>
            <w:vAlign w:val="center"/>
            <w:tcMar>
              <w:top w:w="75" w:type="dxa"/>
              <w:bottom w:w="75" w:type="dxa"/>
              <w:left w:w="95" w:type="dxa"/>
              <w:right w:w="95" w:type="dxa"/>
            </w:tcMar>
            <w:shd w:fill="FFFFFF"/>
          </w:tcPr>
          <w:p>
            <w:pPr>
              <w:spacing w:after="0" w:line="252" w:lineRule="auto"/>
              <w:jc w:val="center"/>
            </w:pPr>
            <w:r>
              <w:rPr>
                <w:b w:val="0"/>
                <w:color w:val="000000"/>
                <w:sz w:val="17"/>
              </w:rPr>
              <w:t>0.1879</w:t>
            </w:r>
          </w:p>
        </w:tc>
        <w:tc>
          <w:tcPr>
            <w:tcW w:type="dxa" w:w="1368"/>
            <w:vAlign w:val="center"/>
            <w:tcMar>
              <w:top w:w="75" w:type="dxa"/>
              <w:bottom w:w="75" w:type="dxa"/>
              <w:left w:w="95" w:type="dxa"/>
              <w:right w:w="95" w:type="dxa"/>
            </w:tcMar>
            <w:shd w:fill="FFFFFF"/>
          </w:tcPr>
          <w:p>
            <w:pPr>
              <w:spacing w:after="0" w:line="252" w:lineRule="auto"/>
              <w:jc w:val="center"/>
            </w:pPr>
            <w:r>
              <w:rPr>
                <w:b w:val="0"/>
                <w:color w:val="000000"/>
                <w:sz w:val="17"/>
              </w:rPr>
              <w:t>0.1804</w:t>
            </w:r>
          </w:p>
        </w:tc>
        <w:tc>
          <w:tcPr>
            <w:tcW w:type="dxa" w:w="3312"/>
            <w:vAlign w:val="center"/>
            <w:tcMar>
              <w:top w:w="75" w:type="dxa"/>
              <w:bottom w:w="75" w:type="dxa"/>
              <w:left w:w="95" w:type="dxa"/>
              <w:right w:w="95" w:type="dxa"/>
            </w:tcMar>
            <w:shd w:fill="FFFFFF"/>
          </w:tcPr>
          <w:p>
            <w:pPr>
              <w:spacing w:after="0" w:line="252" w:lineRule="auto"/>
              <w:jc w:val="center"/>
            </w:pPr>
            <w:r>
              <w:rPr>
                <w:b w:val="0"/>
                <w:color w:val="000000"/>
                <w:sz w:val="17"/>
              </w:rPr>
              <w:t>1.5%  [-1.5, 4.6]</w:t>
            </w:r>
          </w:p>
        </w:tc>
      </w:tr>
      <w:tr>
        <w:trPr>
          <w:cantSplit/>
        </w:trPr>
        <w:tc>
          <w:tcPr>
            <w:tcW w:type="dxa" w:w="2808"/>
            <w:vAlign w:val="center"/>
            <w:tcMar>
              <w:top w:w="75" w:type="dxa"/>
              <w:bottom w:w="75" w:type="dxa"/>
              <w:left w:w="95" w:type="dxa"/>
              <w:right w:w="95" w:type="dxa"/>
            </w:tcMar>
            <w:shd w:fill="F4F4F4"/>
          </w:tcPr>
          <w:p>
            <w:pPr>
              <w:spacing w:after="0" w:line="252" w:lineRule="auto"/>
              <w:jc w:val="left"/>
            </w:pPr>
            <w:r>
              <w:rPr>
                <w:b w:val="0"/>
                <w:color w:val="000000"/>
                <w:sz w:val="17"/>
              </w:rPr>
              <w:t>Motion  Distractor shift</w:t>
            </w:r>
          </w:p>
        </w:tc>
        <w:tc>
          <w:tcPr>
            <w:tcW w:type="dxa" w:w="1224"/>
            <w:vAlign w:val="center"/>
            <w:tcMar>
              <w:top w:w="75" w:type="dxa"/>
              <w:bottom w:w="75" w:type="dxa"/>
              <w:left w:w="95" w:type="dxa"/>
              <w:right w:w="95" w:type="dxa"/>
            </w:tcMar>
            <w:shd w:fill="F4F4F4"/>
          </w:tcPr>
          <w:p>
            <w:pPr>
              <w:spacing w:after="0" w:line="252" w:lineRule="auto"/>
              <w:jc w:val="center"/>
            </w:pPr>
            <w:r>
              <w:rPr>
                <w:b w:val="0"/>
                <w:color w:val="000000"/>
                <w:sz w:val="17"/>
              </w:rPr>
              <w:t>0.2908</w:t>
            </w:r>
          </w:p>
        </w:tc>
        <w:tc>
          <w:tcPr>
            <w:tcW w:type="dxa" w:w="1224"/>
            <w:vAlign w:val="center"/>
            <w:tcMar>
              <w:top w:w="75" w:type="dxa"/>
              <w:bottom w:w="75" w:type="dxa"/>
              <w:left w:w="95" w:type="dxa"/>
              <w:right w:w="95" w:type="dxa"/>
            </w:tcMar>
            <w:shd w:fill="F4F4F4"/>
          </w:tcPr>
          <w:p>
            <w:pPr>
              <w:spacing w:after="0" w:line="252" w:lineRule="auto"/>
              <w:jc w:val="center"/>
            </w:pPr>
            <w:r>
              <w:rPr>
                <w:b w:val="0"/>
                <w:color w:val="000000"/>
                <w:sz w:val="17"/>
              </w:rPr>
              <w:t>0.2713</w:t>
            </w:r>
          </w:p>
        </w:tc>
        <w:tc>
          <w:tcPr>
            <w:tcW w:type="dxa" w:w="1368"/>
            <w:vAlign w:val="center"/>
            <w:tcMar>
              <w:top w:w="75" w:type="dxa"/>
              <w:bottom w:w="75" w:type="dxa"/>
              <w:left w:w="95" w:type="dxa"/>
              <w:right w:w="95" w:type="dxa"/>
            </w:tcMar>
            <w:shd w:fill="F4F4F4"/>
          </w:tcPr>
          <w:p>
            <w:pPr>
              <w:spacing w:after="0" w:line="252" w:lineRule="auto"/>
              <w:jc w:val="center"/>
            </w:pPr>
            <w:r>
              <w:rPr>
                <w:b w:val="0"/>
                <w:color w:val="000000"/>
                <w:sz w:val="17"/>
              </w:rPr>
              <w:t>0.2726</w:t>
            </w:r>
          </w:p>
        </w:tc>
        <w:tc>
          <w:tcPr>
            <w:tcW w:type="dxa" w:w="3312"/>
            <w:vAlign w:val="center"/>
            <w:tcMar>
              <w:top w:w="75" w:type="dxa"/>
              <w:bottom w:w="75" w:type="dxa"/>
              <w:left w:w="95" w:type="dxa"/>
              <w:right w:w="95" w:type="dxa"/>
            </w:tcMar>
            <w:shd w:fill="F4F4F4"/>
          </w:tcPr>
          <w:p>
            <w:pPr>
              <w:spacing w:after="0" w:line="252" w:lineRule="auto"/>
              <w:jc w:val="center"/>
            </w:pPr>
            <w:r>
              <w:rPr>
                <w:b w:val="0"/>
                <w:color w:val="000000"/>
                <w:sz w:val="17"/>
              </w:rPr>
              <w:t>6.3%  [4.3, 8.3]</w:t>
            </w:r>
          </w:p>
        </w:tc>
      </w:tr>
    </w:tbl>
    <w:p>
      <w:pPr>
        <w:spacing w:after="0"/>
      </w:pPr>
    </w:p>
    <w:p>
      <w:pPr>
        <w:pStyle w:val="Caption"/>
      </w:pPr>
      <w:r>
        <w:t>Six-step normalized feature errors, averaged over three seeds. The last column compares privileged two-memory prediction with recent only. Full history uses more memory and is an information reference, not a capacity-matched competitor. Data: D1.</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6192"/>
        <w:gridCol w:w="1872"/>
        <w:gridCol w:w="1872"/>
      </w:tblGrid>
      <w:tr>
        <w:trPr>
          <w:cantSplit/>
          <w:tblHeader/>
        </w:trPr>
        <w:tc>
          <w:tcPr>
            <w:tcW w:type="dxa" w:w="6192"/>
            <w:vAlign w:val="center"/>
            <w:tcMar>
              <w:top w:w="75" w:type="dxa"/>
              <w:bottom w:w="75" w:type="dxa"/>
              <w:left w:w="95" w:type="dxa"/>
              <w:right w:w="95" w:type="dxa"/>
            </w:tcMar>
            <w:shd w:fill="333333"/>
          </w:tcPr>
          <w:p>
            <w:pPr>
              <w:spacing w:after="0" w:line="252" w:lineRule="auto"/>
              <w:jc w:val="left"/>
            </w:pPr>
            <w:r>
              <w:rPr>
                <w:b/>
                <w:color w:val="FFFFFF"/>
                <w:sz w:val="18"/>
              </w:rPr>
              <w:t>Evidence check</w:t>
            </w:r>
          </w:p>
        </w:tc>
        <w:tc>
          <w:tcPr>
            <w:tcW w:type="dxa" w:w="1872"/>
            <w:vAlign w:val="center"/>
            <w:tcMar>
              <w:top w:w="75" w:type="dxa"/>
              <w:bottom w:w="75" w:type="dxa"/>
              <w:left w:w="95" w:type="dxa"/>
              <w:right w:w="95" w:type="dxa"/>
            </w:tcMar>
            <w:shd w:fill="333333"/>
          </w:tcPr>
          <w:p>
            <w:pPr>
              <w:spacing w:after="0" w:line="252" w:lineRule="auto"/>
              <w:jc w:val="center"/>
            </w:pPr>
            <w:r>
              <w:rPr>
                <w:b/>
                <w:color w:val="FFFFFF"/>
                <w:sz w:val="18"/>
              </w:rPr>
              <w:t>Gate coverage</w:t>
            </w:r>
          </w:p>
        </w:tc>
        <w:tc>
          <w:tcPr>
            <w:tcW w:type="dxa" w:w="1872"/>
            <w:vAlign w:val="center"/>
            <w:tcMar>
              <w:top w:w="75" w:type="dxa"/>
              <w:bottom w:w="75" w:type="dxa"/>
              <w:left w:w="95" w:type="dxa"/>
              <w:right w:w="95" w:type="dxa"/>
            </w:tcMar>
            <w:shd w:fill="333333"/>
          </w:tcPr>
          <w:p>
            <w:pPr>
              <w:spacing w:after="0" w:line="252" w:lineRule="auto"/>
              <w:jc w:val="center"/>
            </w:pPr>
            <w:r>
              <w:rPr>
                <w:b/>
                <w:color w:val="FFFFFF"/>
                <w:sz w:val="18"/>
              </w:rPr>
              <w:t>Motion coverage</w:t>
            </w:r>
          </w:p>
        </w:tc>
      </w:tr>
      <w:tr>
        <w:trPr>
          <w:cantSplit/>
        </w:trPr>
        <w:tc>
          <w:tcPr>
            <w:tcW w:type="dxa" w:w="6192"/>
            <w:vAlign w:val="center"/>
            <w:tcMar>
              <w:top w:w="75" w:type="dxa"/>
              <w:bottom w:w="75" w:type="dxa"/>
              <w:left w:w="95" w:type="dxa"/>
              <w:right w:w="95" w:type="dxa"/>
            </w:tcMar>
            <w:shd w:fill="FFFFFF"/>
          </w:tcPr>
          <w:p>
            <w:pPr>
              <w:spacing w:after="0" w:line="252" w:lineRule="auto"/>
              <w:jc w:val="left"/>
            </w:pPr>
            <w:r>
              <w:rPr>
                <w:b w:val="0"/>
                <w:color w:val="000000"/>
                <w:sz w:val="18"/>
              </w:rPr>
              <w:t>Evidence readable from features</w:t>
            </w:r>
          </w:p>
        </w:tc>
        <w:tc>
          <w:tcPr>
            <w:tcW w:type="dxa" w:w="1872"/>
            <w:vAlign w:val="center"/>
            <w:tcMar>
              <w:top w:w="75" w:type="dxa"/>
              <w:bottom w:w="75" w:type="dxa"/>
              <w:left w:w="95" w:type="dxa"/>
              <w:right w:w="95" w:type="dxa"/>
            </w:tcMar>
            <w:shd w:fill="FFFFFF"/>
          </w:tcPr>
          <w:p>
            <w:pPr>
              <w:spacing w:after="0" w:line="252" w:lineRule="auto"/>
              <w:jc w:val="center"/>
            </w:pPr>
            <w:r>
              <w:rPr>
                <w:b w:val="0"/>
                <w:color w:val="000000"/>
                <w:sz w:val="18"/>
              </w:rPr>
              <w:t>3 / 3 pass</w:t>
            </w:r>
          </w:p>
        </w:tc>
        <w:tc>
          <w:tcPr>
            <w:tcW w:type="dxa" w:w="1872"/>
            <w:vAlign w:val="center"/>
            <w:tcMar>
              <w:top w:w="75" w:type="dxa"/>
              <w:bottom w:w="75" w:type="dxa"/>
              <w:left w:w="95" w:type="dxa"/>
              <w:right w:w="95" w:type="dxa"/>
            </w:tcMar>
            <w:shd w:fill="FFFFFF"/>
          </w:tcPr>
          <w:p>
            <w:pPr>
              <w:spacing w:after="0" w:line="252" w:lineRule="auto"/>
              <w:jc w:val="center"/>
            </w:pPr>
            <w:r>
              <w:rPr>
                <w:b w:val="0"/>
                <w:color w:val="000000"/>
                <w:sz w:val="18"/>
              </w:rPr>
              <w:t>3 / 3 pass</w:t>
            </w:r>
          </w:p>
        </w:tc>
      </w:tr>
      <w:tr>
        <w:trPr>
          <w:cantSplit/>
        </w:trPr>
        <w:tc>
          <w:tcPr>
            <w:tcW w:type="dxa" w:w="6192"/>
            <w:vAlign w:val="center"/>
            <w:tcMar>
              <w:top w:w="75" w:type="dxa"/>
              <w:bottom w:w="75" w:type="dxa"/>
              <w:left w:w="95" w:type="dxa"/>
              <w:right w:w="95" w:type="dxa"/>
            </w:tcMar>
            <w:shd w:fill="F4F4F4"/>
          </w:tcPr>
          <w:p>
            <w:pPr>
              <w:spacing w:after="0" w:line="252" w:lineRule="auto"/>
              <w:jc w:val="left"/>
            </w:pPr>
            <w:r>
              <w:rPr>
                <w:b w:val="0"/>
                <w:color w:val="000000"/>
                <w:sz w:val="18"/>
              </w:rPr>
              <w:t>Privileged history benefit under original task rules</w:t>
            </w:r>
          </w:p>
        </w:tc>
        <w:tc>
          <w:tcPr>
            <w:tcW w:type="dxa" w:w="1872"/>
            <w:vAlign w:val="center"/>
            <w:tcMar>
              <w:top w:w="75" w:type="dxa"/>
              <w:bottom w:w="75" w:type="dxa"/>
              <w:left w:w="95" w:type="dxa"/>
              <w:right w:w="95" w:type="dxa"/>
            </w:tcMar>
            <w:shd w:fill="F4F4F4"/>
          </w:tcPr>
          <w:p>
            <w:pPr>
              <w:spacing w:after="0" w:line="252" w:lineRule="auto"/>
              <w:jc w:val="center"/>
            </w:pPr>
            <w:r>
              <w:rPr>
                <w:b w:val="0"/>
                <w:color w:val="000000"/>
                <w:sz w:val="18"/>
              </w:rPr>
              <w:t>23 / 24 pass</w:t>
            </w:r>
          </w:p>
        </w:tc>
        <w:tc>
          <w:tcPr>
            <w:tcW w:type="dxa" w:w="1872"/>
            <w:vAlign w:val="center"/>
            <w:tcMar>
              <w:top w:w="75" w:type="dxa"/>
              <w:bottom w:w="75" w:type="dxa"/>
              <w:left w:w="95" w:type="dxa"/>
              <w:right w:w="95" w:type="dxa"/>
            </w:tcMar>
            <w:shd w:fill="F4F4F4"/>
          </w:tcPr>
          <w:p>
            <w:pPr>
              <w:spacing w:after="0" w:line="252" w:lineRule="auto"/>
              <w:jc w:val="center"/>
            </w:pPr>
            <w:r>
              <w:rPr>
                <w:b w:val="0"/>
                <w:color w:val="000000"/>
                <w:sz w:val="18"/>
              </w:rPr>
              <w:t>8 / 24 pass</w:t>
            </w:r>
          </w:p>
        </w:tc>
      </w:tr>
      <w:tr>
        <w:trPr>
          <w:cantSplit/>
        </w:trPr>
        <w:tc>
          <w:tcPr>
            <w:tcW w:type="dxa" w:w="6192"/>
            <w:vAlign w:val="center"/>
            <w:tcMar>
              <w:top w:w="75" w:type="dxa"/>
              <w:bottom w:w="75" w:type="dxa"/>
              <w:left w:w="95" w:type="dxa"/>
              <w:right w:w="95" w:type="dxa"/>
            </w:tcMar>
            <w:shd w:fill="FFFFFF"/>
          </w:tcPr>
          <w:p>
            <w:pPr>
              <w:spacing w:after="0" w:line="252" w:lineRule="auto"/>
              <w:jc w:val="left"/>
            </w:pPr>
            <w:r>
              <w:rPr>
                <w:b w:val="0"/>
                <w:color w:val="000000"/>
                <w:sz w:val="18"/>
              </w:rPr>
              <w:t>Response to historical content intervention</w:t>
            </w:r>
          </w:p>
        </w:tc>
        <w:tc>
          <w:tcPr>
            <w:tcW w:type="dxa" w:w="1872"/>
            <w:vAlign w:val="center"/>
            <w:tcMar>
              <w:top w:w="75" w:type="dxa"/>
              <w:bottom w:w="75" w:type="dxa"/>
              <w:left w:w="95" w:type="dxa"/>
              <w:right w:w="95" w:type="dxa"/>
            </w:tcMar>
            <w:shd w:fill="FFFFFF"/>
          </w:tcPr>
          <w:p>
            <w:pPr>
              <w:spacing w:after="0" w:line="252" w:lineRule="auto"/>
              <w:jc w:val="center"/>
            </w:pPr>
            <w:r>
              <w:rPr>
                <w:b w:val="0"/>
                <w:color w:val="000000"/>
                <w:sz w:val="18"/>
              </w:rPr>
              <w:t>24 / 24 pass</w:t>
            </w:r>
          </w:p>
        </w:tc>
        <w:tc>
          <w:tcPr>
            <w:tcW w:type="dxa" w:w="1872"/>
            <w:vAlign w:val="center"/>
            <w:tcMar>
              <w:top w:w="75" w:type="dxa"/>
              <w:bottom w:w="75" w:type="dxa"/>
              <w:left w:w="95" w:type="dxa"/>
              <w:right w:w="95" w:type="dxa"/>
            </w:tcMar>
            <w:shd w:fill="FFFFFF"/>
          </w:tcPr>
          <w:p>
            <w:pPr>
              <w:spacing w:after="0" w:line="252" w:lineRule="auto"/>
              <w:jc w:val="center"/>
            </w:pPr>
            <w:r>
              <w:rPr>
                <w:b w:val="0"/>
                <w:color w:val="000000"/>
                <w:sz w:val="18"/>
              </w:rPr>
              <w:t>24 / 24 pass</w:t>
            </w:r>
          </w:p>
        </w:tc>
      </w:tr>
      <w:tr>
        <w:trPr>
          <w:cantSplit/>
        </w:trPr>
        <w:tc>
          <w:tcPr>
            <w:tcW w:type="dxa" w:w="6192"/>
            <w:vAlign w:val="center"/>
            <w:tcMar>
              <w:top w:w="75" w:type="dxa"/>
              <w:bottom w:w="75" w:type="dxa"/>
              <w:left w:w="95" w:type="dxa"/>
              <w:right w:w="95" w:type="dxa"/>
            </w:tcMar>
            <w:shd w:fill="F4F4F4"/>
          </w:tcPr>
          <w:p>
            <w:pPr>
              <w:spacing w:after="0" w:line="252" w:lineRule="auto"/>
              <w:jc w:val="left"/>
            </w:pPr>
            <w:r>
              <w:rPr>
                <w:b w:val="0"/>
                <w:color w:val="000000"/>
                <w:sz w:val="18"/>
              </w:rPr>
              <w:t>Fixed recent-reference feature comparisons</w:t>
            </w:r>
          </w:p>
        </w:tc>
        <w:tc>
          <w:tcPr>
            <w:tcW w:type="dxa" w:w="1872"/>
            <w:vAlign w:val="center"/>
            <w:tcMar>
              <w:top w:w="75" w:type="dxa"/>
              <w:bottom w:w="75" w:type="dxa"/>
              <w:left w:w="95" w:type="dxa"/>
              <w:right w:w="95" w:type="dxa"/>
            </w:tcMar>
            <w:shd w:fill="F4F4F4"/>
          </w:tcPr>
          <w:p>
            <w:pPr>
              <w:spacing w:after="0" w:line="252" w:lineRule="auto"/>
              <w:jc w:val="center"/>
            </w:pPr>
            <w:r>
              <w:rPr>
                <w:b w:val="0"/>
                <w:color w:val="000000"/>
                <w:sz w:val="18"/>
              </w:rPr>
              <w:t>24 / 24 pass</w:t>
            </w:r>
          </w:p>
        </w:tc>
        <w:tc>
          <w:tcPr>
            <w:tcW w:type="dxa" w:w="1872"/>
            <w:vAlign w:val="center"/>
            <w:tcMar>
              <w:top w:w="75" w:type="dxa"/>
              <w:bottom w:w="75" w:type="dxa"/>
              <w:left w:w="95" w:type="dxa"/>
              <w:right w:w="95" w:type="dxa"/>
            </w:tcMar>
            <w:shd w:fill="F4F4F4"/>
          </w:tcPr>
          <w:p>
            <w:pPr>
              <w:spacing w:after="0" w:line="252" w:lineRule="auto"/>
              <w:jc w:val="center"/>
            </w:pPr>
            <w:r>
              <w:rPr>
                <w:b w:val="0"/>
                <w:color w:val="000000"/>
                <w:sz w:val="18"/>
              </w:rPr>
              <w:t>8 / 24 pass</w:t>
            </w:r>
          </w:p>
        </w:tc>
      </w:tr>
      <w:tr>
        <w:trPr>
          <w:cantSplit/>
        </w:trPr>
        <w:tc>
          <w:tcPr>
            <w:tcW w:type="dxa" w:w="6192"/>
            <w:vAlign w:val="center"/>
            <w:tcMar>
              <w:top w:w="75" w:type="dxa"/>
              <w:bottom w:w="75" w:type="dxa"/>
              <w:left w:w="95" w:type="dxa"/>
              <w:right w:w="95" w:type="dxa"/>
            </w:tcMar>
            <w:shd w:fill="FFFFFF"/>
          </w:tcPr>
          <w:p>
            <w:pPr>
              <w:spacing w:after="0" w:line="252" w:lineRule="auto"/>
              <w:jc w:val="left"/>
            </w:pPr>
            <w:r>
              <w:rPr>
                <w:b w:val="0"/>
                <w:color w:val="000000"/>
                <w:sz w:val="18"/>
              </w:rPr>
              <w:t>Critical error improvement over prior predictor at the same budget</w:t>
            </w:r>
          </w:p>
        </w:tc>
        <w:tc>
          <w:tcPr>
            <w:tcW w:type="dxa" w:w="1872"/>
            <w:vAlign w:val="center"/>
            <w:tcMar>
              <w:top w:w="75" w:type="dxa"/>
              <w:bottom w:w="75" w:type="dxa"/>
              <w:left w:w="95" w:type="dxa"/>
              <w:right w:w="95" w:type="dxa"/>
            </w:tcMar>
            <w:shd w:fill="FFFFFF"/>
          </w:tcPr>
          <w:p>
            <w:pPr>
              <w:spacing w:after="0" w:line="252" w:lineRule="auto"/>
              <w:jc w:val="center"/>
            </w:pPr>
            <w:r>
              <w:rPr>
                <w:b w:val="0"/>
                <w:color w:val="000000"/>
                <w:sz w:val="18"/>
              </w:rPr>
              <w:t>8 / 8 pass</w:t>
            </w:r>
          </w:p>
        </w:tc>
        <w:tc>
          <w:tcPr>
            <w:tcW w:type="dxa" w:w="1872"/>
            <w:vAlign w:val="center"/>
            <w:tcMar>
              <w:top w:w="75" w:type="dxa"/>
              <w:bottom w:w="75" w:type="dxa"/>
              <w:left w:w="95" w:type="dxa"/>
              <w:right w:w="95" w:type="dxa"/>
            </w:tcMar>
            <w:shd w:fill="FFFFFF"/>
          </w:tcPr>
          <w:p>
            <w:pPr>
              <w:spacing w:after="0" w:line="252" w:lineRule="auto"/>
              <w:jc w:val="center"/>
            </w:pPr>
            <w:r>
              <w:rPr>
                <w:b w:val="0"/>
                <w:color w:val="000000"/>
                <w:sz w:val="18"/>
              </w:rPr>
              <w:t>0 / 8 pass</w:t>
            </w:r>
          </w:p>
        </w:tc>
      </w:tr>
    </w:tbl>
    <w:p>
      <w:pPr>
        <w:spacing w:after="0"/>
      </w:pPr>
    </w:p>
    <w:p>
      <w:pPr>
        <w:pStyle w:val="Caption"/>
      </w:pPr>
      <w:r>
        <w:t>Table 1. x/y pass means x of y comparisons met the fixed criterion. Counts overlap in data and measure different claims, so they are not a probability of success or a project completion score. D1.</w:t>
      </w:r>
    </w:p>
    <w:p>
      <w:r>
        <w:rPr>
          <w:b/>
        </w:rPr>
        <w:t>Interpretation.</w:t>
      </w:r>
      <w:r>
        <w:t xml:space="preserve"> Gate has broad coverage: 50/51 original and 32/32 additional checks, with one inconclusive ordinary h6 result for seed 43. Motion has 35/51 and 8/32, with limitations concentrated in long occlusion and changed distractors. These are useful, uneven findings. The earlier strict all-checks rule was not met; that record is unchanged.</w:t>
      </w:r>
    </w:p>
    <w:p>
      <w:pPr>
        <w:pStyle w:val="Heading1"/>
        <w:pageBreakBefore/>
      </w:pPr>
      <w:r>
        <w:t>4  Does deletion cost identify important memory</w:t>
      </w:r>
    </w:p>
    <w:p>
      <w:r>
        <w:t>We reused the six complete models and their existing feature caches. From the same parent set of three real observations, we removed each entry in turn and compared the resulting forecasts. Every fork retained exactly two historical entries, so a gain cannot be explained by a larger memory budget.</w:t>
      </w:r>
    </w:p>
    <w:p>
      <w:pPr>
        <w:keepNext/>
        <w:spacing w:after="80"/>
      </w:pPr>
      <w:r>
        <w:drawing>
          <wp:inline xmlns:a="http://schemas.openxmlformats.org/drawingml/2006/main" xmlns:pic="http://schemas.openxmlformats.org/drawingml/2006/picture">
            <wp:extent cx="6355080" cy="2307280"/>
            <wp:docPr id="4" name="Picture 4" descr="Figure 4. Start with the same three memories, remove a different one in each branch, and always leave two. If removing the important observation hurts more, deletion cost has identified useful evidence rather than extra capacity. Two fixed parent variants were used. These constructed pools are diagnostics, not a learned policy."/>
            <wp:cNvGraphicFramePr>
              <a:graphicFrameLocks noChangeAspect="1"/>
            </wp:cNvGraphicFramePr>
            <a:graphic>
              <a:graphicData uri="http://schemas.openxmlformats.org/drawingml/2006/picture">
                <pic:pic>
                  <pic:nvPicPr>
                    <pic:cNvPr id="0" name="04_equal_capacity.png"/>
                    <pic:cNvPicPr/>
                  </pic:nvPicPr>
                  <pic:blipFill>
                    <a:blip r:embed="rId13"/>
                    <a:stretch>
                      <a:fillRect/>
                    </a:stretch>
                  </pic:blipFill>
                  <pic:spPr>
                    <a:xfrm>
                      <a:off x="0" y="0"/>
                      <a:ext cx="6355080" cy="2307280"/>
                    </a:xfrm>
                    <a:prstGeom prst="rect"/>
                  </pic:spPr>
                </pic:pic>
              </a:graphicData>
            </a:graphic>
          </wp:inline>
        </w:drawing>
      </w:r>
    </w:p>
    <w:p>
      <w:pPr>
        <w:pStyle w:val="Caption"/>
      </w:pPr>
      <w:r>
        <w:t>Figure 4. Start with the same three memories, remove a different one in each branch, and always leave two. If removing the important observation hurts more, deletion cost has identified useful evidence rather than extra capacity. Two fixed parent variants were used. These constructed pools are diagnostics, not a learned policy.</w:t>
      </w:r>
    </w:p>
    <w:p>
      <w:r>
        <w:t>A check is counted when keeping critical evidence reduces both visual-feature error and lane or position error by at least 10 percent, with a positive paired 95 percent interval. Each check uses 128 base pairs. Gate has one critical role and Motion two, giving 6 and 12 checks per condition. The thresholds and original results remain unchanged.</w:t>
      </w:r>
    </w:p>
    <w:p>
      <w:pPr>
        <w:keepNext/>
        <w:spacing w:after="80"/>
      </w:pPr>
      <w:r>
        <w:drawing>
          <wp:inline xmlns:a="http://schemas.openxmlformats.org/drawingml/2006/main" xmlns:pic="http://schemas.openxmlformats.org/drawingml/2006/picture">
            <wp:extent cx="6355080" cy="2053327"/>
            <wp:docPr id="5" name="Picture 5" descr="Figure 5. Filled dots count comparisons meeting the criterion; open dots count those that did not. Dot order has no meaning. Motion has 36/36 across conditions. Gate has 4/6 in ordinary conditions, 0/6 with long gaps and 2/6 with distractors: partial support with clear limits, not a single binary outcome. D2."/>
            <wp:cNvGraphicFramePr>
              <a:graphicFrameLocks noChangeAspect="1"/>
            </wp:cNvGraphicFramePr>
            <a:graphic>
              <a:graphicData uri="http://schemas.openxmlformats.org/drawingml/2006/picture">
                <pic:pic>
                  <pic:nvPicPr>
                    <pic:cNvPr id="0" name="05_reliability.png"/>
                    <pic:cNvPicPr/>
                  </pic:nvPicPr>
                  <pic:blipFill>
                    <a:blip r:embed="rId14"/>
                    <a:stretch>
                      <a:fillRect/>
                    </a:stretch>
                  </pic:blipFill>
                  <pic:spPr>
                    <a:xfrm>
                      <a:off x="0" y="0"/>
                      <a:ext cx="6355080" cy="2053327"/>
                    </a:xfrm>
                    <a:prstGeom prst="rect"/>
                  </pic:spPr>
                </pic:pic>
              </a:graphicData>
            </a:graphic>
          </wp:inline>
        </w:drawing>
      </w:r>
    </w:p>
    <w:p>
      <w:pPr>
        <w:pStyle w:val="Caption"/>
      </w:pPr>
      <w:r>
        <w:t>Figure 5. Filled dots count comparisons meeting the criterion; open dots count those that did not. Dot order has no meaning. Motion has 36/36 across conditions. Gate has 4/6 in ordinary conditions, 0/6 with long gaps and 2/6 with distractors: partial support with clear limits, not a single binary outcome. D2.</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224"/>
        <w:gridCol w:w="1656"/>
        <w:gridCol w:w="1656"/>
        <w:gridCol w:w="2088"/>
        <w:gridCol w:w="3312"/>
      </w:tblGrid>
      <w:tr>
        <w:trPr>
          <w:cantSplit/>
          <w:tblHeader/>
        </w:trPr>
        <w:tc>
          <w:tcPr>
            <w:tcW w:type="dxa" w:w="1224"/>
            <w:vAlign w:val="center"/>
            <w:tcMar>
              <w:top w:w="75" w:type="dxa"/>
              <w:bottom w:w="75" w:type="dxa"/>
              <w:left w:w="95" w:type="dxa"/>
              <w:right w:w="95" w:type="dxa"/>
            </w:tcMar>
            <w:shd w:fill="333333"/>
          </w:tcPr>
          <w:p>
            <w:pPr>
              <w:spacing w:after="0" w:line="252" w:lineRule="auto"/>
              <w:jc w:val="left"/>
            </w:pPr>
            <w:r>
              <w:rPr>
                <w:b/>
                <w:color w:val="FFFFFF"/>
                <w:sz w:val="18"/>
              </w:rPr>
              <w:t>Task</w:t>
            </w:r>
          </w:p>
        </w:tc>
        <w:tc>
          <w:tcPr>
            <w:tcW w:type="dxa" w:w="1656"/>
            <w:vAlign w:val="center"/>
            <w:tcMar>
              <w:top w:w="75" w:type="dxa"/>
              <w:bottom w:w="75" w:type="dxa"/>
              <w:left w:w="95" w:type="dxa"/>
              <w:right w:w="95" w:type="dxa"/>
            </w:tcMar>
            <w:shd w:fill="333333"/>
          </w:tcPr>
          <w:p>
            <w:pPr>
              <w:spacing w:after="0" w:line="252" w:lineRule="auto"/>
              <w:jc w:val="center"/>
            </w:pPr>
            <w:r>
              <w:rPr>
                <w:b/>
                <w:color w:val="FFFFFF"/>
                <w:sz w:val="18"/>
              </w:rPr>
              <w:t>Ordinary</w:t>
            </w:r>
          </w:p>
        </w:tc>
        <w:tc>
          <w:tcPr>
            <w:tcW w:type="dxa" w:w="1656"/>
            <w:vAlign w:val="center"/>
            <w:tcMar>
              <w:top w:w="75" w:type="dxa"/>
              <w:bottom w:w="75" w:type="dxa"/>
              <w:left w:w="95" w:type="dxa"/>
              <w:right w:w="95" w:type="dxa"/>
            </w:tcMar>
            <w:shd w:fill="333333"/>
          </w:tcPr>
          <w:p>
            <w:pPr>
              <w:spacing w:after="0" w:line="252" w:lineRule="auto"/>
              <w:jc w:val="center"/>
            </w:pPr>
            <w:r>
              <w:rPr>
                <w:b/>
                <w:color w:val="FFFFFF"/>
                <w:sz w:val="18"/>
              </w:rPr>
              <w:t>Long gap</w:t>
            </w:r>
          </w:p>
        </w:tc>
        <w:tc>
          <w:tcPr>
            <w:tcW w:type="dxa" w:w="2088"/>
            <w:vAlign w:val="center"/>
            <w:tcMar>
              <w:top w:w="75" w:type="dxa"/>
              <w:bottom w:w="75" w:type="dxa"/>
              <w:left w:w="95" w:type="dxa"/>
              <w:right w:w="95" w:type="dxa"/>
            </w:tcMar>
            <w:shd w:fill="333333"/>
          </w:tcPr>
          <w:p>
            <w:pPr>
              <w:spacing w:after="0" w:line="252" w:lineRule="auto"/>
              <w:jc w:val="center"/>
            </w:pPr>
            <w:r>
              <w:rPr>
                <w:b/>
                <w:color w:val="FFFFFF"/>
                <w:sz w:val="18"/>
              </w:rPr>
              <w:t>Distractor shift</w:t>
            </w:r>
          </w:p>
        </w:tc>
        <w:tc>
          <w:tcPr>
            <w:tcW w:type="dxa" w:w="3312"/>
            <w:vAlign w:val="center"/>
            <w:tcMar>
              <w:top w:w="75" w:type="dxa"/>
              <w:bottom w:w="75" w:type="dxa"/>
              <w:left w:w="95" w:type="dxa"/>
              <w:right w:w="95" w:type="dxa"/>
            </w:tcMar>
            <w:shd w:fill="333333"/>
          </w:tcPr>
          <w:p>
            <w:pPr>
              <w:spacing w:after="0" w:line="252" w:lineRule="auto"/>
              <w:jc w:val="center"/>
            </w:pPr>
            <w:r>
              <w:rPr>
                <w:b/>
                <w:color w:val="FFFFFF"/>
                <w:sz w:val="18"/>
              </w:rPr>
              <w:t>Cross horizon checks</w:t>
            </w:r>
          </w:p>
        </w:tc>
      </w:tr>
      <w:tr>
        <w:trPr>
          <w:cantSplit/>
        </w:trPr>
        <w:tc>
          <w:tcPr>
            <w:tcW w:type="dxa" w:w="1224"/>
            <w:vAlign w:val="center"/>
            <w:tcMar>
              <w:top w:w="75" w:type="dxa"/>
              <w:bottom w:w="75" w:type="dxa"/>
              <w:left w:w="95" w:type="dxa"/>
              <w:right w:w="95" w:type="dxa"/>
            </w:tcMar>
            <w:shd w:fill="FFFFFF"/>
          </w:tcPr>
          <w:p>
            <w:pPr>
              <w:spacing w:after="0" w:line="252" w:lineRule="auto"/>
              <w:jc w:val="left"/>
            </w:pPr>
            <w:r>
              <w:rPr>
                <w:b w:val="0"/>
                <w:color w:val="000000"/>
                <w:sz w:val="18"/>
              </w:rPr>
              <w:t>Gate</w:t>
            </w:r>
          </w:p>
        </w:tc>
        <w:tc>
          <w:tcPr>
            <w:tcW w:type="dxa" w:w="1656"/>
            <w:vAlign w:val="center"/>
            <w:tcMar>
              <w:top w:w="75" w:type="dxa"/>
              <w:bottom w:w="75" w:type="dxa"/>
              <w:left w:w="95" w:type="dxa"/>
              <w:right w:w="95" w:type="dxa"/>
            </w:tcMar>
            <w:shd w:fill="FFFFFF"/>
          </w:tcPr>
          <w:p>
            <w:pPr>
              <w:spacing w:after="0" w:line="252" w:lineRule="auto"/>
              <w:jc w:val="center"/>
            </w:pPr>
            <w:r>
              <w:rPr>
                <w:b w:val="0"/>
                <w:color w:val="000000"/>
                <w:sz w:val="18"/>
              </w:rPr>
              <w:t>4 / 6 pass</w:t>
            </w:r>
          </w:p>
        </w:tc>
        <w:tc>
          <w:tcPr>
            <w:tcW w:type="dxa" w:w="1656"/>
            <w:vAlign w:val="center"/>
            <w:tcMar>
              <w:top w:w="75" w:type="dxa"/>
              <w:bottom w:w="75" w:type="dxa"/>
              <w:left w:w="95" w:type="dxa"/>
              <w:right w:w="95" w:type="dxa"/>
            </w:tcMar>
            <w:shd w:fill="FFFFFF"/>
          </w:tcPr>
          <w:p>
            <w:pPr>
              <w:spacing w:after="0" w:line="252" w:lineRule="auto"/>
              <w:jc w:val="center"/>
            </w:pPr>
            <w:r>
              <w:rPr>
                <w:b w:val="0"/>
                <w:color w:val="000000"/>
                <w:sz w:val="18"/>
              </w:rPr>
              <w:t>0 / 6 pass</w:t>
            </w:r>
          </w:p>
        </w:tc>
        <w:tc>
          <w:tcPr>
            <w:tcW w:type="dxa" w:w="2088"/>
            <w:vAlign w:val="center"/>
            <w:tcMar>
              <w:top w:w="75" w:type="dxa"/>
              <w:bottom w:w="75" w:type="dxa"/>
              <w:left w:w="95" w:type="dxa"/>
              <w:right w:w="95" w:type="dxa"/>
            </w:tcMar>
            <w:shd w:fill="FFFFFF"/>
          </w:tcPr>
          <w:p>
            <w:pPr>
              <w:spacing w:after="0" w:line="252" w:lineRule="auto"/>
              <w:jc w:val="center"/>
            </w:pPr>
            <w:r>
              <w:rPr>
                <w:b w:val="0"/>
                <w:color w:val="000000"/>
                <w:sz w:val="18"/>
              </w:rPr>
              <w:t>2 / 6 pass</w:t>
            </w:r>
          </w:p>
        </w:tc>
        <w:tc>
          <w:tcPr>
            <w:tcW w:type="dxa" w:w="3312"/>
            <w:vAlign w:val="center"/>
            <w:tcMar>
              <w:top w:w="75" w:type="dxa"/>
              <w:bottom w:w="75" w:type="dxa"/>
              <w:left w:w="95" w:type="dxa"/>
              <w:right w:w="95" w:type="dxa"/>
            </w:tcMar>
            <w:shd w:fill="FFFFFF"/>
          </w:tcPr>
          <w:p>
            <w:pPr>
              <w:spacing w:after="0" w:line="252" w:lineRule="auto"/>
              <w:jc w:val="center"/>
            </w:pPr>
            <w:r>
              <w:rPr>
                <w:b w:val="0"/>
                <w:color w:val="000000"/>
                <w:sz w:val="18"/>
              </w:rPr>
              <w:t>18 / 18 pass</w:t>
            </w:r>
          </w:p>
        </w:tc>
      </w:tr>
      <w:tr>
        <w:trPr>
          <w:cantSplit/>
        </w:trPr>
        <w:tc>
          <w:tcPr>
            <w:tcW w:type="dxa" w:w="1224"/>
            <w:vAlign w:val="center"/>
            <w:tcMar>
              <w:top w:w="75" w:type="dxa"/>
              <w:bottom w:w="75" w:type="dxa"/>
              <w:left w:w="95" w:type="dxa"/>
              <w:right w:w="95" w:type="dxa"/>
            </w:tcMar>
            <w:shd w:fill="F4F4F4"/>
          </w:tcPr>
          <w:p>
            <w:pPr>
              <w:spacing w:after="0" w:line="252" w:lineRule="auto"/>
              <w:jc w:val="left"/>
            </w:pPr>
            <w:r>
              <w:rPr>
                <w:b w:val="0"/>
                <w:color w:val="000000"/>
                <w:sz w:val="18"/>
              </w:rPr>
              <w:t>Motion</w:t>
            </w:r>
          </w:p>
        </w:tc>
        <w:tc>
          <w:tcPr>
            <w:tcW w:type="dxa" w:w="1656"/>
            <w:vAlign w:val="center"/>
            <w:tcMar>
              <w:top w:w="75" w:type="dxa"/>
              <w:bottom w:w="75" w:type="dxa"/>
              <w:left w:w="95" w:type="dxa"/>
              <w:right w:w="95" w:type="dxa"/>
            </w:tcMar>
            <w:shd w:fill="F4F4F4"/>
          </w:tcPr>
          <w:p>
            <w:pPr>
              <w:spacing w:after="0" w:line="252" w:lineRule="auto"/>
              <w:jc w:val="center"/>
            </w:pPr>
            <w:r>
              <w:rPr>
                <w:b w:val="0"/>
                <w:color w:val="000000"/>
                <w:sz w:val="18"/>
              </w:rPr>
              <w:t>12 / 12 pass</w:t>
            </w:r>
          </w:p>
        </w:tc>
        <w:tc>
          <w:tcPr>
            <w:tcW w:type="dxa" w:w="1656"/>
            <w:vAlign w:val="center"/>
            <w:tcMar>
              <w:top w:w="75" w:type="dxa"/>
              <w:bottom w:w="75" w:type="dxa"/>
              <w:left w:w="95" w:type="dxa"/>
              <w:right w:w="95" w:type="dxa"/>
            </w:tcMar>
            <w:shd w:fill="F4F4F4"/>
          </w:tcPr>
          <w:p>
            <w:pPr>
              <w:spacing w:after="0" w:line="252" w:lineRule="auto"/>
              <w:jc w:val="center"/>
            </w:pPr>
            <w:r>
              <w:rPr>
                <w:b w:val="0"/>
                <w:color w:val="000000"/>
                <w:sz w:val="18"/>
              </w:rPr>
              <w:t>12 / 12 pass</w:t>
            </w:r>
          </w:p>
        </w:tc>
        <w:tc>
          <w:tcPr>
            <w:tcW w:type="dxa" w:w="2088"/>
            <w:vAlign w:val="center"/>
            <w:tcMar>
              <w:top w:w="75" w:type="dxa"/>
              <w:bottom w:w="75" w:type="dxa"/>
              <w:left w:w="95" w:type="dxa"/>
              <w:right w:w="95" w:type="dxa"/>
            </w:tcMar>
            <w:shd w:fill="F4F4F4"/>
          </w:tcPr>
          <w:p>
            <w:pPr>
              <w:spacing w:after="0" w:line="252" w:lineRule="auto"/>
              <w:jc w:val="center"/>
            </w:pPr>
            <w:r>
              <w:rPr>
                <w:b w:val="0"/>
                <w:color w:val="000000"/>
                <w:sz w:val="18"/>
              </w:rPr>
              <w:t>12 / 12 pass</w:t>
            </w:r>
          </w:p>
        </w:tc>
        <w:tc>
          <w:tcPr>
            <w:tcW w:type="dxa" w:w="3312"/>
            <w:vAlign w:val="center"/>
            <w:tcMar>
              <w:top w:w="75" w:type="dxa"/>
              <w:bottom w:w="75" w:type="dxa"/>
              <w:left w:w="95" w:type="dxa"/>
              <w:right w:w="95" w:type="dxa"/>
            </w:tcMar>
            <w:shd w:fill="F4F4F4"/>
          </w:tcPr>
          <w:p>
            <w:pPr>
              <w:spacing w:after="0" w:line="252" w:lineRule="auto"/>
              <w:jc w:val="center"/>
            </w:pPr>
            <w:r>
              <w:rPr>
                <w:b w:val="0"/>
                <w:color w:val="000000"/>
                <w:sz w:val="18"/>
              </w:rPr>
              <w:t>18 / 18 pass</w:t>
            </w:r>
          </w:p>
        </w:tc>
      </w:tr>
    </w:tbl>
    <w:p>
      <w:pPr>
        <w:spacing w:after="0"/>
      </w:pPr>
    </w:p>
    <w:p>
      <w:pPr>
        <w:pStyle w:val="Caption"/>
      </w:pPr>
      <w:r>
        <w:t>Table 2. Cross-horizon checks ask whether a deletion chosen at 3 steps is useful at 6, and vice versa, relative to uniform deletion. Both tasks show 18/18 coverage here, while Gate has weaker critical-versus-nuisance coverage. Selection uses future outcomes, so this is not yet an online policy result. D2.</w:t>
      </w:r>
    </w:p>
    <w:p>
      <w:pPr>
        <w:pStyle w:val="Heading1"/>
        <w:pageBreakBefore/>
      </w:pPr>
      <w:r>
        <w:t>5  Effect sizes and uncertainty</w:t>
      </w:r>
    </w:p>
    <w:p>
      <w:pPr>
        <w:keepNext/>
        <w:spacing w:after="80"/>
      </w:pPr>
      <w:r>
        <w:drawing>
          <wp:inline xmlns:a="http://schemas.openxmlformats.org/drawingml/2006/main" xmlns:pic="http://schemas.openxmlformats.org/drawingml/2006/picture">
            <wp:extent cx="6355080" cy="3634281"/>
            <wp:docPr id="6" name="Picture 6" descr="Figure 6. Further right means keeping that memory is more useful. Black dots measure feature error; white dots measure lane or position error. Lines show 95 percent uncertainty. Motion start and end memories help in all three runs. Gate seed 43 lies near zero, showing uncertainty rather than evidence of no value. Ordinary condition, 6 steps ahead; D2."/>
            <wp:cNvGraphicFramePr>
              <a:graphicFrameLocks noChangeAspect="1"/>
            </wp:cNvGraphicFramePr>
            <a:graphic>
              <a:graphicData uri="http://schemas.openxmlformats.org/drawingml/2006/picture">
                <pic:pic>
                  <pic:nvPicPr>
                    <pic:cNvPr id="0" name="06_deletion_effects.png"/>
                    <pic:cNvPicPr/>
                  </pic:nvPicPr>
                  <pic:blipFill>
                    <a:blip r:embed="rId15"/>
                    <a:stretch>
                      <a:fillRect/>
                    </a:stretch>
                  </pic:blipFill>
                  <pic:spPr>
                    <a:xfrm>
                      <a:off x="0" y="0"/>
                      <a:ext cx="6355080" cy="3634281"/>
                    </a:xfrm>
                    <a:prstGeom prst="rect"/>
                  </pic:spPr>
                </pic:pic>
              </a:graphicData>
            </a:graphic>
          </wp:inline>
        </w:drawing>
      </w:r>
    </w:p>
    <w:p>
      <w:pPr>
        <w:pStyle w:val="Caption"/>
      </w:pPr>
      <w:r>
        <w:t>Figure 6. Further right means keeping that memory is more useful. Black dots measure feature error; white dots measure lane or position error. Lines show 95 percent uncertainty. Motion start and end memories help in all three runs. Gate seed 43 lies near zero, showing uncertainty rather than evidence of no value. Ordinary condition, 6 steps ahead; D2.</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24"/>
        <w:gridCol w:w="1944"/>
        <w:gridCol w:w="1944"/>
        <w:gridCol w:w="3024"/>
      </w:tblGrid>
      <w:tr>
        <w:trPr>
          <w:cantSplit/>
          <w:tblHeader/>
        </w:trPr>
        <w:tc>
          <w:tcPr>
            <w:tcW w:type="dxa" w:w="3024"/>
            <w:vAlign w:val="center"/>
            <w:tcMar>
              <w:top w:w="75" w:type="dxa"/>
              <w:bottom w:w="75" w:type="dxa"/>
              <w:left w:w="95" w:type="dxa"/>
              <w:right w:w="95" w:type="dxa"/>
            </w:tcMar>
            <w:shd w:fill="333333"/>
          </w:tcPr>
          <w:p>
            <w:pPr>
              <w:spacing w:after="0" w:line="252" w:lineRule="auto"/>
              <w:jc w:val="left"/>
            </w:pPr>
            <w:r>
              <w:rPr>
                <w:b/>
                <w:color w:val="FFFFFF"/>
                <w:sz w:val="18"/>
              </w:rPr>
              <w:t>Selected contrast</w:t>
            </w:r>
          </w:p>
        </w:tc>
        <w:tc>
          <w:tcPr>
            <w:tcW w:type="dxa" w:w="1944"/>
            <w:vAlign w:val="center"/>
            <w:tcMar>
              <w:top w:w="75" w:type="dxa"/>
              <w:bottom w:w="75" w:type="dxa"/>
              <w:left w:w="95" w:type="dxa"/>
              <w:right w:w="95" w:type="dxa"/>
            </w:tcMar>
            <w:shd w:fill="333333"/>
          </w:tcPr>
          <w:p>
            <w:pPr>
              <w:spacing w:after="0" w:line="252" w:lineRule="auto"/>
              <w:jc w:val="center"/>
            </w:pPr>
            <w:r>
              <w:rPr>
                <w:b/>
                <w:color w:val="FFFFFF"/>
                <w:sz w:val="18"/>
              </w:rPr>
              <w:t>Delete critical</w:t>
              <w:br/>
              <w:t>feature MSE</w:t>
            </w:r>
          </w:p>
        </w:tc>
        <w:tc>
          <w:tcPr>
            <w:tcW w:type="dxa" w:w="1944"/>
            <w:vAlign w:val="center"/>
            <w:tcMar>
              <w:top w:w="75" w:type="dxa"/>
              <w:bottom w:w="75" w:type="dxa"/>
              <w:left w:w="95" w:type="dxa"/>
              <w:right w:w="95" w:type="dxa"/>
            </w:tcMar>
            <w:shd w:fill="333333"/>
          </w:tcPr>
          <w:p>
            <w:pPr>
              <w:spacing w:after="0" w:line="252" w:lineRule="auto"/>
              <w:jc w:val="center"/>
            </w:pPr>
            <w:r>
              <w:rPr>
                <w:b/>
                <w:color w:val="FFFFFF"/>
                <w:sz w:val="18"/>
              </w:rPr>
              <w:t>Delete nuisance</w:t>
              <w:br/>
              <w:t>feature MSE</w:t>
            </w:r>
          </w:p>
        </w:tc>
        <w:tc>
          <w:tcPr>
            <w:tcW w:type="dxa" w:w="3024"/>
            <w:vAlign w:val="center"/>
            <w:tcMar>
              <w:top w:w="75" w:type="dxa"/>
              <w:bottom w:w="75" w:type="dxa"/>
              <w:left w:w="95" w:type="dxa"/>
              <w:right w:w="95" w:type="dxa"/>
            </w:tcMar>
            <w:shd w:fill="333333"/>
          </w:tcPr>
          <w:p>
            <w:pPr>
              <w:spacing w:after="0" w:line="252" w:lineRule="auto"/>
              <w:jc w:val="center"/>
            </w:pPr>
            <w:r>
              <w:rPr>
                <w:b/>
                <w:color w:val="FFFFFF"/>
                <w:sz w:val="18"/>
              </w:rPr>
              <w:t>Difference and 95 percent CI</w:t>
            </w:r>
          </w:p>
        </w:tc>
      </w:tr>
      <w:tr>
        <w:trPr>
          <w:cantSplit/>
        </w:trPr>
        <w:tc>
          <w:tcPr>
            <w:tcW w:type="dxa" w:w="3024"/>
            <w:vAlign w:val="center"/>
            <w:tcMar>
              <w:top w:w="75" w:type="dxa"/>
              <w:bottom w:w="75" w:type="dxa"/>
              <w:left w:w="95" w:type="dxa"/>
              <w:right w:w="95" w:type="dxa"/>
            </w:tcMar>
            <w:shd w:fill="FFFFFF"/>
          </w:tcPr>
          <w:p>
            <w:pPr>
              <w:spacing w:after="0" w:line="252" w:lineRule="auto"/>
              <w:jc w:val="left"/>
            </w:pPr>
            <w:r>
              <w:rPr>
                <w:b w:val="0"/>
                <w:color w:val="000000"/>
                <w:sz w:val="18"/>
              </w:rPr>
              <w:t>Gate cue  seed 43</w:t>
            </w:r>
          </w:p>
        </w:tc>
        <w:tc>
          <w:tcPr>
            <w:tcW w:type="dxa" w:w="1944"/>
            <w:vAlign w:val="center"/>
            <w:tcMar>
              <w:top w:w="75" w:type="dxa"/>
              <w:bottom w:w="75" w:type="dxa"/>
              <w:left w:w="95" w:type="dxa"/>
              <w:right w:w="95" w:type="dxa"/>
            </w:tcMar>
            <w:shd w:fill="FFFFFF"/>
          </w:tcPr>
          <w:p>
            <w:pPr>
              <w:spacing w:after="0" w:line="252" w:lineRule="auto"/>
              <w:jc w:val="center"/>
            </w:pPr>
            <w:r>
              <w:rPr>
                <w:b w:val="0"/>
                <w:color w:val="000000"/>
                <w:sz w:val="18"/>
              </w:rPr>
              <w:t>0.0987</w:t>
            </w:r>
          </w:p>
        </w:tc>
        <w:tc>
          <w:tcPr>
            <w:tcW w:type="dxa" w:w="1944"/>
            <w:vAlign w:val="center"/>
            <w:tcMar>
              <w:top w:w="75" w:type="dxa"/>
              <w:bottom w:w="75" w:type="dxa"/>
              <w:left w:w="95" w:type="dxa"/>
              <w:right w:w="95" w:type="dxa"/>
            </w:tcMar>
            <w:shd w:fill="FFFFFF"/>
          </w:tcPr>
          <w:p>
            <w:pPr>
              <w:spacing w:after="0" w:line="252" w:lineRule="auto"/>
              <w:jc w:val="center"/>
            </w:pPr>
            <w:r>
              <w:rPr>
                <w:b w:val="0"/>
                <w:color w:val="000000"/>
                <w:sz w:val="18"/>
              </w:rPr>
              <w:t>0.0923</w:t>
            </w:r>
          </w:p>
        </w:tc>
        <w:tc>
          <w:tcPr>
            <w:tcW w:type="dxa" w:w="3024"/>
            <w:vAlign w:val="center"/>
            <w:tcMar>
              <w:top w:w="75" w:type="dxa"/>
              <w:bottom w:w="75" w:type="dxa"/>
              <w:left w:w="95" w:type="dxa"/>
              <w:right w:w="95" w:type="dxa"/>
            </w:tcMar>
            <w:shd w:fill="FFFFFF"/>
          </w:tcPr>
          <w:p>
            <w:pPr>
              <w:spacing w:after="0" w:line="252" w:lineRule="auto"/>
              <w:jc w:val="center"/>
            </w:pPr>
            <w:r>
              <w:rPr>
                <w:b w:val="0"/>
                <w:color w:val="000000"/>
                <w:sz w:val="18"/>
              </w:rPr>
              <w:t>0.0065</w:t>
              <w:br/>
              <w:t>[-0.0026, 0.0152]</w:t>
            </w:r>
          </w:p>
        </w:tc>
      </w:tr>
      <w:tr>
        <w:trPr>
          <w:cantSplit/>
        </w:trPr>
        <w:tc>
          <w:tcPr>
            <w:tcW w:type="dxa" w:w="3024"/>
            <w:vAlign w:val="center"/>
            <w:tcMar>
              <w:top w:w="75" w:type="dxa"/>
              <w:bottom w:w="75" w:type="dxa"/>
              <w:left w:w="95" w:type="dxa"/>
              <w:right w:w="95" w:type="dxa"/>
            </w:tcMar>
            <w:shd w:fill="F4F4F4"/>
          </w:tcPr>
          <w:p>
            <w:pPr>
              <w:spacing w:after="0" w:line="252" w:lineRule="auto"/>
              <w:jc w:val="left"/>
            </w:pPr>
            <w:r>
              <w:rPr>
                <w:b w:val="0"/>
                <w:color w:val="000000"/>
                <w:sz w:val="18"/>
              </w:rPr>
              <w:t>Motion start  seed 17</w:t>
            </w:r>
          </w:p>
        </w:tc>
        <w:tc>
          <w:tcPr>
            <w:tcW w:type="dxa" w:w="1944"/>
            <w:vAlign w:val="center"/>
            <w:tcMar>
              <w:top w:w="75" w:type="dxa"/>
              <w:bottom w:w="75" w:type="dxa"/>
              <w:left w:w="95" w:type="dxa"/>
              <w:right w:w="95" w:type="dxa"/>
            </w:tcMar>
            <w:shd w:fill="F4F4F4"/>
          </w:tcPr>
          <w:p>
            <w:pPr>
              <w:spacing w:after="0" w:line="252" w:lineRule="auto"/>
              <w:jc w:val="center"/>
            </w:pPr>
            <w:r>
              <w:rPr>
                <w:b w:val="0"/>
                <w:color w:val="000000"/>
                <w:sz w:val="18"/>
              </w:rPr>
              <w:t>0.5005</w:t>
            </w:r>
          </w:p>
        </w:tc>
        <w:tc>
          <w:tcPr>
            <w:tcW w:type="dxa" w:w="1944"/>
            <w:vAlign w:val="center"/>
            <w:tcMar>
              <w:top w:w="75" w:type="dxa"/>
              <w:bottom w:w="75" w:type="dxa"/>
              <w:left w:w="95" w:type="dxa"/>
              <w:right w:w="95" w:type="dxa"/>
            </w:tcMar>
            <w:shd w:fill="F4F4F4"/>
          </w:tcPr>
          <w:p>
            <w:pPr>
              <w:spacing w:after="0" w:line="252" w:lineRule="auto"/>
              <w:jc w:val="center"/>
            </w:pPr>
            <w:r>
              <w:rPr>
                <w:b w:val="0"/>
                <w:color w:val="000000"/>
                <w:sz w:val="18"/>
              </w:rPr>
              <w:t>0.1163</w:t>
            </w:r>
          </w:p>
        </w:tc>
        <w:tc>
          <w:tcPr>
            <w:tcW w:type="dxa" w:w="3024"/>
            <w:vAlign w:val="center"/>
            <w:tcMar>
              <w:top w:w="75" w:type="dxa"/>
              <w:bottom w:w="75" w:type="dxa"/>
              <w:left w:w="95" w:type="dxa"/>
              <w:right w:w="95" w:type="dxa"/>
            </w:tcMar>
            <w:shd w:fill="F4F4F4"/>
          </w:tcPr>
          <w:p>
            <w:pPr>
              <w:spacing w:after="0" w:line="252" w:lineRule="auto"/>
              <w:jc w:val="center"/>
            </w:pPr>
            <w:r>
              <w:rPr>
                <w:b w:val="0"/>
                <w:color w:val="000000"/>
                <w:sz w:val="18"/>
              </w:rPr>
              <w:t>0.3842</w:t>
              <w:br/>
              <w:t>[0.3529, 0.4162]</w:t>
            </w:r>
          </w:p>
        </w:tc>
      </w:tr>
      <w:tr>
        <w:trPr>
          <w:cantSplit/>
        </w:trPr>
        <w:tc>
          <w:tcPr>
            <w:tcW w:type="dxa" w:w="3024"/>
            <w:vAlign w:val="center"/>
            <w:tcMar>
              <w:top w:w="75" w:type="dxa"/>
              <w:bottom w:w="75" w:type="dxa"/>
              <w:left w:w="95" w:type="dxa"/>
              <w:right w:w="95" w:type="dxa"/>
            </w:tcMar>
            <w:shd w:fill="FFFFFF"/>
          </w:tcPr>
          <w:p>
            <w:pPr>
              <w:spacing w:after="0" w:line="252" w:lineRule="auto"/>
              <w:jc w:val="left"/>
            </w:pPr>
            <w:r>
              <w:rPr>
                <w:b w:val="0"/>
                <w:color w:val="000000"/>
                <w:sz w:val="18"/>
              </w:rPr>
              <w:t>Motion end  seed 17</w:t>
            </w:r>
          </w:p>
        </w:tc>
        <w:tc>
          <w:tcPr>
            <w:tcW w:type="dxa" w:w="1944"/>
            <w:vAlign w:val="center"/>
            <w:tcMar>
              <w:top w:w="75" w:type="dxa"/>
              <w:bottom w:w="75" w:type="dxa"/>
              <w:left w:w="95" w:type="dxa"/>
              <w:right w:w="95" w:type="dxa"/>
            </w:tcMar>
            <w:shd w:fill="FFFFFF"/>
          </w:tcPr>
          <w:p>
            <w:pPr>
              <w:spacing w:after="0" w:line="252" w:lineRule="auto"/>
              <w:jc w:val="center"/>
            </w:pPr>
            <w:r>
              <w:rPr>
                <w:b w:val="0"/>
                <w:color w:val="000000"/>
                <w:sz w:val="18"/>
              </w:rPr>
              <w:t>0.1636</w:t>
            </w:r>
          </w:p>
        </w:tc>
        <w:tc>
          <w:tcPr>
            <w:tcW w:type="dxa" w:w="1944"/>
            <w:vAlign w:val="center"/>
            <w:tcMar>
              <w:top w:w="75" w:type="dxa"/>
              <w:bottom w:w="75" w:type="dxa"/>
              <w:left w:w="95" w:type="dxa"/>
              <w:right w:w="95" w:type="dxa"/>
            </w:tcMar>
            <w:shd w:fill="FFFFFF"/>
          </w:tcPr>
          <w:p>
            <w:pPr>
              <w:spacing w:after="0" w:line="252" w:lineRule="auto"/>
              <w:jc w:val="center"/>
            </w:pPr>
            <w:r>
              <w:rPr>
                <w:b w:val="0"/>
                <w:color w:val="000000"/>
                <w:sz w:val="18"/>
              </w:rPr>
              <w:t>0.1163</w:t>
            </w:r>
          </w:p>
        </w:tc>
        <w:tc>
          <w:tcPr>
            <w:tcW w:type="dxa" w:w="3024"/>
            <w:vAlign w:val="center"/>
            <w:tcMar>
              <w:top w:w="75" w:type="dxa"/>
              <w:bottom w:w="75" w:type="dxa"/>
              <w:left w:w="95" w:type="dxa"/>
              <w:right w:w="95" w:type="dxa"/>
            </w:tcMar>
            <w:shd w:fill="FFFFFF"/>
          </w:tcPr>
          <w:p>
            <w:pPr>
              <w:spacing w:after="0" w:line="252" w:lineRule="auto"/>
              <w:jc w:val="center"/>
            </w:pPr>
            <w:r>
              <w:rPr>
                <w:b w:val="0"/>
                <w:color w:val="000000"/>
                <w:sz w:val="18"/>
              </w:rPr>
              <w:t>0.0473</w:t>
              <w:br/>
              <w:t>[0.0430, 0.0519]</w:t>
            </w:r>
          </w:p>
        </w:tc>
      </w:tr>
    </w:tbl>
    <w:p>
      <w:pPr>
        <w:spacing w:after="0"/>
      </w:pPr>
    </w:p>
    <w:p>
      <w:pPr>
        <w:pStyle w:val="Caption"/>
      </w:pPr>
      <w:r>
        <w:t>Table 3. Illustrative numeric contrasts at h6. Within each row, only the deletion differs. Losses across Gate and Motion are not calibrated to the same task difficulty. All seeds and both Motion roles are shown in Figure 6.</w:t>
      </w:r>
    </w:p>
    <w:p>
      <w:r>
        <w:rPr>
          <w:b/>
        </w:rPr>
        <w:t>Motion.</w:t>
      </w:r>
      <w:r>
        <w:t xml:space="preserve"> Coverage is 36/36 critical comparisons and 18/18 cross-horizon checks. At h6, retaining the start observation reduced feature error by 76.3 to 77.8 percent, and retaining the end observation by 28.3 to 30.5 percent. Position-error contrasts agreed. Both observations carry useful complementary evidence.</w:t>
      </w:r>
    </w:p>
    <w:p>
      <w:r>
        <w:rPr>
          <w:b/>
        </w:rPr>
        <w:t>Gate.</w:t>
      </w:r>
      <w:r>
        <w:t xml:space="preserve"> Ordinary coverage is 4/6. The two exceptions are seed 43: at h3 lane benefit is uncertain; at h6 feature benefit is 6.5 percent and lane benefit 6.3 percent, with both intervals crossing zero. This limits claims of seed stability without erasing the four supported comparisons.</w:t>
      </w:r>
    </w:p>
    <w:p>
      <w:r>
        <w:rPr>
          <w:b/>
        </w:rPr>
        <w:t>Different questions.</w:t>
      </w:r>
      <w:r>
        <w:t xml:space="preserve"> Deletion cost asks which forgetting choice is worse. Prediction quality asks how accurate the forecast is overall. Motion can provide a consistent ranking of memory value while still forecasting difficult long occlusions poorly. These results describe different capabilities.</w:t>
      </w:r>
    </w:p>
    <w:p>
      <w:pPr>
        <w:pStyle w:val="Heading1"/>
        <w:pageBreakBefore/>
      </w:pPr>
      <w:r>
        <w:t>6  A useful signal does not prove a better policy</w:t>
      </w:r>
    </w:p>
    <w:p>
      <w:pPr>
        <w:keepNext/>
        <w:spacing w:after="80"/>
      </w:pPr>
      <w:r>
        <w:drawing>
          <wp:inline xmlns:a="http://schemas.openxmlformats.org/drawingml/2006/main" xmlns:pic="http://schemas.openxmlformats.org/drawingml/2006/picture">
            <wp:extent cx="6355080" cy="3027329"/>
            <wp:docPr id="7" name="Picture 7" descr="Figure 7. Shorter bars are better. FIFO removes the oldest entry; uniform deletion chooses randomly; reject-newest keeps the existing memories. The future oracle uses unavailable future outcomes to choose the best removal. Reject-newest nearly matches this ideal reference in these simple pools. Bars average three runs; dots show each run. D2."/>
            <wp:cNvGraphicFramePr>
              <a:graphicFrameLocks noChangeAspect="1"/>
            </wp:cNvGraphicFramePr>
            <a:graphic>
              <a:graphicData uri="http://schemas.openxmlformats.org/drawingml/2006/picture">
                <pic:pic>
                  <pic:nvPicPr>
                    <pic:cNvPr id="0" name="07_baseline_headroom.png"/>
                    <pic:cNvPicPr/>
                  </pic:nvPicPr>
                  <pic:blipFill>
                    <a:blip r:embed="rId16"/>
                    <a:stretch>
                      <a:fillRect/>
                    </a:stretch>
                  </pic:blipFill>
                  <pic:spPr>
                    <a:xfrm>
                      <a:off x="0" y="0"/>
                      <a:ext cx="6355080" cy="3027329"/>
                    </a:xfrm>
                    <a:prstGeom prst="rect"/>
                  </pic:spPr>
                </pic:pic>
              </a:graphicData>
            </a:graphic>
          </wp:inline>
        </w:drawing>
      </w:r>
    </w:p>
    <w:p>
      <w:pPr>
        <w:pStyle w:val="Caption"/>
      </w:pPr>
      <w:r>
        <w:t>Figure 7. Shorter bars are better. FIFO removes the oldest entry; uniform deletion chooses randomly; reject-newest keeps the existing memories. The future oracle uses unavailable future outcomes to choose the best removal. Reject-newest nearly matches this ideal reference in these simple pools. Bars average three runs; dots show each run. D2.</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752"/>
        <w:gridCol w:w="2592"/>
        <w:gridCol w:w="2592"/>
      </w:tblGrid>
      <w:tr>
        <w:trPr>
          <w:cantSplit/>
          <w:tblHeader/>
        </w:trPr>
        <w:tc>
          <w:tcPr>
            <w:tcW w:type="dxa" w:w="4752"/>
            <w:vAlign w:val="center"/>
            <w:tcMar>
              <w:top w:w="75" w:type="dxa"/>
              <w:bottom w:w="75" w:type="dxa"/>
              <w:left w:w="95" w:type="dxa"/>
              <w:right w:w="95" w:type="dxa"/>
            </w:tcMar>
            <w:shd w:fill="333333"/>
          </w:tcPr>
          <w:p>
            <w:pPr>
              <w:spacing w:after="0" w:line="252" w:lineRule="auto"/>
              <w:jc w:val="left"/>
            </w:pPr>
            <w:r>
              <w:rPr>
                <w:b/>
                <w:color w:val="FFFFFF"/>
                <w:sz w:val="19"/>
              </w:rPr>
              <w:t>Deletion rule</w:t>
            </w:r>
          </w:p>
        </w:tc>
        <w:tc>
          <w:tcPr>
            <w:tcW w:type="dxa" w:w="2592"/>
            <w:vAlign w:val="center"/>
            <w:tcMar>
              <w:top w:w="75" w:type="dxa"/>
              <w:bottom w:w="75" w:type="dxa"/>
              <w:left w:w="95" w:type="dxa"/>
              <w:right w:w="95" w:type="dxa"/>
            </w:tcMar>
            <w:shd w:fill="333333"/>
          </w:tcPr>
          <w:p>
            <w:pPr>
              <w:spacing w:after="0" w:line="252" w:lineRule="auto"/>
              <w:jc w:val="center"/>
            </w:pPr>
            <w:r>
              <w:rPr>
                <w:b/>
                <w:color w:val="FFFFFF"/>
                <w:sz w:val="19"/>
              </w:rPr>
              <w:t>Feature MSE</w:t>
            </w:r>
          </w:p>
        </w:tc>
        <w:tc>
          <w:tcPr>
            <w:tcW w:type="dxa" w:w="2592"/>
            <w:vAlign w:val="center"/>
            <w:tcMar>
              <w:top w:w="75" w:type="dxa"/>
              <w:bottom w:w="75" w:type="dxa"/>
              <w:left w:w="95" w:type="dxa"/>
              <w:right w:w="95" w:type="dxa"/>
            </w:tcMar>
            <w:shd w:fill="333333"/>
          </w:tcPr>
          <w:p>
            <w:pPr>
              <w:spacing w:after="0" w:line="252" w:lineRule="auto"/>
              <w:jc w:val="center"/>
            </w:pPr>
            <w:r>
              <w:rPr>
                <w:b/>
                <w:color w:val="FFFFFF"/>
                <w:sz w:val="19"/>
              </w:rPr>
              <w:t>Position MSE</w:t>
            </w:r>
          </w:p>
        </w:tc>
      </w:tr>
      <w:tr>
        <w:trPr>
          <w:cantSplit/>
        </w:trPr>
        <w:tc>
          <w:tcPr>
            <w:tcW w:type="dxa" w:w="4752"/>
            <w:vAlign w:val="center"/>
            <w:tcMar>
              <w:top w:w="75" w:type="dxa"/>
              <w:bottom w:w="75" w:type="dxa"/>
              <w:left w:w="95" w:type="dxa"/>
              <w:right w:w="95" w:type="dxa"/>
            </w:tcMar>
            <w:shd w:fill="FFFFFF"/>
          </w:tcPr>
          <w:p>
            <w:pPr>
              <w:spacing w:after="0" w:line="252" w:lineRule="auto"/>
              <w:jc w:val="left"/>
            </w:pPr>
            <w:r>
              <w:rPr>
                <w:b w:val="0"/>
                <w:color w:val="000000"/>
                <w:sz w:val="19"/>
              </w:rPr>
              <w:t>FIFO</w:t>
            </w:r>
          </w:p>
        </w:tc>
        <w:tc>
          <w:tcPr>
            <w:tcW w:type="dxa" w:w="2592"/>
            <w:vAlign w:val="center"/>
            <w:tcMar>
              <w:top w:w="75" w:type="dxa"/>
              <w:bottom w:w="75" w:type="dxa"/>
              <w:left w:w="95" w:type="dxa"/>
              <w:right w:w="95" w:type="dxa"/>
            </w:tcMar>
            <w:shd w:fill="FFFFFF"/>
          </w:tcPr>
          <w:p>
            <w:pPr>
              <w:spacing w:after="0" w:line="252" w:lineRule="auto"/>
              <w:jc w:val="center"/>
            </w:pPr>
            <w:r>
              <w:rPr>
                <w:b w:val="0"/>
                <w:color w:val="000000"/>
                <w:sz w:val="19"/>
              </w:rPr>
              <w:t>0.503474</w:t>
            </w:r>
          </w:p>
        </w:tc>
        <w:tc>
          <w:tcPr>
            <w:tcW w:type="dxa" w:w="2592"/>
            <w:vAlign w:val="center"/>
            <w:tcMar>
              <w:top w:w="75" w:type="dxa"/>
              <w:bottom w:w="75" w:type="dxa"/>
              <w:left w:w="95" w:type="dxa"/>
              <w:right w:w="95" w:type="dxa"/>
            </w:tcMar>
            <w:shd w:fill="FFFFFF"/>
          </w:tcPr>
          <w:p>
            <w:pPr>
              <w:spacing w:after="0" w:line="252" w:lineRule="auto"/>
              <w:jc w:val="center"/>
            </w:pPr>
            <w:r>
              <w:rPr>
                <w:b w:val="0"/>
                <w:color w:val="000000"/>
                <w:sz w:val="19"/>
              </w:rPr>
              <w:t>0.025186</w:t>
            </w:r>
          </w:p>
        </w:tc>
      </w:tr>
      <w:tr>
        <w:trPr>
          <w:cantSplit/>
        </w:trPr>
        <w:tc>
          <w:tcPr>
            <w:tcW w:type="dxa" w:w="4752"/>
            <w:vAlign w:val="center"/>
            <w:tcMar>
              <w:top w:w="75" w:type="dxa"/>
              <w:bottom w:w="75" w:type="dxa"/>
              <w:left w:w="95" w:type="dxa"/>
              <w:right w:w="95" w:type="dxa"/>
            </w:tcMar>
            <w:shd w:fill="F4F4F4"/>
          </w:tcPr>
          <w:p>
            <w:pPr>
              <w:spacing w:after="0" w:line="252" w:lineRule="auto"/>
              <w:jc w:val="left"/>
            </w:pPr>
            <w:r>
              <w:rPr>
                <w:b w:val="0"/>
                <w:color w:val="000000"/>
                <w:sz w:val="19"/>
              </w:rPr>
              <w:t>Uniform</w:t>
            </w:r>
          </w:p>
        </w:tc>
        <w:tc>
          <w:tcPr>
            <w:tcW w:type="dxa" w:w="2592"/>
            <w:vAlign w:val="center"/>
            <w:tcMar>
              <w:top w:w="75" w:type="dxa"/>
              <w:bottom w:w="75" w:type="dxa"/>
              <w:left w:w="95" w:type="dxa"/>
              <w:right w:w="95" w:type="dxa"/>
            </w:tcMar>
            <w:shd w:fill="F4F4F4"/>
          </w:tcPr>
          <w:p>
            <w:pPr>
              <w:spacing w:after="0" w:line="252" w:lineRule="auto"/>
              <w:jc w:val="center"/>
            </w:pPr>
            <w:r>
              <w:rPr>
                <w:b w:val="0"/>
                <w:color w:val="000000"/>
                <w:sz w:val="19"/>
              </w:rPr>
              <w:t>0.261175</w:t>
            </w:r>
          </w:p>
        </w:tc>
        <w:tc>
          <w:tcPr>
            <w:tcW w:type="dxa" w:w="2592"/>
            <w:vAlign w:val="center"/>
            <w:tcMar>
              <w:top w:w="75" w:type="dxa"/>
              <w:bottom w:w="75" w:type="dxa"/>
              <w:left w:w="95" w:type="dxa"/>
              <w:right w:w="95" w:type="dxa"/>
            </w:tcMar>
            <w:shd w:fill="F4F4F4"/>
          </w:tcPr>
          <w:p>
            <w:pPr>
              <w:spacing w:after="0" w:line="252" w:lineRule="auto"/>
              <w:jc w:val="center"/>
            </w:pPr>
            <w:r>
              <w:rPr>
                <w:b w:val="0"/>
                <w:color w:val="000000"/>
                <w:sz w:val="19"/>
              </w:rPr>
              <w:t>0.014506</w:t>
            </w:r>
          </w:p>
        </w:tc>
      </w:tr>
      <w:tr>
        <w:trPr>
          <w:cantSplit/>
        </w:trPr>
        <w:tc>
          <w:tcPr>
            <w:tcW w:type="dxa" w:w="4752"/>
            <w:vAlign w:val="center"/>
            <w:tcMar>
              <w:top w:w="75" w:type="dxa"/>
              <w:bottom w:w="75" w:type="dxa"/>
              <w:left w:w="95" w:type="dxa"/>
              <w:right w:w="95" w:type="dxa"/>
            </w:tcMar>
            <w:shd w:fill="FFFFFF"/>
          </w:tcPr>
          <w:p>
            <w:pPr>
              <w:spacing w:after="0" w:line="252" w:lineRule="auto"/>
              <w:jc w:val="left"/>
            </w:pPr>
            <w:r>
              <w:rPr>
                <w:b w:val="0"/>
                <w:color w:val="000000"/>
                <w:sz w:val="19"/>
              </w:rPr>
              <w:t>Reject newest</w:t>
            </w:r>
          </w:p>
        </w:tc>
        <w:tc>
          <w:tcPr>
            <w:tcW w:type="dxa" w:w="2592"/>
            <w:vAlign w:val="center"/>
            <w:tcMar>
              <w:top w:w="75" w:type="dxa"/>
              <w:bottom w:w="75" w:type="dxa"/>
              <w:left w:w="95" w:type="dxa"/>
              <w:right w:w="95" w:type="dxa"/>
            </w:tcMar>
            <w:shd w:fill="FFFFFF"/>
          </w:tcPr>
          <w:p>
            <w:pPr>
              <w:spacing w:after="0" w:line="252" w:lineRule="auto"/>
              <w:jc w:val="center"/>
            </w:pPr>
            <w:r>
              <w:rPr>
                <w:b w:val="0"/>
                <w:color w:val="000000"/>
                <w:sz w:val="19"/>
              </w:rPr>
              <w:t>0.116061</w:t>
            </w:r>
          </w:p>
        </w:tc>
        <w:tc>
          <w:tcPr>
            <w:tcW w:type="dxa" w:w="2592"/>
            <w:vAlign w:val="center"/>
            <w:tcMar>
              <w:top w:w="75" w:type="dxa"/>
              <w:bottom w:w="75" w:type="dxa"/>
              <w:left w:w="95" w:type="dxa"/>
              <w:right w:w="95" w:type="dxa"/>
            </w:tcMar>
            <w:shd w:fill="FFFFFF"/>
          </w:tcPr>
          <w:p>
            <w:pPr>
              <w:spacing w:after="0" w:line="252" w:lineRule="auto"/>
              <w:jc w:val="center"/>
            </w:pPr>
            <w:r>
              <w:rPr>
                <w:b w:val="0"/>
                <w:color w:val="000000"/>
                <w:sz w:val="19"/>
              </w:rPr>
              <w:t>0.007548</w:t>
            </w:r>
          </w:p>
        </w:tc>
      </w:tr>
      <w:tr>
        <w:trPr>
          <w:cantSplit/>
        </w:trPr>
        <w:tc>
          <w:tcPr>
            <w:tcW w:type="dxa" w:w="4752"/>
            <w:vAlign w:val="center"/>
            <w:tcMar>
              <w:top w:w="75" w:type="dxa"/>
              <w:bottom w:w="75" w:type="dxa"/>
              <w:left w:w="95" w:type="dxa"/>
              <w:right w:w="95" w:type="dxa"/>
            </w:tcMar>
            <w:shd w:fill="F4F4F4"/>
          </w:tcPr>
          <w:p>
            <w:pPr>
              <w:spacing w:after="0" w:line="252" w:lineRule="auto"/>
              <w:jc w:val="left"/>
            </w:pPr>
            <w:r>
              <w:rPr>
                <w:b w:val="0"/>
                <w:color w:val="000000"/>
                <w:sz w:val="19"/>
              </w:rPr>
              <w:t>Future oracle</w:t>
            </w:r>
          </w:p>
        </w:tc>
        <w:tc>
          <w:tcPr>
            <w:tcW w:type="dxa" w:w="2592"/>
            <w:vAlign w:val="center"/>
            <w:tcMar>
              <w:top w:w="75" w:type="dxa"/>
              <w:bottom w:w="75" w:type="dxa"/>
              <w:left w:w="95" w:type="dxa"/>
              <w:right w:w="95" w:type="dxa"/>
            </w:tcMar>
            <w:shd w:fill="F4F4F4"/>
          </w:tcPr>
          <w:p>
            <w:pPr>
              <w:spacing w:after="0" w:line="252" w:lineRule="auto"/>
              <w:jc w:val="center"/>
            </w:pPr>
            <w:r>
              <w:rPr>
                <w:b w:val="0"/>
                <w:color w:val="000000"/>
                <w:sz w:val="19"/>
              </w:rPr>
              <w:t>0.115305</w:t>
            </w:r>
          </w:p>
        </w:tc>
        <w:tc>
          <w:tcPr>
            <w:tcW w:type="dxa" w:w="2592"/>
            <w:vAlign w:val="center"/>
            <w:tcMar>
              <w:top w:w="75" w:type="dxa"/>
              <w:bottom w:w="75" w:type="dxa"/>
              <w:left w:w="95" w:type="dxa"/>
              <w:right w:w="95" w:type="dxa"/>
            </w:tcMar>
            <w:shd w:fill="F4F4F4"/>
          </w:tcPr>
          <w:p>
            <w:pPr>
              <w:spacing w:after="0" w:line="252" w:lineRule="auto"/>
              <w:jc w:val="center"/>
            </w:pPr>
            <w:r>
              <w:rPr>
                <w:b w:val="0"/>
                <w:color w:val="000000"/>
                <w:sz w:val="19"/>
              </w:rPr>
              <w:t>0.007338</w:t>
            </w:r>
          </w:p>
        </w:tc>
      </w:tr>
    </w:tbl>
    <w:p>
      <w:pPr>
        <w:spacing w:after="0"/>
      </w:pPr>
    </w:p>
    <w:p>
      <w:r>
        <w:t>The oracle feature MSE is only 0.65 percent lower than rejecting the newest frame: 0.115305 versus 0.116061. This small headroom matters. These constructed pools show which evidence is useful, but a simple rule already finds most of that value; they do not yet demonstrate a need for a learned selector.</w:t>
      </w:r>
    </w:p>
    <w:p>
      <w:pPr>
        <w:pStyle w:val="Heading2"/>
      </w:pPr>
      <w:r>
        <w:t>What the experiments have achieved</w:t>
      </w:r>
    </w:p>
    <w:p>
      <w:r>
        <w:t>We have a working visual-feature prediction pipeline, paired causal input comparisons, auditable model checkpoints, and a fast same-capacity deletion evaluation. Motion supplies a reproducible signal about relative memory value. Gate supplies a concrete counterexample to assuming that feature-level utility is always stable across training seeds.</w:t>
      </w:r>
    </w:p>
    <w:p>
      <w:pPr>
        <w:pStyle w:val="Heading2"/>
      </w:pPr>
      <w:r>
        <w:t>Limits that should shape the next experiment</w:t>
      </w:r>
    </w:p>
    <w:p>
      <w:r>
        <w:rPr>
          <w:b/>
        </w:rPr>
        <w:t xml:space="preserve">Adaptive development data. </w:t>
      </w:r>
      <w:r>
        <w:t>The same development trajectories informed predictor repairs. No untouched-data confirmation has been run.</w:t>
      </w:r>
    </w:p>
    <w:p>
      <w:r>
        <w:rPr>
          <w:b/>
        </w:rPr>
        <w:t xml:space="preserve">Privileged pools. </w:t>
      </w:r>
      <w:r>
        <w:t>Candidate times were constructed using known task evidence. This does not show that a policy can discover them from past inputs alone.</w:t>
      </w:r>
    </w:p>
    <w:p>
      <w:r>
        <w:rPr>
          <w:b/>
        </w:rPr>
        <w:t xml:space="preserve">Single deletion. </w:t>
      </w:r>
      <w:r>
        <w:t>Every fork resets to its parent. Continuous irreversible forgetting, accumulated errors and long-term redundancy remain untested.</w:t>
      </w:r>
    </w:p>
    <w:p>
      <w:r>
        <w:rPr>
          <w:b/>
        </w:rPr>
        <w:t xml:space="preserve">Uncertain learning headroom. </w:t>
      </w:r>
      <w:r>
        <w:t>A learned policy must beat strong past-only rules in more varied memory states, not merely beat random deletion in an easy diagnostic pool.</w:t>
      </w:r>
    </w:p>
    <w:p>
      <w:pPr>
        <w:pStyle w:val="Heading1"/>
        <w:pageBreakBefore/>
      </w:pPr>
      <w:r>
        <w:t>7  Evidence coverage and next research scope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536"/>
        <w:gridCol w:w="2664"/>
        <w:gridCol w:w="2736"/>
      </w:tblGrid>
      <w:tr>
        <w:trPr>
          <w:cantSplit/>
          <w:tblHeader/>
        </w:trPr>
        <w:tc>
          <w:tcPr>
            <w:tcW w:type="dxa" w:w="4536"/>
            <w:vAlign w:val="center"/>
            <w:tcMar>
              <w:top w:w="75" w:type="dxa"/>
              <w:bottom w:w="75" w:type="dxa"/>
              <w:left w:w="95" w:type="dxa"/>
              <w:right w:w="95" w:type="dxa"/>
            </w:tcMar>
            <w:shd w:fill="333333"/>
          </w:tcPr>
          <w:p>
            <w:pPr>
              <w:spacing w:after="0" w:line="252" w:lineRule="auto"/>
              <w:jc w:val="left"/>
            </w:pPr>
            <w:r>
              <w:rPr>
                <w:b/>
                <w:color w:val="FFFFFF"/>
                <w:sz w:val="18"/>
              </w:rPr>
              <w:t>Evidence category</w:t>
            </w:r>
          </w:p>
        </w:tc>
        <w:tc>
          <w:tcPr>
            <w:tcW w:type="dxa" w:w="2664"/>
            <w:vAlign w:val="center"/>
            <w:tcMar>
              <w:top w:w="75" w:type="dxa"/>
              <w:bottom w:w="75" w:type="dxa"/>
              <w:left w:w="95" w:type="dxa"/>
              <w:right w:w="95" w:type="dxa"/>
            </w:tcMar>
            <w:shd w:fill="333333"/>
          </w:tcPr>
          <w:p>
            <w:pPr>
              <w:spacing w:after="0" w:line="252" w:lineRule="auto"/>
              <w:jc w:val="center"/>
            </w:pPr>
            <w:r>
              <w:rPr>
                <w:b/>
                <w:color w:val="FFFFFF"/>
                <w:sz w:val="18"/>
              </w:rPr>
              <w:t>Gate</w:t>
            </w:r>
          </w:p>
        </w:tc>
        <w:tc>
          <w:tcPr>
            <w:tcW w:type="dxa" w:w="2736"/>
            <w:vAlign w:val="center"/>
            <w:tcMar>
              <w:top w:w="75" w:type="dxa"/>
              <w:bottom w:w="75" w:type="dxa"/>
              <w:left w:w="95" w:type="dxa"/>
              <w:right w:w="95" w:type="dxa"/>
            </w:tcMar>
            <w:shd w:fill="333333"/>
          </w:tcPr>
          <w:p>
            <w:pPr>
              <w:spacing w:after="0" w:line="252" w:lineRule="auto"/>
              <w:jc w:val="center"/>
            </w:pPr>
            <w:r>
              <w:rPr>
                <w:b/>
                <w:color w:val="FFFFFF"/>
                <w:sz w:val="18"/>
              </w:rPr>
              <w:t>Motion</w:t>
            </w:r>
          </w:p>
        </w:tc>
      </w:tr>
      <w:tr>
        <w:trPr>
          <w:cantSplit/>
        </w:trPr>
        <w:tc>
          <w:tcPr>
            <w:tcW w:type="dxa" w:w="4536"/>
            <w:vAlign w:val="center"/>
            <w:tcMar>
              <w:top w:w="75" w:type="dxa"/>
              <w:bottom w:w="75" w:type="dxa"/>
              <w:left w:w="95" w:type="dxa"/>
              <w:right w:w="95" w:type="dxa"/>
            </w:tcMar>
            <w:shd w:fill="FFFFFF"/>
          </w:tcPr>
          <w:p>
            <w:pPr>
              <w:spacing w:after="0" w:line="252" w:lineRule="auto"/>
              <w:jc w:val="left"/>
            </w:pPr>
            <w:r>
              <w:rPr>
                <w:b w:val="0"/>
                <w:color w:val="000000"/>
                <w:sz w:val="18"/>
              </w:rPr>
              <w:t>Evidence readable from features</w:t>
            </w:r>
          </w:p>
        </w:tc>
        <w:tc>
          <w:tcPr>
            <w:tcW w:type="dxa" w:w="2664"/>
            <w:vAlign w:val="center"/>
            <w:tcMar>
              <w:top w:w="75" w:type="dxa"/>
              <w:bottom w:w="75" w:type="dxa"/>
              <w:left w:w="95" w:type="dxa"/>
              <w:right w:w="95" w:type="dxa"/>
            </w:tcMar>
            <w:shd w:fill="FFFFFF"/>
          </w:tcPr>
          <w:p>
            <w:pPr>
              <w:spacing w:after="0" w:line="252" w:lineRule="auto"/>
              <w:jc w:val="center"/>
            </w:pPr>
            <w:r>
              <w:rPr>
                <w:b w:val="0"/>
                <w:color w:val="000000"/>
                <w:sz w:val="18"/>
              </w:rPr>
              <w:t>3/3 pass</w:t>
            </w:r>
          </w:p>
        </w:tc>
        <w:tc>
          <w:tcPr>
            <w:tcW w:type="dxa" w:w="2736"/>
            <w:vAlign w:val="center"/>
            <w:tcMar>
              <w:top w:w="75" w:type="dxa"/>
              <w:bottom w:w="75" w:type="dxa"/>
              <w:left w:w="95" w:type="dxa"/>
              <w:right w:w="95" w:type="dxa"/>
            </w:tcMar>
            <w:shd w:fill="FFFFFF"/>
          </w:tcPr>
          <w:p>
            <w:pPr>
              <w:spacing w:after="0" w:line="252" w:lineRule="auto"/>
              <w:jc w:val="center"/>
            </w:pPr>
            <w:r>
              <w:rPr>
                <w:b w:val="0"/>
                <w:color w:val="000000"/>
                <w:sz w:val="18"/>
              </w:rPr>
              <w:t>3/3 pass</w:t>
            </w:r>
          </w:p>
        </w:tc>
      </w:tr>
      <w:tr>
        <w:trPr>
          <w:cantSplit/>
        </w:trPr>
        <w:tc>
          <w:tcPr>
            <w:tcW w:type="dxa" w:w="4536"/>
            <w:vAlign w:val="center"/>
            <w:tcMar>
              <w:top w:w="75" w:type="dxa"/>
              <w:bottom w:w="75" w:type="dxa"/>
              <w:left w:w="95" w:type="dxa"/>
              <w:right w:w="95" w:type="dxa"/>
            </w:tcMar>
            <w:shd w:fill="F4F4F4"/>
          </w:tcPr>
          <w:p>
            <w:pPr>
              <w:spacing w:after="0" w:line="252" w:lineRule="auto"/>
              <w:jc w:val="left"/>
            </w:pPr>
            <w:r>
              <w:rPr>
                <w:b w:val="0"/>
                <w:color w:val="000000"/>
                <w:sz w:val="18"/>
              </w:rPr>
              <w:t>Original prediction checks</w:t>
            </w:r>
          </w:p>
        </w:tc>
        <w:tc>
          <w:tcPr>
            <w:tcW w:type="dxa" w:w="2664"/>
            <w:vAlign w:val="center"/>
            <w:tcMar>
              <w:top w:w="75" w:type="dxa"/>
              <w:bottom w:w="75" w:type="dxa"/>
              <w:left w:w="95" w:type="dxa"/>
              <w:right w:w="95" w:type="dxa"/>
            </w:tcMar>
            <w:shd w:fill="F4F4F4"/>
          </w:tcPr>
          <w:p>
            <w:pPr>
              <w:spacing w:after="0" w:line="252" w:lineRule="auto"/>
              <w:jc w:val="center"/>
            </w:pPr>
            <w:r>
              <w:rPr>
                <w:b w:val="0"/>
                <w:color w:val="000000"/>
                <w:sz w:val="18"/>
              </w:rPr>
              <w:t>50/51 pass</w:t>
              <w:br/>
              <w:t>Broad coverage</w:t>
            </w:r>
          </w:p>
        </w:tc>
        <w:tc>
          <w:tcPr>
            <w:tcW w:type="dxa" w:w="2736"/>
            <w:vAlign w:val="center"/>
            <w:tcMar>
              <w:top w:w="75" w:type="dxa"/>
              <w:bottom w:w="75" w:type="dxa"/>
              <w:left w:w="95" w:type="dxa"/>
              <w:right w:w="95" w:type="dxa"/>
            </w:tcMar>
            <w:shd w:fill="F4F4F4"/>
          </w:tcPr>
          <w:p>
            <w:pPr>
              <w:spacing w:after="0" w:line="252" w:lineRule="auto"/>
              <w:jc w:val="center"/>
            </w:pPr>
            <w:r>
              <w:rPr>
                <w:b w:val="0"/>
                <w:color w:val="000000"/>
                <w:sz w:val="18"/>
              </w:rPr>
              <w:t>35/51 pass</w:t>
              <w:br/>
              <w:t>Limited on harder tests</w:t>
            </w:r>
          </w:p>
        </w:tc>
      </w:tr>
      <w:tr>
        <w:trPr>
          <w:cantSplit/>
        </w:trPr>
        <w:tc>
          <w:tcPr>
            <w:tcW w:type="dxa" w:w="4536"/>
            <w:vAlign w:val="center"/>
            <w:tcMar>
              <w:top w:w="75" w:type="dxa"/>
              <w:bottom w:w="75" w:type="dxa"/>
              <w:left w:w="95" w:type="dxa"/>
              <w:right w:w="95" w:type="dxa"/>
            </w:tcMar>
            <w:shd w:fill="FFFFFF"/>
          </w:tcPr>
          <w:p>
            <w:pPr>
              <w:spacing w:after="0" w:line="252" w:lineRule="auto"/>
              <w:jc w:val="left"/>
            </w:pPr>
            <w:r>
              <w:rPr>
                <w:b w:val="0"/>
                <w:color w:val="000000"/>
                <w:sz w:val="18"/>
              </w:rPr>
              <w:t>Additional fixed-reference checks</w:t>
            </w:r>
          </w:p>
        </w:tc>
        <w:tc>
          <w:tcPr>
            <w:tcW w:type="dxa" w:w="2664"/>
            <w:vAlign w:val="center"/>
            <w:tcMar>
              <w:top w:w="75" w:type="dxa"/>
              <w:bottom w:w="75" w:type="dxa"/>
              <w:left w:w="95" w:type="dxa"/>
              <w:right w:w="95" w:type="dxa"/>
            </w:tcMar>
            <w:shd w:fill="FFFFFF"/>
          </w:tcPr>
          <w:p>
            <w:pPr>
              <w:spacing w:after="0" w:line="252" w:lineRule="auto"/>
              <w:jc w:val="center"/>
            </w:pPr>
            <w:r>
              <w:rPr>
                <w:b w:val="0"/>
                <w:color w:val="000000"/>
                <w:sz w:val="18"/>
              </w:rPr>
              <w:t>32/32 pass</w:t>
            </w:r>
          </w:p>
        </w:tc>
        <w:tc>
          <w:tcPr>
            <w:tcW w:type="dxa" w:w="2736"/>
            <w:vAlign w:val="center"/>
            <w:tcMar>
              <w:top w:w="75" w:type="dxa"/>
              <w:bottom w:w="75" w:type="dxa"/>
              <w:left w:w="95" w:type="dxa"/>
              <w:right w:w="95" w:type="dxa"/>
            </w:tcMar>
            <w:shd w:fill="FFFFFF"/>
          </w:tcPr>
          <w:p>
            <w:pPr>
              <w:spacing w:after="0" w:line="252" w:lineRule="auto"/>
              <w:jc w:val="center"/>
            </w:pPr>
            <w:r>
              <w:rPr>
                <w:b w:val="0"/>
                <w:color w:val="000000"/>
                <w:sz w:val="18"/>
              </w:rPr>
              <w:t>8/32 pass</w:t>
            </w:r>
          </w:p>
        </w:tc>
      </w:tr>
      <w:tr>
        <w:trPr>
          <w:cantSplit/>
        </w:trPr>
        <w:tc>
          <w:tcPr>
            <w:tcW w:type="dxa" w:w="4536"/>
            <w:vAlign w:val="center"/>
            <w:tcMar>
              <w:top w:w="75" w:type="dxa"/>
              <w:bottom w:w="75" w:type="dxa"/>
              <w:left w:w="95" w:type="dxa"/>
              <w:right w:w="95" w:type="dxa"/>
            </w:tcMar>
            <w:shd w:fill="F4F4F4"/>
          </w:tcPr>
          <w:p>
            <w:pPr>
              <w:spacing w:after="0" w:line="252" w:lineRule="auto"/>
              <w:jc w:val="left"/>
            </w:pPr>
            <w:r>
              <w:rPr>
                <w:b w:val="0"/>
                <w:color w:val="000000"/>
                <w:sz w:val="18"/>
              </w:rPr>
              <w:t>Critical deletion contrasts across all conditions</w:t>
            </w:r>
          </w:p>
        </w:tc>
        <w:tc>
          <w:tcPr>
            <w:tcW w:type="dxa" w:w="2664"/>
            <w:vAlign w:val="center"/>
            <w:tcMar>
              <w:top w:w="75" w:type="dxa"/>
              <w:bottom w:w="75" w:type="dxa"/>
              <w:left w:w="95" w:type="dxa"/>
              <w:right w:w="95" w:type="dxa"/>
            </w:tcMar>
            <w:shd w:fill="F4F4F4"/>
          </w:tcPr>
          <w:p>
            <w:pPr>
              <w:spacing w:after="0" w:line="252" w:lineRule="auto"/>
              <w:jc w:val="center"/>
            </w:pPr>
            <w:r>
              <w:rPr>
                <w:b w:val="0"/>
                <w:color w:val="000000"/>
                <w:sz w:val="18"/>
              </w:rPr>
              <w:t>6/18 pass</w:t>
              <w:br/>
              <w:t>Ordinary 4/6</w:t>
            </w:r>
          </w:p>
        </w:tc>
        <w:tc>
          <w:tcPr>
            <w:tcW w:type="dxa" w:w="2736"/>
            <w:vAlign w:val="center"/>
            <w:tcMar>
              <w:top w:w="75" w:type="dxa"/>
              <w:bottom w:w="75" w:type="dxa"/>
              <w:left w:w="95" w:type="dxa"/>
              <w:right w:w="95" w:type="dxa"/>
            </w:tcMar>
            <w:shd w:fill="F4F4F4"/>
          </w:tcPr>
          <w:p>
            <w:pPr>
              <w:spacing w:after="0" w:line="252" w:lineRule="auto"/>
              <w:jc w:val="center"/>
            </w:pPr>
            <w:r>
              <w:rPr>
                <w:b w:val="0"/>
                <w:color w:val="000000"/>
                <w:sz w:val="18"/>
              </w:rPr>
              <w:t>36/36 pass</w:t>
              <w:br/>
              <w:t>Ordinary 12/12</w:t>
            </w:r>
          </w:p>
        </w:tc>
      </w:tr>
      <w:tr>
        <w:trPr>
          <w:cantSplit/>
        </w:trPr>
        <w:tc>
          <w:tcPr>
            <w:tcW w:type="dxa" w:w="4536"/>
            <w:vAlign w:val="center"/>
            <w:tcMar>
              <w:top w:w="75" w:type="dxa"/>
              <w:bottom w:w="75" w:type="dxa"/>
              <w:left w:w="95" w:type="dxa"/>
              <w:right w:w="95" w:type="dxa"/>
            </w:tcMar>
            <w:shd w:fill="FFFFFF"/>
          </w:tcPr>
          <w:p>
            <w:pPr>
              <w:spacing w:after="0" w:line="252" w:lineRule="auto"/>
              <w:jc w:val="left"/>
            </w:pPr>
            <w:r>
              <w:rPr>
                <w:b w:val="0"/>
                <w:color w:val="000000"/>
                <w:sz w:val="18"/>
              </w:rPr>
              <w:t>Cross-horizon deletion checks</w:t>
            </w:r>
          </w:p>
        </w:tc>
        <w:tc>
          <w:tcPr>
            <w:tcW w:type="dxa" w:w="2664"/>
            <w:vAlign w:val="center"/>
            <w:tcMar>
              <w:top w:w="75" w:type="dxa"/>
              <w:bottom w:w="75" w:type="dxa"/>
              <w:left w:w="95" w:type="dxa"/>
              <w:right w:w="95" w:type="dxa"/>
            </w:tcMar>
            <w:shd w:fill="FFFFFF"/>
          </w:tcPr>
          <w:p>
            <w:pPr>
              <w:spacing w:after="0" w:line="252" w:lineRule="auto"/>
              <w:jc w:val="center"/>
            </w:pPr>
            <w:r>
              <w:rPr>
                <w:b w:val="0"/>
                <w:color w:val="000000"/>
                <w:sz w:val="18"/>
              </w:rPr>
              <w:t>18/18 pass</w:t>
            </w:r>
          </w:p>
        </w:tc>
        <w:tc>
          <w:tcPr>
            <w:tcW w:type="dxa" w:w="2736"/>
            <w:vAlign w:val="center"/>
            <w:tcMar>
              <w:top w:w="75" w:type="dxa"/>
              <w:bottom w:w="75" w:type="dxa"/>
              <w:left w:w="95" w:type="dxa"/>
              <w:right w:w="95" w:type="dxa"/>
            </w:tcMar>
            <w:shd w:fill="FFFFFF"/>
          </w:tcPr>
          <w:p>
            <w:pPr>
              <w:spacing w:after="0" w:line="252" w:lineRule="auto"/>
              <w:jc w:val="center"/>
            </w:pPr>
            <w:r>
              <w:rPr>
                <w:b w:val="0"/>
                <w:color w:val="000000"/>
                <w:sz w:val="18"/>
              </w:rPr>
              <w:t>18/18 pass</w:t>
            </w:r>
          </w:p>
        </w:tc>
      </w:tr>
      <w:tr>
        <w:trPr>
          <w:cantSplit/>
        </w:trPr>
        <w:tc>
          <w:tcPr>
            <w:tcW w:type="dxa" w:w="4536"/>
            <w:vAlign w:val="center"/>
            <w:tcMar>
              <w:top w:w="75" w:type="dxa"/>
              <w:bottom w:w="75" w:type="dxa"/>
              <w:left w:w="95" w:type="dxa"/>
              <w:right w:w="95" w:type="dxa"/>
            </w:tcMar>
            <w:shd w:fill="F4F4F4"/>
          </w:tcPr>
          <w:p>
            <w:pPr>
              <w:spacing w:after="0" w:line="252" w:lineRule="auto"/>
              <w:jc w:val="left"/>
            </w:pPr>
            <w:r>
              <w:rPr>
                <w:b w:val="0"/>
                <w:color w:val="000000"/>
                <w:sz w:val="18"/>
              </w:rPr>
              <w:t>Learned-policy advantage and fresh confirmation</w:t>
            </w:r>
          </w:p>
        </w:tc>
        <w:tc>
          <w:tcPr>
            <w:tcW w:type="dxa" w:w="2664"/>
            <w:vAlign w:val="center"/>
            <w:tcMar>
              <w:top w:w="75" w:type="dxa"/>
              <w:bottom w:w="75" w:type="dxa"/>
              <w:left w:w="95" w:type="dxa"/>
              <w:right w:w="95" w:type="dxa"/>
            </w:tcMar>
            <w:shd w:fill="F4F4F4"/>
          </w:tcPr>
          <w:p>
            <w:pPr>
              <w:spacing w:after="0" w:line="252" w:lineRule="auto"/>
              <w:jc w:val="center"/>
            </w:pPr>
            <w:r>
              <w:rPr>
                <w:b w:val="0"/>
                <w:color w:val="000000"/>
                <w:sz w:val="18"/>
              </w:rPr>
              <w:t>Not yet tested</w:t>
            </w:r>
          </w:p>
        </w:tc>
        <w:tc>
          <w:tcPr>
            <w:tcW w:type="dxa" w:w="2736"/>
            <w:vAlign w:val="center"/>
            <w:tcMar>
              <w:top w:w="75" w:type="dxa"/>
              <w:bottom w:w="75" w:type="dxa"/>
              <w:left w:w="95" w:type="dxa"/>
              <w:right w:w="95" w:type="dxa"/>
            </w:tcMar>
            <w:shd w:fill="F4F4F4"/>
          </w:tcPr>
          <w:p>
            <w:pPr>
              <w:spacing w:after="0" w:line="252" w:lineRule="auto"/>
              <w:jc w:val="center"/>
            </w:pPr>
            <w:r>
              <w:rPr>
                <w:b w:val="0"/>
                <w:color w:val="000000"/>
                <w:sz w:val="18"/>
              </w:rPr>
              <w:t>Not yet tested</w:t>
            </w:r>
          </w:p>
        </w:tc>
      </w:tr>
    </w:tbl>
    <w:p>
      <w:pPr>
        <w:spacing w:after="0"/>
      </w:pPr>
    </w:p>
    <w:p>
      <w:pPr>
        <w:pStyle w:val="Heading2"/>
      </w:pPr>
      <w:r>
        <w:t>Why majority coverage is useful but not sufficient by itself</w:t>
      </w:r>
    </w:p>
    <w:p>
      <w:r>
        <w:t>Exploratory research does not require universal success. High coverage supports a broad but qualified claim; concentrated exceptions identify its boundary. However, correct pairing, past-only inputs and equal capacity are validity requirements, not votes. A large count of easier successes cannot establish long-occlusion reliability when that specific condition is weak. These checks also share data, so 50/51 is not a 98 percent probability that the proposal works.</w:t>
      </w:r>
    </w:p>
    <w:p>
      <w:r>
        <w:t>The earlier all-checks acceptance rule was conservative and remains unmet. This descriptive coverage summary was written after observing the results; it does not replace that rule with a new majority threshold or claim a retrospective confirmation pass.</w:t>
      </w:r>
    </w:p>
    <w:p>
      <w:pPr>
        <w:pStyle w:val="Heading2"/>
      </w:pPr>
      <w:r>
        <w:t>Evidence and reproducibility</w:t>
      </w:r>
    </w:p>
    <w:p>
      <w:r>
        <w:t>D1 contains six complete models, 720 epoch records and 69120 evaluation rows; 64 fixed comparisons were independently checked. D2 contains 55296 fork-horizon rows and 180 independently recomputed comparisons. The statistical units are 128 base pairs per task and condition, not the raw rows. D2 used zero new GPU time. Settled GPU use was 3 h 32 min 03 s within the 8 h cap; no retention policy or fresh confirmation was run.</w:t>
      </w:r>
    </w:p>
    <w:p>
      <w:pPr>
        <w:pStyle w:val="Heading2"/>
      </w:pPr>
      <w:r>
        <w:t>Sources</w:t>
      </w:r>
    </w:p>
    <w:p>
      <w:pPr>
        <w:spacing w:after="100"/>
      </w:pPr>
      <w:r>
        <w:rPr>
          <w:sz w:val="17"/>
        </w:rPr>
        <w:t>[1] Assran et al. Self-Supervised Learning from Images with a Joint-Embedding Predictive Architecture. CVPR, 2023. https://arxiv.org/abs/2301.08243</w:t>
      </w:r>
    </w:p>
    <w:p>
      <w:pPr>
        <w:spacing w:after="100"/>
      </w:pPr>
      <w:r>
        <w:rPr>
          <w:sz w:val="17"/>
        </w:rPr>
        <w:t>[2] Lee et al. Set Transformer A Framework for Attention-based Permutation-Invariant Neural Networks. ICML, 2019. https://proceedings.mlr.press/v97/lee19d.html</w:t>
      </w:r>
    </w:p>
    <w:p>
      <w:pPr>
        <w:spacing w:after="100"/>
      </w:pPr>
      <w:r>
        <w:rPr>
          <w:sz w:val="17"/>
        </w:rPr>
        <w:t>[3] Zeng et al. Are Transformers Effective for Time Series Forecasting. AAAI, 2023. https://arxiv.org/abs/2205.13504</w:t>
      </w:r>
    </w:p>
    <w:p>
      <w:pPr>
        <w:spacing w:after="100"/>
      </w:pPr>
      <w:r>
        <w:rPr>
          <w:sz w:val="17"/>
        </w:rPr>
        <w:t>D1  Predictor experiment 7574 and audited evaluation 7575/7576, archived in phase1_predictor_repair_v2. This report covers the last complete candidate, not incomplete later trials.</w:t>
      </w:r>
    </w:p>
    <w:p>
      <w:pPr>
        <w:spacing w:after="100"/>
      </w:pPr>
      <w:r>
        <w:rPr>
          <w:sz w:val="17"/>
        </w:rPr>
        <w:t>D2  Deletion assay 7590, archived in phase1_deletion_assay. Its protocol preceded deletion outcomes, but its models and data were already development-selected.</w:t>
      </w:r>
    </w:p>
    <w:p>
      <w:pPr>
        <w:pStyle w:val="Heading2"/>
      </w:pPr>
      <w:r>
        <w:t>Conclusion</w:t>
      </w:r>
    </w:p>
    <w:p>
      <w:r>
        <w:t>The proposal has meaningful, graded support. Gate shows broad prediction evidence at 50/51 plus 32/32 checks, with an unresolved seed and weaker deletion coverage. Motion shows consistent deletion value at 36/36 plus 18/18 checks, while its harder prediction conditions remain limited. This supports a scoped Motion learnability pilot and targeted Gate stability checks. It does not yet establish a learned retention advantage, V-JEPA transfer or untouched-data confirmation. The useful outcome is a clearer mechanism and research boundary, not a single pass or fail label.</w:t>
      </w:r>
    </w:p>
    <w:sectPr w:rsidR="00FC693F" w:rsidRPr="0006063C" w:rsidSect="00034616">
      <w:footerReference w:type="default" r:id="rId9"/>
      <w:pgSz w:w="12240" w:h="15840"/>
      <w:pgMar w:top="922" w:right="1037" w:bottom="893" w:left="1037" w:header="288" w:footer="37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Phase One Visual Memory Study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2" w:lineRule="auto" w:after="12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6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0" w:lineRule="auto" w:after="160"/>
    </w:pPr>
    <w:rPr>
      <w:rFonts w:ascii="Arial" w:hAnsi="Arial"/>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