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Study of Bounded Visual Memory</w:t>
      </w:r>
    </w:p>
    <w:p>
      <w:pPr>
        <w:pStyle w:val="Subtitle"/>
      </w:pPr>
      <w:r>
        <w:t>Research goals  Experimental design  Individual tests  Findings and next tasks</w:t>
        <w:br/>
        <w:t>I-JEPA prototype  |  16 October 2026</w:t>
      </w:r>
    </w:p>
    <w:p>
      <w:pPr>
        <w:pStyle w:val="Heading1"/>
      </w:pPr>
      <w:r>
        <w:t>1  Research objective</w:t>
      </w:r>
    </w:p>
    <w:p>
      <w:r>
        <w:rPr>
          <w:b/>
        </w:rPr>
        <w:t>Overall objective.</w:t>
      </w:r>
      <w:r>
        <w:t xml:space="preserve"> When a model cannot remember everything it has seen, which observations should it keep? Our proposal tests whether the extra prediction error caused by deleting a memory can teach a small retention policy to make better choices.</w:t>
      </w:r>
    </w:p>
    <w:p>
      <w:r>
        <w:rPr>
          <w:b/>
        </w:rPr>
        <w:t>Objective of this stage.</w:t>
      </w:r>
      <w:r>
        <w:t xml:space="preserve"> Establish the prerequisites before learning a policy: useful evidence must survive visual encoding, the predictor must respond to that evidence, and equal-sized memory alternatives must produce informative differences in prediction cost. The original Phase One covers the first two questions; the deletion assay is a transition toward the later retention stage.</w:t>
      </w:r>
    </w:p>
    <w:p>
      <w:pPr>
        <w:keepNext/>
        <w:spacing w:after="80"/>
      </w:pPr>
      <w:r>
        <w:drawing>
          <wp:inline xmlns:a="http://schemas.openxmlformats.org/drawingml/2006/main" xmlns:pic="http://schemas.openxmlformats.org/drawingml/2006/picture">
            <wp:extent cx="6355080" cy="2850564"/>
            <wp:docPr id="1" name="Picture 1" descr="Figure 1. Read left to right: earlier evidence, recent view, future outcome. Paired scenes A and B have the same recent view but different futures. The earlier Gate cue or Motion positions distinguish them. These are explanatory drawings, not sampled test frames or model prediction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Read left to right: earlier evidence, recent view, future outcome. Paired scenes A and B have the same recent view but different futures. The earlier Gate cue or Motion positions distinguish them. These are explanatory drawings, not sampled test frames or model predictions.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cantSplit/>
          <w:tblHeader/>
        </w:trPr>
        <w:tc>
          <w:tcPr>
            <w:tcW w:type="dxa" w:w="3168"/>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6768"/>
            <w:vAlign w:val="center"/>
            <w:tcMar>
              <w:top w:w="75" w:type="dxa"/>
              <w:bottom w:w="75" w:type="dxa"/>
              <w:left w:w="95" w:type="dxa"/>
              <w:right w:w="95" w:type="dxa"/>
            </w:tcMar>
            <w:shd w:fill="333333"/>
          </w:tcPr>
          <w:p>
            <w:pPr>
              <w:spacing w:after="0" w:line="252" w:lineRule="auto"/>
              <w:jc w:val="center"/>
            </w:pPr>
            <w:r>
              <w:rPr>
                <w:b/>
                <w:color w:val="FFFFFF"/>
                <w:sz w:val="19"/>
              </w:rPr>
              <w:t>Why it matters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Can the features preserve the clue?</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A policy cannot keep useful information if encoding has already removed it.</w:t>
            </w:r>
          </w:p>
        </w:tc>
      </w:tr>
      <w:tr>
        <w:trPr>
          <w:cantSplit/>
        </w:trPr>
        <w:tc>
          <w:tcPr>
            <w:tcW w:type="dxa" w:w="3168"/>
            <w:vAlign w:val="center"/>
            <w:tcMar>
              <w:top w:w="75" w:type="dxa"/>
              <w:bottom w:w="75" w:type="dxa"/>
              <w:left w:w="95" w:type="dxa"/>
              <w:right w:w="95" w:type="dxa"/>
            </w:tcMar>
            <w:shd w:fill="F4F4F4"/>
          </w:tcPr>
          <w:p>
            <w:pPr>
              <w:spacing w:after="0" w:line="252" w:lineRule="auto"/>
              <w:jc w:val="left"/>
            </w:pPr>
            <w:r>
              <w:rPr>
                <w:b w:val="0"/>
                <w:color w:val="000000"/>
                <w:sz w:val="19"/>
              </w:rPr>
              <w:t>Can prediction use that clue?</w:t>
            </w:r>
          </w:p>
        </w:tc>
        <w:tc>
          <w:tcPr>
            <w:tcW w:type="dxa" w:w="6768"/>
            <w:vAlign w:val="center"/>
            <w:tcMar>
              <w:top w:w="75" w:type="dxa"/>
              <w:bottom w:w="75" w:type="dxa"/>
              <w:left w:w="95" w:type="dxa"/>
              <w:right w:w="95" w:type="dxa"/>
            </w:tcMar>
            <w:shd w:fill="F4F4F4"/>
          </w:tcPr>
          <w:p>
            <w:pPr>
              <w:spacing w:after="0" w:line="252" w:lineRule="auto"/>
              <w:jc w:val="left"/>
            </w:pPr>
            <w:r>
              <w:rPr>
                <w:b w:val="0"/>
                <w:color w:val="000000"/>
                <w:sz w:val="19"/>
              </w:rPr>
              <w:t>Deletion cost is meaningful only when the predictor responds to what remains.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Does the cost distinguish forgetting choices?</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This is the proposed supervision signal for a future retention scorer.</w:t>
            </w:r>
          </w:p>
        </w:tc>
      </w:tr>
    </w:tbl>
    <w:p>
      <w:pPr>
        <w:spacing w:after="0"/>
      </w:pPr>
    </w:p>
    <w:p>
      <w:r>
        <w:t>The intended contribution is a better bounded-memory decision. A perfect general dynamics model is not the research objective. Current results concern I-JEPA and these controlled tasks; no learned retention-policy advantage, V-JEPA transfer or fresh confirmation has been demonstrated.</w:t>
      </w:r>
    </w:p>
    <w:p>
      <w:pPr>
        <w:pStyle w:val="Heading1"/>
        <w:pageBreakBefore/>
      </w:pPr>
      <w:r>
        <w:t>2  Experimental design</w:t>
      </w:r>
    </w:p>
    <w:p>
      <w:pPr>
        <w:pStyle w:val="Heading2"/>
      </w:pPr>
      <w:r>
        <w:t>2.1  Data and preprocessing</w:t>
      </w:r>
    </w:p>
    <w:p>
      <w:r>
        <w:t>We use generated, controlled visual trajectories rather than a public video benchmark. Each matched pair contains two episodes with identical recent images and action sequences, but different earlier evidence and later outcomes. Gate tests a transient cue; Motion tests pre-occlusion movement. Historical split names contain the word test, but these data are now development evidence because predictor repairs were informed by them.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1440"/>
        <w:gridCol w:w="1872"/>
        <w:gridCol w:w="3960"/>
      </w:tblGrid>
      <w:tr>
        <w:trPr>
          <w:cantSplit/>
          <w:tblHeader/>
        </w:trPr>
        <w:tc>
          <w:tcPr>
            <w:tcW w:type="dxa" w:w="2664"/>
            <w:vAlign w:val="center"/>
            <w:tcMar>
              <w:top w:w="75" w:type="dxa"/>
              <w:bottom w:w="75" w:type="dxa"/>
              <w:left w:w="95" w:type="dxa"/>
              <w:right w:w="95" w:type="dxa"/>
            </w:tcMar>
            <w:shd w:fill="333333"/>
          </w:tcPr>
          <w:p>
            <w:pPr>
              <w:spacing w:after="0" w:line="252" w:lineRule="auto"/>
              <w:jc w:val="left"/>
            </w:pPr>
            <w:r>
              <w:rPr>
                <w:b/>
                <w:color w:val="FFFFFF"/>
                <w:sz w:val="18"/>
              </w:rPr>
              <w:t>Split per task</w:t>
            </w:r>
          </w:p>
        </w:tc>
        <w:tc>
          <w:tcPr>
            <w:tcW w:type="dxa" w:w="1440"/>
            <w:vAlign w:val="center"/>
            <w:tcMar>
              <w:top w:w="75" w:type="dxa"/>
              <w:bottom w:w="75" w:type="dxa"/>
              <w:left w:w="95" w:type="dxa"/>
              <w:right w:w="95" w:type="dxa"/>
            </w:tcMar>
            <w:shd w:fill="333333"/>
          </w:tcPr>
          <w:p>
            <w:pPr>
              <w:spacing w:after="0" w:line="252" w:lineRule="auto"/>
              <w:jc w:val="center"/>
            </w:pPr>
            <w:r>
              <w:rPr>
                <w:b/>
                <w:color w:val="FFFFFF"/>
                <w:sz w:val="18"/>
              </w:rPr>
              <w:t>Matched pairs</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Episodes per task</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Purpose</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Training</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512</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1024</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Fit predictors and train-only preprocessing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Validation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96</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192</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Select readout settings and predictor checkpoint</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Ordinary test condition</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Conditions similar to training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Long gap or occlusion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Stress longer missing-information intervals</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Stress changed visual distractions</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Total per task</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992</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1984</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Two tasks give 3968 episodes in total</w:t>
            </w:r>
          </w:p>
        </w:tc>
      </w:tr>
    </w:tbl>
    <w:p>
      <w:pPr>
        <w:spacing w:after="0"/>
      </w:pPr>
    </w:p>
    <w:p>
      <w:r>
        <w:rPr>
          <w:b/>
        </w:rPr>
        <w:t>Processing.</w:t>
      </w:r>
      <w:r>
        <w:t xml:space="preserve"> Rendered 96 x 96 RGB frames pass through the pinned official I-JEPA image processor without a center crop. The frozen encoder is spatially pooled into four cells, producing a 5120-dimensional vector per frame. Mean and scale are fitted using training frames only; a train-only 128-dimensional basis reduces predictor input size. Prediction error is still scored in the complete normalized 5120-dimensional output.</w:t>
      </w:r>
    </w:p>
    <w:p>
      <w:pPr>
        <w:pStyle w:val="Heading2"/>
      </w:pPr>
      <w:r>
        <w:t>2.2  Tests and the questions they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032"/>
        <w:gridCol w:w="3960"/>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8"/>
              </w:rPr>
              <w:t>Test</w:t>
            </w:r>
          </w:p>
        </w:tc>
        <w:tc>
          <w:tcPr>
            <w:tcW w:type="dxa" w:w="4032"/>
            <w:vAlign w:val="center"/>
            <w:tcMar>
              <w:top w:w="75" w:type="dxa"/>
              <w:bottom w:w="75" w:type="dxa"/>
              <w:left w:w="95" w:type="dxa"/>
              <w:right w:w="95" w:type="dxa"/>
            </w:tcMar>
            <w:shd w:fill="333333"/>
          </w:tcPr>
          <w:p>
            <w:pPr>
              <w:spacing w:after="0" w:line="252" w:lineRule="auto"/>
              <w:jc w:val="center"/>
            </w:pPr>
            <w:r>
              <w:rPr>
                <w:b/>
                <w:color w:val="FFFFFF"/>
                <w:sz w:val="18"/>
              </w:rPr>
              <w:t>Actual comparison</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What it can establish</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T1  Evidence readout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Historical feature versus recent-only feature readout</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Did the frozen features retain the cue or movement direction?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T2  History benefit</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Two key memories versus recent observations alone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supplying historical evidence improve future prediction?</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T3  History replacement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Correct history versus the paired episode history</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changing historical content change the predicted future?</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T4  Fixed reference</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Current candidate versus an earlier frozen predictor</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Did repair improve prediction against a stable reference?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T5  Critical deletion</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Delete a key frame versus delete nuisance content; both retain 2</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deletion cost recognize useful evidence at equal capacity?</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T6  Cross horizon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Choose a deletion at 3 steps and score at 6, then reverse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usefulness of the deletion choice transfer across time?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T7  Policy advantage</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A learned past-only scorer versus strong streaming baselines</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Can a deployable policy exploit the signal?  Not run.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Locked procedure evaluated with untouched data</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result repeat beyond inspected development data?  Not run.</w:t>
            </w:r>
          </w:p>
        </w:tc>
      </w:tr>
    </w:tbl>
    <w:p>
      <w:pPr>
        <w:spacing w:after="0"/>
      </w:pPr>
    </w:p>
    <w:p>
      <w:pPr>
        <w:pStyle w:val="Caption"/>
      </w:pPr>
      <w:r>
        <w:t>Legacy labels: Original prediction checks combine T1, T2 and T3. Additional fixed-reference checks are T4. The previously combined last row contains two different future studies, T7 and T8. They have no completed result.</w:t>
      </w:r>
    </w:p>
    <w:p>
      <w:pPr>
        <w:pStyle w:val="Heading1"/>
        <w:pageBreakBefore/>
      </w:pPr>
      <w:r>
        <w:t>2.3  Structure and recorded data</w:t>
      </w:r>
    </w:p>
    <w:p>
      <w:pPr>
        <w:keepNext/>
        <w:spacing w:after="80"/>
      </w:pPr>
      <w:r>
        <w:drawing>
          <wp:inline xmlns:a="http://schemas.openxmlformats.org/drawingml/2006/main" xmlns:pic="http://schemas.openxmlformats.org/drawingml/2006/picture">
            <wp:extent cx="6355080" cy="1660034"/>
            <wp:docPr id="2" name="Picture 2" descr="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355080" cy="1660034"/>
                    </a:xfrm>
                    <a:prstGeom prst="rect"/>
                  </pic:spPr>
                </pic:pic>
              </a:graphicData>
            </a:graphic>
          </wp:inline>
        </w:drawing>
      </w:r>
    </w:p>
    <w:p>
      <w:pPr>
        <w:pStyle w:val="Caption"/>
      </w:pPr>
      <w:r>
        <w:t>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2952"/>
        <w:gridCol w:w="4680"/>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Block</w:t>
            </w:r>
          </w:p>
        </w:tc>
        <w:tc>
          <w:tcPr>
            <w:tcW w:type="dxa" w:w="2952"/>
            <w:vAlign w:val="center"/>
            <w:tcMar>
              <w:top w:w="75" w:type="dxa"/>
              <w:bottom w:w="75" w:type="dxa"/>
              <w:left w:w="95" w:type="dxa"/>
              <w:right w:w="95" w:type="dxa"/>
            </w:tcMar>
            <w:shd w:fill="333333"/>
          </w:tcPr>
          <w:p>
            <w:pPr>
              <w:spacing w:after="0" w:line="252" w:lineRule="auto"/>
              <w:jc w:val="center"/>
            </w:pPr>
            <w:r>
              <w:rPr>
                <w:b/>
                <w:color w:val="FFFFFF"/>
                <w:sz w:val="18"/>
              </w:rPr>
              <w:t>What it does</w:t>
            </w:r>
          </w:p>
        </w:tc>
        <w:tc>
          <w:tcPr>
            <w:tcW w:type="dxa" w:w="4680"/>
            <w:vAlign w:val="center"/>
            <w:tcMar>
              <w:top w:w="75" w:type="dxa"/>
              <w:bottom w:w="75" w:type="dxa"/>
              <w:left w:w="95" w:type="dxa"/>
              <w:right w:w="95" w:type="dxa"/>
            </w:tcMar>
            <w:shd w:fill="333333"/>
          </w:tcPr>
          <w:p>
            <w:pPr>
              <w:spacing w:after="0" w:line="252" w:lineRule="auto"/>
              <w:jc w:val="center"/>
            </w:pPr>
            <w:r>
              <w:rPr>
                <w:b/>
                <w:color w:val="FFFFFF"/>
                <w:sz w:val="18"/>
              </w:rPr>
              <w:t>What is recorded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data</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Create paired Gate and Motion episodes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RGB, actions, timestamps, pair and split IDs, evidence times; state and labels reserved for diagnostics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Frozen encoder and cache</w:t>
            </w:r>
          </w:p>
        </w:tc>
        <w:tc>
          <w:tcPr>
            <w:tcW w:type="dxa" w:w="2952"/>
            <w:vAlign w:val="center"/>
            <w:tcMar>
              <w:top w:w="75" w:type="dxa"/>
              <w:bottom w:w="75" w:type="dxa"/>
              <w:left w:w="95" w:type="dxa"/>
              <w:right w:w="95" w:type="dxa"/>
            </w:tcMar>
            <w:shd w:fill="F4F4F4"/>
          </w:tcPr>
          <w:p>
            <w:pPr>
              <w:spacing w:after="0" w:line="252" w:lineRule="auto"/>
              <w:jc w:val="center"/>
            </w:pPr>
            <w:r>
              <w:rPr>
                <w:b w:val="0"/>
                <w:color w:val="000000"/>
                <w:sz w:val="18"/>
              </w:rPr>
              <w:t>Encode each observed frame once</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Feature arrays, shape, precision, checkpoint and processor identity, per-file hashes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Train-only preprocessing</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Normalize features and fit the input basis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Training episode membership, mean, scale, basis and their hashes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Recent reference and candidate</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Predict features with different history conditions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Epoch and step, training loss, validation error, best checkpoint, optimizer and RNG evidence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Prediction evaluation</w:t>
            </w:r>
          </w:p>
        </w:tc>
        <w:tc>
          <w:tcPr>
            <w:tcW w:type="dxa" w:w="2952"/>
            <w:vAlign w:val="center"/>
            <w:tcMar>
              <w:top w:w="75" w:type="dxa"/>
              <w:bottom w:w="75" w:type="dxa"/>
              <w:left w:w="95" w:type="dxa"/>
              <w:right w:w="95" w:type="dxa"/>
            </w:tcMar>
            <w:shd w:fill="FFFFFF"/>
          </w:tcPr>
          <w:p>
            <w:pPr>
              <w:spacing w:after="0" w:line="252" w:lineRule="auto"/>
              <w:jc w:val="left"/>
            </w:pPr>
            <w:r>
              <w:rPr>
                <w:b w:val="0"/>
                <w:color w:val="000000"/>
                <w:sz w:val="18"/>
              </w:rPr>
              <w:t>Compare forecasts with targets and paired alternatives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Feature MSE, task error, pair margin, condition, seed, horizon, memory count and bytes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Deletion evaluation</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Fork the same parent into alternative removals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Removed and retained entry IDs, equal-capacity checks, feature and task losses per fork</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Statistical audit</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Check pairing and recompute contrasts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128-pair aggregates, uncertainty intervals, x/y criterion counts and provenance ledger</w:t>
            </w:r>
          </w:p>
        </w:tc>
      </w:tr>
    </w:tbl>
    <w:p>
      <w:pPr>
        <w:spacing w:after="0"/>
      </w:pPr>
    </w:p>
    <w:p>
      <w:pPr>
        <w:pStyle w:val="Heading3"/>
      </w:pPr>
      <w:r>
        <w:t>Shared settings</w:t>
      </w:r>
    </w:p>
    <w:p>
      <w:r>
        <w:t>The candidate starts with a frozen recent-only forecast and adds a learned correction from centered historical features. It reads every retained entry, weights their content, and uses elapsed time with observed feature differences to transport evidence forward. This is a prediction mechanism, not a trained memory-retention policy; no retrieval or selector chooses the stored entries.</w:t>
      </w:r>
    </w:p>
    <w:p>
      <w:r>
        <w:t>Recent context is 4 frames; the bounded history contains 2 real entries; future horizons are 3 and 6 steps. Full history is an additional information reference, not an equal-capacity competitor. The complete candidate experiment trained seeds 17, 29 and 43 for each task: six models, 120 epochs and 7680 steps each. Checkpoints were selected by the earliest minimum of validation MSE across four balanced conditions and both horizons.</w:t>
      </w:r>
    </w:p>
    <w:p>
      <w:pPr>
        <w:pStyle w:val="Heading3"/>
      </w:pPr>
      <w:r>
        <w:t>Reading the numbers</w:t>
      </w:r>
    </w:p>
    <w:p>
      <w:r>
        <w:t>MSE means average squared error: lower is better. A positive error reduction means history helped. For prediction tests, 95 percent confidence intervals use 2000 paired bootstrap replicates of 128 base pairs; the deletion assay uses 10000 replicates. Siblings, deletion forks and seed means are not additional independent examples. An uncertainty interval crossing zero leaves the direction unresolved.</w:t>
      </w:r>
    </w:p>
    <w:p>
      <w:pPr>
        <w:pStyle w:val="Heading1"/>
        <w:pageBreakBefore/>
      </w:pPr>
      <w:r>
        <w:t>3  Results for each test</w:t>
      </w:r>
    </w:p>
    <w:p>
      <w:pPr>
        <w:pStyle w:val="Heading2"/>
      </w:pPr>
      <w:r>
        <w:t>3.1  T1  Can the features preserve the evidence</w:t>
      </w:r>
    </w:p>
    <w:p>
      <w:r>
        <w:rPr>
          <w:b/>
        </w:rPr>
        <w:t>Question.</w:t>
      </w:r>
      <w:r>
        <w:t xml:space="preserve"> Before asking a predictor to use memory, did the visual representation preserve what the task needs?</w:t>
      </w:r>
    </w:p>
    <w:p>
      <w:r>
        <w:rPr>
          <w:b/>
        </w:rPr>
        <w:t>Comparison.</w:t>
      </w:r>
      <w:r>
        <w:t xml:space="preserve"> A simple linear readout was fitted on training features, selected on validation, and scored on each test condition. It reads the Gate cue or the two-frame Motion evidence. A recent-only readout is the control. These previously fitted probes are reused; no new fitting was performed for this report.</w:t>
      </w:r>
    </w:p>
    <w:p>
      <w:pPr>
        <w:keepNext/>
        <w:spacing w:after="80"/>
      </w:pPr>
      <w:r>
        <w:drawing>
          <wp:inline xmlns:a="http://schemas.openxmlformats.org/drawingml/2006/main" xmlns:pic="http://schemas.openxmlformats.org/drawingml/2006/picture">
            <wp:extent cx="6355080" cy="2851764"/>
            <wp:docPr id="3" name="Picture 3" descr="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
            <wp:cNvGraphicFramePr>
              <a:graphicFrameLocks noChangeAspect="1"/>
            </wp:cNvGraphicFramePr>
            <a:graphic>
              <a:graphicData uri="http://schemas.openxmlformats.org/drawingml/2006/picture">
                <pic:pic>
                  <pic:nvPicPr>
                    <pic:cNvPr id="0" name="08_feature_readout.png"/>
                    <pic:cNvPicPr/>
                  </pic:nvPicPr>
                  <pic:blipFill>
                    <a:blip r:embed="rId12"/>
                    <a:stretch>
                      <a:fillRect/>
                    </a:stretch>
                  </pic:blipFill>
                  <pic:spPr>
                    <a:xfrm>
                      <a:off x="0" y="0"/>
                      <a:ext cx="6355080" cy="2851764"/>
                    </a:xfrm>
                    <a:prstGeom prst="rect"/>
                  </pic:spPr>
                </pic:pic>
              </a:graphicData>
            </a:graphic>
          </wp:inline>
        </w:drawing>
      </w:r>
    </w:p>
    <w:p>
      <w:pPr>
        <w:pStyle w:val="Caption"/>
      </w:pPr>
      <w:r>
        <w:t>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3312"/>
        <w:gridCol w:w="3312"/>
      </w:tblGrid>
      <w:tr>
        <w:trPr>
          <w:cantSplit/>
          <w:tblHeader/>
        </w:trPr>
        <w:tc>
          <w:tcPr>
            <w:tcW w:type="dxa" w:w="3312"/>
            <w:vAlign w:val="center"/>
            <w:tcMar>
              <w:top w:w="75" w:type="dxa"/>
              <w:bottom w:w="75" w:type="dxa"/>
              <w:left w:w="95" w:type="dxa"/>
              <w:right w:w="95" w:type="dxa"/>
            </w:tcMar>
            <w:shd w:fill="333333"/>
          </w:tcPr>
          <w:p>
            <w:pPr>
              <w:spacing w:after="0" w:line="252" w:lineRule="auto"/>
              <w:jc w:val="left"/>
            </w:pPr>
            <w:r>
              <w:rPr>
                <w:b/>
                <w:color w:val="FFFFFF"/>
                <w:sz w:val="20"/>
              </w:rPr>
              <w:t>Condition</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Gate history / recent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Motion history / recent</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Ordinary</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4F4F4"/>
          </w:tcPr>
          <w:p>
            <w:pPr>
              <w:spacing w:after="0" w:line="252" w:lineRule="auto"/>
              <w:jc w:val="left"/>
            </w:pPr>
            <w:r>
              <w:rPr>
                <w:b w:val="0"/>
                <w:color w:val="000000"/>
                <w:sz w:val="20"/>
              </w:rPr>
              <w:t>Long gap</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Distractor shift</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bl>
    <w:p>
      <w:pPr>
        <w:spacing w:after="0"/>
      </w:pPr>
    </w:p>
    <w:p>
      <w:r>
        <w:rPr>
          <w:b/>
        </w:rPr>
        <w:t>Coverage.</w:t>
      </w:r>
      <w:r>
        <w:t xml:space="preserve"> Gate 3/3 pass; Motion 3/3 pass. Each uses 128 base pairs per condition. The frozen criterion required at least 75 percent accuracy and a Wilson lower bound above 50 percent; the observed historical readout lower bound is 97.1 percent.</w:t>
      </w:r>
    </w:p>
    <w:p>
      <w:r>
        <w:rPr>
          <w:b/>
        </w:rPr>
        <w:t>Meaning.</w:t>
      </w:r>
      <w:r>
        <w:t xml:space="preserve"> The relevant discrete evidence survives this encoding and pooling pipeline, so there is something useful for memory to preserve. The Motion readout distinguishes movement direction; it does not establish exact speed recovery, future position accuracy or success after long occlusion. The splits were held out from probe fitting but have since been inspected during development.</w:t>
      </w:r>
    </w:p>
    <w:p>
      <w:pPr>
        <w:pStyle w:val="Heading2"/>
        <w:pageBreakBefore/>
      </w:pPr>
      <w:r>
        <w:t>3.2  T2  Does historical evidence improve prediction</w:t>
      </w:r>
    </w:p>
    <w:p>
      <w:r>
        <w:rPr>
          <w:b/>
        </w:rPr>
        <w:t>Question.</w:t>
      </w:r>
      <w:r>
        <w:t xml:space="preserve"> Does the same predictor forecast better when given important past observations in addition to the identical recent context?</w:t>
      </w:r>
    </w:p>
    <w:p>
      <w:r>
        <w:rPr>
          <w:b/>
        </w:rPr>
        <w:t>Comparison.</w:t>
      </w:r>
      <w:r>
        <w:t xml:space="preserve"> Recent-only forecasts are compared with privileged two-memory forecasts. Full history provides an additional reference. A counted history-benefit check requires sufficient improvement and positive uncertainty bounds in both feature error and the task metric: Gate lane error or Motion position MSE. The original rules retain their absolute-gain fallback when the baseline is near zero.</w:t>
      </w:r>
    </w:p>
    <w:p>
      <w:pPr>
        <w:keepNext/>
        <w:spacing w:after="80"/>
      </w:pPr>
      <w:r>
        <w:drawing>
          <wp:inline xmlns:a="http://schemas.openxmlformats.org/drawingml/2006/main" xmlns:pic="http://schemas.openxmlformats.org/drawingml/2006/picture">
            <wp:extent cx="6355080" cy="2666115"/>
            <wp:docPr id="4" name="Picture 4" descr="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
            <wp:cNvGraphicFramePr>
              <a:graphicFrameLocks noChangeAspect="1"/>
            </wp:cNvGraphicFramePr>
            <a:graphic>
              <a:graphicData uri="http://schemas.openxmlformats.org/drawingml/2006/picture">
                <pic:pic>
                  <pic:nvPicPr>
                    <pic:cNvPr id="0" name="03_prediction_gains.png"/>
                    <pic:cNvPicPr/>
                  </pic:nvPicPr>
                  <pic:blipFill>
                    <a:blip r:embed="rId13"/>
                    <a:stretch>
                      <a:fillRect/>
                    </a:stretch>
                  </pic:blipFill>
                  <pic:spPr>
                    <a:xfrm>
                      <a:off x="0" y="0"/>
                      <a:ext cx="6355080" cy="2666115"/>
                    </a:xfrm>
                    <a:prstGeom prst="rect"/>
                  </pic:spPr>
                </pic:pic>
              </a:graphicData>
            </a:graphic>
          </wp:inline>
        </w:drawing>
      </w:r>
    </w:p>
    <w:p>
      <w:pPr>
        <w:pStyle w:val="Caption"/>
      </w:pPr>
      <w:r>
        <w:t>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368"/>
        <w:gridCol w:w="1368"/>
        <w:gridCol w:w="1368"/>
        <w:gridCol w:w="3024"/>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Recent only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Full history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Two-memory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7"/>
              </w:rPr>
              <w:t>Two-memory gain at 6 steps</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r>
        <w:rPr>
          <w:b/>
        </w:rPr>
        <w:t>Coverage.</w:t>
      </w:r>
      <w:r>
        <w:t xml:space="preserve"> Gate 23/24 pass; Motion 8/24 pass. The 24 comparisons are 3 conditions x 2 horizons x 4 summaries: three seeds and their mean. These are not 24 independent datasets.</w:t>
      </w:r>
    </w:p>
    <w:p>
      <w:r>
        <w:rPr>
          <w:b/>
        </w:rPr>
        <w:t>Meaning.</w:t>
      </w:r>
      <w:r>
        <w:t xml:space="preserve"> Gate shows broad history benefit, with an inconclusive ordinary 6-step task benefit for seed 43. Motion improves substantially in ordinary conditions, but the longer-gap 6-step feature gain is only 1.5 percent with an interval from -1.5 to 4.6 percent. The harder conditions limit the generalization claim.</w:t>
      </w:r>
    </w:p>
    <w:p>
      <w:pPr>
        <w:pStyle w:val="Heading2"/>
        <w:pageBreakBefore/>
      </w:pPr>
      <w:r>
        <w:t>3.3  T3  Does changing history change the forecast</w:t>
      </w:r>
    </w:p>
    <w:p>
      <w:r>
        <w:rPr>
          <w:b/>
        </w:rPr>
        <w:t>Question.</w:t>
      </w:r>
      <w:r>
        <w:t xml:space="preserve"> Is the model using the content of the old observation, or merely responding to the presence of extra memory entries?</w:t>
      </w:r>
    </w:p>
    <w:p>
      <w:r>
        <w:rPr>
          <w:b/>
        </w:rPr>
        <w:t>Comparison.</w:t>
      </w:r>
      <w:r>
        <w:t xml:space="preserve"> Keep recent images and actions fixed, but replace relevant memory features with those from the paired episode. For Gate, swap the cue associated with the other outcome; for Motion, swap the evidence for the other movement. Measure how much the predicted feature moves toward the paired alternative future.</w:t>
      </w:r>
    </w:p>
    <w:p>
      <w:pPr>
        <w:keepNext/>
        <w:spacing w:after="80"/>
      </w:pPr>
      <w:r>
        <w:drawing>
          <wp:inline xmlns:a="http://schemas.openxmlformats.org/drawingml/2006/main" xmlns:pic="http://schemas.openxmlformats.org/drawingml/2006/picture">
            <wp:extent cx="6355080" cy="2800654"/>
            <wp:docPr id="5" name="Picture 5" descr="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
            <wp:cNvGraphicFramePr>
              <a:graphicFrameLocks noChangeAspect="1"/>
            </wp:cNvGraphicFramePr>
            <a:graphic>
              <a:graphicData uri="http://schemas.openxmlformats.org/drawingml/2006/picture">
                <pic:pic>
                  <pic:nvPicPr>
                    <pic:cNvPr id="0" name="09_history_swap.png"/>
                    <pic:cNvPicPr/>
                  </pic:nvPicPr>
                  <pic:blipFill>
                    <a:blip r:embed="rId14"/>
                    <a:stretch>
                      <a:fillRect/>
                    </a:stretch>
                  </pic:blipFill>
                  <pic:spPr>
                    <a:xfrm>
                      <a:off x="0" y="0"/>
                      <a:ext cx="6355080" cy="2800654"/>
                    </a:xfrm>
                    <a:prstGeom prst="rect"/>
                  </pic:spPr>
                </pic:pic>
              </a:graphicData>
            </a:graphic>
          </wp:inline>
        </w:drawing>
      </w:r>
    </w:p>
    <w:p>
      <w:pPr>
        <w:pStyle w:val="Caption"/>
      </w:pPr>
      <w:r>
        <w:t>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800"/>
        <w:gridCol w:w="4536"/>
      </w:tblGrid>
      <w:tr>
        <w:trPr>
          <w:cantSplit/>
          <w:tblHeader/>
        </w:trPr>
        <w:tc>
          <w:tcPr>
            <w:tcW w:type="dxa" w:w="3600"/>
            <w:vAlign w:val="center"/>
            <w:tcMar>
              <w:top w:w="75" w:type="dxa"/>
              <w:bottom w:w="75" w:type="dxa"/>
              <w:left w:w="95" w:type="dxa"/>
              <w:right w:w="95" w:type="dxa"/>
            </w:tcMar>
            <w:shd w:fill="333333"/>
          </w:tcPr>
          <w:p>
            <w:pPr>
              <w:spacing w:after="0" w:line="252" w:lineRule="auto"/>
              <w:jc w:val="left"/>
            </w:pPr>
            <w:r>
              <w:rPr>
                <w:b/>
                <w:color w:val="FFFFFF"/>
                <w:sz w:val="18"/>
              </w:rPr>
              <w:t>Task and condition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Shift at 3 steps</w:t>
            </w:r>
          </w:p>
        </w:tc>
        <w:tc>
          <w:tcPr>
            <w:tcW w:type="dxa" w:w="4536"/>
            <w:vAlign w:val="center"/>
            <w:tcMar>
              <w:top w:w="75" w:type="dxa"/>
              <w:bottom w:w="75" w:type="dxa"/>
              <w:left w:w="95" w:type="dxa"/>
              <w:right w:w="95" w:type="dxa"/>
            </w:tcMar>
            <w:shd w:fill="333333"/>
          </w:tcPr>
          <w:p>
            <w:pPr>
              <w:spacing w:after="0" w:line="252" w:lineRule="auto"/>
              <w:jc w:val="center"/>
            </w:pPr>
            <w:r>
              <w:rPr>
                <w:b/>
                <w:color w:val="FFFFFF"/>
                <w:sz w:val="18"/>
              </w:rPr>
              <w:t>Shift at 6 steps and 95 percent CI</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Ordinary</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0.681</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0.693 [0.546, 0.834]</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Gate  Long gap</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0.703</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0.728 [0.586, 0.868]</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Distractor shift</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0.612</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0.638 [0.510, 0.768]</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Ordinary</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0.741</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0.740 [0.688, 0.787]</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Motion  Long gap</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0.505</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0.466 [0.417, 0.512]</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Distractor shift</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0.625</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0.635 [0.594, 0.678]</w:t>
            </w:r>
          </w:p>
        </w:tc>
      </w:tr>
    </w:tbl>
    <w:p>
      <w:pPr>
        <w:spacing w:after="0"/>
      </w:pPr>
    </w:p>
    <w:p>
      <w:r>
        <w:rPr>
          <w:b/>
        </w:rPr>
        <w:t>Coverage.</w:t>
      </w:r>
      <w:r>
        <w:t xml:space="preserve"> Gate 24/24 pass; Motion 24/24 pass. The original criterion requires a mean margin shift of at least 0.05 and a positive lower confidence bound. The 24 summaries have the same condition, horizon and seed structure as T2.</w:t>
      </w:r>
    </w:p>
    <w:p>
      <w:r>
        <w:rPr>
          <w:b/>
        </w:rPr>
        <w:t>Meaning.</w:t>
      </w:r>
      <w:r>
        <w:t xml:space="preserve"> The predictor responds to which history it receives. This supports historical-content use, even where overall future prediction is weak. It does not establish an intervention on the physical environment, a reliable deletion ranking or a learned retention policy. Those are different questions.</w:t>
      </w:r>
    </w:p>
    <w:p>
      <w:pPr>
        <w:pStyle w:val="Heading2"/>
        <w:pageBreakBefore/>
      </w:pPr>
      <w:r>
        <w:t>3.4  T4  Does repair improve a fixed predictor reference</w:t>
      </w:r>
    </w:p>
    <w:p>
      <w:r>
        <w:rPr>
          <w:b/>
        </w:rPr>
        <w:t>Question.</w:t>
      </w:r>
      <w:r>
        <w:t xml:space="preserve"> Did the current candidate improve against an unchanged earlier reference, rather than simply change its own comparison baseline?</w:t>
      </w:r>
    </w:p>
    <w:p>
      <w:r>
        <w:rPr>
          <w:b/>
        </w:rPr>
        <w:t>Comparison.</w:t>
      </w:r>
      <w:r>
        <w:t xml:space="preserve"> There are 24 candidate two-memory versus frozen recent-only comparisons, plus 8 comparisons where both earlier and current predictors receive two memories. The latter target Gate distractor shift and Motion long occlusion. They require a positive paired error reduction; the recent-only comparisons retain the original material-benefit rule.</w:t>
      </w:r>
    </w:p>
    <w:p>
      <w:pPr>
        <w:keepNext/>
        <w:spacing w:after="80"/>
      </w:pPr>
      <w:r>
        <w:drawing>
          <wp:inline xmlns:a="http://schemas.openxmlformats.org/drawingml/2006/main" xmlns:pic="http://schemas.openxmlformats.org/drawingml/2006/picture">
            <wp:extent cx="6355080" cy="3022019"/>
            <wp:docPr id="6" name="Picture 6" descr="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
            <wp:cNvGraphicFramePr>
              <a:graphicFrameLocks noChangeAspect="1"/>
            </wp:cNvGraphicFramePr>
            <a:graphic>
              <a:graphicData uri="http://schemas.openxmlformats.org/drawingml/2006/picture">
                <pic:pic>
                  <pic:nvPicPr>
                    <pic:cNvPr id="0" name="10_fixed_predictor.png"/>
                    <pic:cNvPicPr/>
                  </pic:nvPicPr>
                  <pic:blipFill>
                    <a:blip r:embed="rId15"/>
                    <a:stretch>
                      <a:fillRect/>
                    </a:stretch>
                  </pic:blipFill>
                  <pic:spPr>
                    <a:xfrm>
                      <a:off x="0" y="0"/>
                      <a:ext cx="6355080" cy="3022019"/>
                    </a:xfrm>
                    <a:prstGeom prst="rect"/>
                  </pic:spPr>
                </pic:pic>
              </a:graphicData>
            </a:graphic>
          </wp:inline>
        </w:drawing>
      </w:r>
    </w:p>
    <w:p>
      <w:pPr>
        <w:pStyle w:val="Caption"/>
      </w:pPr>
      <w:r>
        <w:t>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800"/>
        <w:gridCol w:w="1800"/>
        <w:gridCol w:w="4104"/>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Task and horizon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Reference MSE</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Candidate MSE</w:t>
            </w:r>
          </w:p>
        </w:tc>
        <w:tc>
          <w:tcPr>
            <w:tcW w:type="dxa" w:w="4104"/>
            <w:vAlign w:val="center"/>
            <w:tcMar>
              <w:top w:w="75" w:type="dxa"/>
              <w:bottom w:w="75" w:type="dxa"/>
              <w:left w:w="95" w:type="dxa"/>
              <w:right w:w="95" w:type="dxa"/>
            </w:tcMar>
            <w:shd w:fill="333333"/>
          </w:tcPr>
          <w:p>
            <w:pPr>
              <w:spacing w:after="0" w:line="252" w:lineRule="auto"/>
              <w:jc w:val="center"/>
            </w:pPr>
            <w:r>
              <w:rPr>
                <w:b/>
                <w:color w:val="FFFFFF"/>
                <w:sz w:val="18"/>
              </w:rPr>
              <w:t>Reference minus candidate and CI</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Gate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0.1481</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0.1180</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0.0301 [0.0239, 0.0370]</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Gate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0.1576</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0.1196</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0.0380 [0.0321, 0.0443]</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Motion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0.1428</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0.1659</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-0.0231 [-0.0292, -0.0172]</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Motion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0.1621</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0.1804</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-0.0183 [-0.0237, -0.0129]</w:t>
            </w:r>
          </w:p>
        </w:tc>
      </w:tr>
    </w:tbl>
    <w:p>
      <w:pPr>
        <w:spacing w:after="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2016"/>
        <w:gridCol w:w="2016"/>
      </w:tblGrid>
      <w:tr>
        <w:trPr>
          <w:cantSplit/>
          <w:tblHeader/>
        </w:trPr>
        <w:tc>
          <w:tcPr>
            <w:tcW w:type="dxa" w:w="5904"/>
            <w:vAlign w:val="center"/>
            <w:tcMar>
              <w:top w:w="75" w:type="dxa"/>
              <w:bottom w:w="75" w:type="dxa"/>
              <w:left w:w="95" w:type="dxa"/>
              <w:right w:w="95" w:type="dxa"/>
            </w:tcMar>
            <w:shd w:fill="333333"/>
          </w:tcPr>
          <w:p>
            <w:pPr>
              <w:spacing w:after="0" w:line="252" w:lineRule="auto"/>
              <w:jc w:val="left"/>
            </w:pPr>
            <w:r>
              <w:rPr>
                <w:b/>
                <w:color w:val="FFFFFF"/>
                <w:sz w:val="18"/>
              </w:rPr>
              <w:t>Fixed-reference comparison</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Candidate with 2 memories versus frozen recent only</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8/24 pass</w:t>
            </w:r>
          </w:p>
        </w:tc>
      </w:tr>
      <w:tr>
        <w:trPr>
          <w:cantSplit/>
        </w:trPr>
        <w:tc>
          <w:tcPr>
            <w:tcW w:type="dxa" w:w="5904"/>
            <w:vAlign w:val="center"/>
            <w:tcMar>
              <w:top w:w="75" w:type="dxa"/>
              <w:bottom w:w="75" w:type="dxa"/>
              <w:left w:w="95" w:type="dxa"/>
              <w:right w:w="95" w:type="dxa"/>
            </w:tcMar>
            <w:shd w:fill="F4F4F4"/>
          </w:tcPr>
          <w:p>
            <w:pPr>
              <w:spacing w:after="0" w:line="252" w:lineRule="auto"/>
              <w:jc w:val="left"/>
            </w:pPr>
            <w:r>
              <w:rPr>
                <w:b w:val="0"/>
                <w:color w:val="000000"/>
                <w:sz w:val="18"/>
              </w:rPr>
              <w:t>Both predictors with 2 memories on the hard condition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8/8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0/8 pass</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Combined descriptive coverage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32/32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8/32 pass</w:t>
            </w:r>
          </w:p>
        </w:tc>
      </w:tr>
    </w:tbl>
    <w:p>
      <w:pPr>
        <w:spacing w:after="0"/>
      </w:pPr>
    </w:p>
    <w:p>
      <w:r>
        <w:rPr>
          <w:b/>
        </w:rPr>
        <w:t>Meaning.</w:t>
      </w:r>
      <w:r>
        <w:t xml:space="preserve"> The repair has broad fixed-reference support for Gate. For Motion, ordinary gains coexist with a clear long-occlusion regression against the earlier two-memory predictor. This is a specific limitation of the candidate; it does not imply that Motion evidence is absent from the encoder or that every memory mechanism is ineffective.</w:t>
      </w:r>
    </w:p>
    <w:p>
      <w:pPr>
        <w:pStyle w:val="Heading2"/>
        <w:pageBreakBefore/>
      </w:pPr>
      <w:r>
        <w:t>3.5  T5  Does deletion cost identify useful memories</w:t>
      </w:r>
    </w:p>
    <w:p>
      <w:r>
        <w:rPr>
          <w:b/>
        </w:rPr>
        <w:t>Question.</w:t>
      </w:r>
      <w:r>
        <w:t xml:space="preserve"> At the same storage capacity, does losing critical evidence harm prediction more than losing a nuisance observation?</w:t>
      </w:r>
    </w:p>
    <w:p>
      <w:r>
        <w:rPr>
          <w:b/>
        </w:rPr>
        <w:t>Comparison.</w:t>
      </w:r>
      <w:r>
        <w:t xml:space="preserve"> Each parent has three real historical frames. Gate contains the cue and two post-cue nuisance frames; Motion contains start, end and a shutter frame. Remove each candidate in turn, always leaving two entries and the same recent context. Two fixed parent-time variants are averaged within each base pair. No predictor or policy is retrained.</w:t>
      </w:r>
    </w:p>
    <w:p>
      <w:pPr>
        <w:keepNext/>
        <w:spacing w:after="80"/>
      </w:pPr>
      <w:r>
        <w:drawing>
          <wp:inline xmlns:a="http://schemas.openxmlformats.org/drawingml/2006/main" xmlns:pic="http://schemas.openxmlformats.org/drawingml/2006/picture">
            <wp:extent cx="6355080" cy="3634281"/>
            <wp:docPr id="7" name="Picture 7" descr="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
            <wp:cNvGraphicFramePr>
              <a:graphicFrameLocks noChangeAspect="1"/>
            </wp:cNvGraphicFramePr>
            <a:graphic>
              <a:graphicData uri="http://schemas.openxmlformats.org/drawingml/2006/picture">
                <pic:pic>
                  <pic:nvPicPr>
                    <pic:cNvPr id="0" name="06_deletion_effects.png"/>
                    <pic:cNvPicPr/>
                  </pic:nvPicPr>
                  <pic:blipFill>
                    <a:blip r:embed="rId16"/>
                    <a:stretch>
                      <a:fillRect/>
                    </a:stretch>
                  </pic:blipFill>
                  <pic:spPr>
                    <a:xfrm>
                      <a:off x="0" y="0"/>
                      <a:ext cx="6355080" cy="3634281"/>
                    </a:xfrm>
                    <a:prstGeom prst="rect"/>
                  </pic:spPr>
                </pic:pic>
              </a:graphicData>
            </a:graphic>
          </wp:inline>
        </w:drawing>
      </w:r>
    </w:p>
    <w:p>
      <w:pPr>
        <w:pStyle w:val="Caption"/>
      </w:pPr>
      <w:r>
        <w:t>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016"/>
        <w:gridCol w:w="2016"/>
        <w:gridCol w:w="2448"/>
        <w:gridCol w:w="2016"/>
      </w:tblGrid>
      <w:tr>
        <w:trPr>
          <w:cantSplit/>
          <w:tblHeader/>
        </w:trPr>
        <w:tc>
          <w:tcPr>
            <w:tcW w:type="dxa" w:w="1440"/>
            <w:vAlign w:val="center"/>
            <w:tcMar>
              <w:top w:w="75" w:type="dxa"/>
              <w:bottom w:w="75" w:type="dxa"/>
              <w:left w:w="95" w:type="dxa"/>
              <w:right w:w="95" w:type="dxa"/>
            </w:tcMar>
            <w:shd w:fill="333333"/>
          </w:tcPr>
          <w:p>
            <w:pPr>
              <w:spacing w:after="0" w:line="252" w:lineRule="auto"/>
              <w:jc w:val="left"/>
            </w:pPr>
            <w:r>
              <w:rPr>
                <w:b/>
                <w:color w:val="FFFFFF"/>
                <w:sz w:val="19"/>
              </w:rPr>
              <w:t>Task</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Ordinary</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Long gap</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9"/>
              </w:rPr>
              <w:t>Distractor shift</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Total</w:t>
            </w:r>
          </w:p>
        </w:tc>
      </w:tr>
      <w:tr>
        <w:trPr>
          <w:cantSplit/>
        </w:trPr>
        <w:tc>
          <w:tcPr>
            <w:tcW w:type="dxa" w:w="1440"/>
            <w:vAlign w:val="center"/>
            <w:tcMar>
              <w:top w:w="75" w:type="dxa"/>
              <w:bottom w:w="75" w:type="dxa"/>
              <w:left w:w="95" w:type="dxa"/>
              <w:right w:w="95" w:type="dxa"/>
            </w:tcMar>
            <w:shd w:fill="FFFFFF"/>
          </w:tcPr>
          <w:p>
            <w:pPr>
              <w:spacing w:after="0" w:line="252" w:lineRule="auto"/>
              <w:jc w:val="left"/>
            </w:pPr>
            <w:r>
              <w:rPr>
                <w:b w:val="0"/>
                <w:color w:val="000000"/>
                <w:sz w:val="19"/>
              </w:rPr>
              <w:t>Gate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4/6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0/6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9"/>
              </w:rPr>
              <w:t>2/6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6/18 pass</w:t>
            </w:r>
          </w:p>
        </w:tc>
      </w:tr>
      <w:tr>
        <w:trPr>
          <w:cantSplit/>
        </w:trPr>
        <w:tc>
          <w:tcPr>
            <w:tcW w:type="dxa" w:w="1440"/>
            <w:vAlign w:val="center"/>
            <w:tcMar>
              <w:top w:w="75" w:type="dxa"/>
              <w:bottom w:w="75" w:type="dxa"/>
              <w:left w:w="95" w:type="dxa"/>
              <w:right w:w="95" w:type="dxa"/>
            </w:tcMar>
            <w:shd w:fill="F4F4F4"/>
          </w:tcPr>
          <w:p>
            <w:pPr>
              <w:spacing w:after="0" w:line="252" w:lineRule="auto"/>
              <w:jc w:val="left"/>
            </w:pPr>
            <w:r>
              <w:rPr>
                <w:b w:val="0"/>
                <w:color w:val="000000"/>
                <w:sz w:val="19"/>
              </w:rPr>
              <w:t>Motion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36/36 pass</w:t>
            </w:r>
          </w:p>
        </w:tc>
      </w:tr>
    </w:tbl>
    <w:p>
      <w:pPr>
        <w:spacing w:after="0"/>
      </w:pPr>
    </w:p>
    <w:p>
      <w:r>
        <w:t>A counted contrast requires at least 10 percent relative benefit from retaining the critical observation, plus a positive paired interval, for both feature and task error. Gate has one critical role; Motion has two, explaining the different denominators. Each contrast uses 128 base pairs, averaging siblings and parent variants first.</w:t>
      </w:r>
    </w:p>
    <w:p>
      <w:r>
        <w:rPr>
          <w:b/>
        </w:rPr>
        <w:t>Meaning.</w:t>
      </w:r>
      <w:r>
        <w:t xml:space="preserve"> Motion supplies consistent relative deletion value in the examined conditions. At ordinary h6, preserving start reduces feature error by 76.3 to 77.8 percent and preserving end by 28.3 to 30.5 percent across seeds. Gate provides partial support, with both ordinary exceptions coming from seed 43. Useful deletion value and accurate absolute forecasting are distinct capabilities.</w:t>
      </w:r>
    </w:p>
    <w:p>
      <w:pPr>
        <w:pStyle w:val="Heading2"/>
        <w:pageBreakBefore/>
      </w:pPr>
      <w:r>
        <w:t>3.6  T6  Does a deletion choice transfer across future times</w:t>
      </w:r>
    </w:p>
    <w:p>
      <w:r>
        <w:rPr>
          <w:b/>
        </w:rPr>
        <w:t>Question.</w:t>
      </w:r>
      <w:r>
        <w:t xml:space="preserve"> Is a deletion choice useful beyond the single future time used to choose it?</w:t>
      </w:r>
    </w:p>
    <w:p>
      <w:r>
        <w:rPr>
          <w:b/>
        </w:rPr>
        <w:t>Comparison.</w:t>
      </w:r>
      <w:r>
        <w:t xml:space="preserve"> Select the removal with lowest feature error at 3 steps, then score it at 6 steps against uniform-random deletion. Reverse the times and repeat. Each counted comparison requires positive paired uncertainty bounds for both feature and task advantage. This uses future outcomes to select the removal; it is an oracle diagnostic, not a past-only policy.</w:t>
      </w:r>
    </w:p>
    <w:p>
      <w:pPr>
        <w:keepNext/>
        <w:spacing w:after="80"/>
      </w:pPr>
      <w:r>
        <w:drawing>
          <wp:inline xmlns:a="http://schemas.openxmlformats.org/drawingml/2006/main" xmlns:pic="http://schemas.openxmlformats.org/drawingml/2006/picture">
            <wp:extent cx="6355080" cy="3476450"/>
            <wp:docPr id="8" name="Picture 8" descr="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
            <wp:cNvGraphicFramePr>
              <a:graphicFrameLocks noChangeAspect="1"/>
            </wp:cNvGraphicFramePr>
            <a:graphic>
              <a:graphicData uri="http://schemas.openxmlformats.org/drawingml/2006/picture">
                <pic:pic>
                  <pic:nvPicPr>
                    <pic:cNvPr id="0" name="11_cross_horizon.png"/>
                    <pic:cNvPicPr/>
                  </pic:nvPicPr>
                  <pic:blipFill>
                    <a:blip r:embed="rId17"/>
                    <a:stretch>
                      <a:fillRect/>
                    </a:stretch>
                  </pic:blipFill>
                  <pic:spPr>
                    <a:xfrm>
                      <a:off x="0" y="0"/>
                      <a:ext cx="6355080" cy="3476450"/>
                    </a:xfrm>
                    <a:prstGeom prst="rect"/>
                  </pic:spPr>
                </pic:pic>
              </a:graphicData>
            </a:graphic>
          </wp:inline>
        </w:drawing>
      </w:r>
    </w:p>
    <w:p>
      <w:pPr>
        <w:pStyle w:val="Caption"/>
      </w:pPr>
      <w:r>
        <w:t>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656"/>
        <w:gridCol w:w="1656"/>
        <w:gridCol w:w="4392"/>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Gate coverage</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Motion coverage</w:t>
            </w:r>
          </w:p>
        </w:tc>
        <w:tc>
          <w:tcPr>
            <w:tcW w:type="dxa" w:w="4392"/>
            <w:vAlign w:val="center"/>
            <w:tcMar>
              <w:top w:w="75" w:type="dxa"/>
              <w:bottom w:w="75" w:type="dxa"/>
              <w:left w:w="95" w:type="dxa"/>
              <w:right w:w="95" w:type="dxa"/>
            </w:tcMar>
            <w:shd w:fill="333333"/>
          </w:tcPr>
          <w:p>
            <w:pPr>
              <w:spacing w:after="0" w:line="252" w:lineRule="auto"/>
              <w:jc w:val="center"/>
            </w:pPr>
            <w:r>
              <w:rPr>
                <w:b/>
                <w:color w:val="FFFFFF"/>
                <w:sz w:val="18"/>
              </w:rPr>
              <w:t>Mean choice agreement Gate / Motion</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Ordinary</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91.2% / 96.5%</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Long gap</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4F4F4"/>
          </w:tcPr>
          <w:p>
            <w:pPr>
              <w:spacing w:after="0" w:line="252" w:lineRule="auto"/>
              <w:jc w:val="center"/>
            </w:pPr>
            <w:r>
              <w:rPr>
                <w:b w:val="0"/>
                <w:color w:val="000000"/>
                <w:sz w:val="18"/>
              </w:rPr>
              <w:t>91.9% / 90.1%</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94.3% / 91.3%</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Total</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4392"/>
            <w:vAlign w:val="center"/>
            <w:tcMar>
              <w:top w:w="75" w:type="dxa"/>
              <w:bottom w:w="75" w:type="dxa"/>
              <w:left w:w="95" w:type="dxa"/>
              <w:right w:w="95" w:type="dxa"/>
            </w:tcMar>
            <w:shd w:fill="F4F4F4"/>
          </w:tcPr>
          <w:p>
            <w:pPr>
              <w:spacing w:after="0" w:line="252" w:lineRule="auto"/>
              <w:jc w:val="left"/>
            </w:pPr>
            <w:r>
              <w:rPr>
                <w:b w:val="0"/>
                <w:color w:val="000000"/>
                <w:sz w:val="18"/>
              </w:rPr>
              <w:t>Agreement is descriptive, not a readiness criterion</w:t>
            </w:r>
          </w:p>
        </w:tc>
      </w:tr>
    </w:tbl>
    <w:p>
      <w:pPr>
        <w:spacing w:after="0"/>
      </w:pPr>
    </w:p>
    <w:p>
      <w:r>
        <w:t>The 18 comparisons per task are 3 conditions x 3 seeds x 2 selection directions. Choice agreement describes how often the best removal agrees across horizons, averaged over the tested seeds and directions; near ties are averaged, not resolved using evidence labels.</w:t>
      </w:r>
    </w:p>
    <w:p>
      <w:r>
        <w:rPr>
          <w:b/>
        </w:rPr>
        <w:t>Meaning.</w:t>
      </w:r>
      <w:r>
        <w:t xml:space="preserve"> The deletion signal is not confined to one scoring time. Gate has strong cross-horizon coverage despite weaker critical-versus-nuisance contrasts in T5: the two tests ask different questions. This transfer does not prove usefulness beyond the tested 3- and 6-step futures, or that a scorer can choose well without seeing the future.</w:t>
      </w:r>
    </w:p>
    <w:p>
      <w:pPr>
        <w:pStyle w:val="Heading2"/>
        <w:pageBreakBefore/>
      </w:pPr>
      <w:r>
        <w:t>3.7  T7  Can a learned policy beat strong baselines</w:t>
      </w:r>
    </w:p>
    <w:p>
      <w:r>
        <w:rPr>
          <w:b/>
        </w:rPr>
        <w:t>Status.</w:t>
      </w:r>
      <w:r>
        <w:t xml:space="preserve"> Not run: no retention scorer has been trained and no learned irreversible streaming policy has been evaluated.</w:t>
      </w:r>
    </w:p>
    <w:p>
      <w:r>
        <w:t>The intended study would train a scorer on offline deletion costs, restrict its inputs to past and present information, and compare it with FIFO, reservoir sampling and other strong baselines under the same predictor and memory budget. Its result would establish deployable policy value rather than privileged evidence value.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0"/>
        <w:gridCol w:w="2088"/>
        <w:gridCol w:w="2088"/>
      </w:tblGrid>
      <w:tr>
        <w:trPr>
          <w:cantSplit/>
          <w:tblHeader/>
        </w:trPr>
        <w:tc>
          <w:tcPr>
            <w:tcW w:type="dxa" w:w="5760"/>
            <w:vAlign w:val="center"/>
            <w:tcMar>
              <w:top w:w="75" w:type="dxa"/>
              <w:bottom w:w="75" w:type="dxa"/>
              <w:left w:w="95" w:type="dxa"/>
              <w:right w:w="95" w:type="dxa"/>
            </w:tcMar>
            <w:shd w:fill="333333"/>
          </w:tcPr>
          <w:p>
            <w:pPr>
              <w:spacing w:after="0" w:line="252" w:lineRule="auto"/>
              <w:jc w:val="left"/>
            </w:pPr>
            <w:r>
              <w:rPr>
                <w:b/>
                <w:color w:val="FFFFFF"/>
                <w:sz w:val="18"/>
              </w:rPr>
              <w:t>Existing descriptive Motion comparison at ordinary h6</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Feature MSE</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Position MSE</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FIFO</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0.503474</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0.025186</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Uniform</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0.261175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0.014506</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Reject newest</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0.116061</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0.007548</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Future oracle</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0.115305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0.007338</w:t>
            </w:r>
          </w:p>
        </w:tc>
      </w:tr>
    </w:tbl>
    <w:p>
      <w:pPr>
        <w:spacing w:after="0"/>
      </w:pPr>
    </w:p>
    <w:p>
      <w:r>
        <w:t>The available one-deletion baseline data are preparation for T7, not a T7 result. Reject-newest reaches feature MSE 0.116061, close to the future-feature oracle at 0.115305, only 0.65 percent lower. A learned advantage is therefore not established; more varied memory states are needed to test whether learning offers useful headroom.</w:t>
      </w:r>
    </w:p>
    <w:p>
      <w:pPr>
        <w:pStyle w:val="Heading2"/>
      </w:pPr>
      <w:r>
        <w:t>3.8  T8  Does the finding repeat on untouched data</w:t>
      </w:r>
    </w:p>
    <w:p>
      <w:r>
        <w:rPr>
          <w:b/>
        </w:rPr>
        <w:t>Status.</w:t>
      </w:r>
      <w:r>
        <w:t xml:space="preserve"> Not run: fresh independent confirmation data have not been opened or generated.</w:t>
      </w:r>
    </w:p>
    <w:p>
      <w:r>
        <w:t>The registered confirmation plan requires fresh data, new train-only preprocessing, reference and candidate models for both tasks and all three seeds, and locked model selection before test outcomes are opened. Existing development weights evaluated on another test set would not satisfy that plan. The complete 12-model confirmation and its compute guard must be frozen before execution.</w:t>
      </w:r>
    </w:p>
    <w:p>
      <w:pPr>
        <w:keepNext/>
        <w:spacing w:after="80"/>
      </w:pPr>
      <w:r>
        <w:drawing>
          <wp:inline xmlns:a="http://schemas.openxmlformats.org/drawingml/2006/main" xmlns:pic="http://schemas.openxmlformats.org/drawingml/2006/picture">
            <wp:extent cx="6355080" cy="2307280"/>
            <wp:docPr id="9" name="Picture 9" descr="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
            <wp:cNvGraphicFramePr>
              <a:graphicFrameLocks noChangeAspect="1"/>
            </wp:cNvGraphicFramePr>
            <a:graphic>
              <a:graphicData uri="http://schemas.openxmlformats.org/drawingml/2006/picture">
                <pic:pic>
                  <pic:nvPicPr>
                    <pic:cNvPr id="0" name="12_unrun_studies.png"/>
                    <pic:cNvPicPr/>
                  </pic:nvPicPr>
                  <pic:blipFill>
                    <a:blip r:embed="rId18"/>
                    <a:stretch>
                      <a:fillRect/>
                    </a:stretch>
                  </pic:blipFill>
                  <pic:spPr>
                    <a:xfrm>
                      <a:off x="0" y="0"/>
                      <a:ext cx="6355080" cy="2307280"/>
                    </a:xfrm>
                    <a:prstGeom prst="rect"/>
                  </pic:spPr>
                </pic:pic>
              </a:graphicData>
            </a:graphic>
          </wp:inline>
        </w:drawing>
      </w:r>
    </w:p>
    <w:p>
      <w:pPr>
        <w:pStyle w:val="Caption"/>
      </w:pPr>
      <w:r>
        <w:t>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w:t>
      </w:r>
    </w:p>
    <w:p>
      <w:pPr>
        <w:pStyle w:val="Heading1"/>
        <w:pageBreakBefore/>
      </w:pPr>
      <w:r>
        <w:t>4  Overall results analysis and next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2448"/>
        <w:gridCol w:w="2448"/>
      </w:tblGrid>
      <w:tr>
        <w:trPr>
          <w:cantSplit/>
          <w:tblHeader/>
        </w:trPr>
        <w:tc>
          <w:tcPr>
            <w:tcW w:type="dxa" w:w="5040"/>
            <w:vAlign w:val="center"/>
            <w:tcMar>
              <w:top w:w="75" w:type="dxa"/>
              <w:bottom w:w="75" w:type="dxa"/>
              <w:left w:w="95" w:type="dxa"/>
              <w:right w:w="95" w:type="dxa"/>
            </w:tcMar>
            <w:shd w:fill="333333"/>
          </w:tcPr>
          <w:p>
            <w:pPr>
              <w:spacing w:after="0" w:line="252" w:lineRule="auto"/>
              <w:jc w:val="left"/>
            </w:pPr>
            <w:r>
              <w:rPr>
                <w:b/>
                <w:color w:val="FFFFFF"/>
                <w:sz w:val="18"/>
              </w:rPr>
              <w:t>Evidence category</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T1  Historical evidence readable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T2  History improves prediction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23/24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8/24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T3  Forecast responds to historical content</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T4  Fixed-reference coverage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32/32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8/32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T5  Critical deletion value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6/18 pass; ordinary 4/6</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36/36 pass; ordinary 12/12</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T6  Cross-horizon deletion value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T7  Learned-policy advantage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r>
    </w:tbl>
    <w:p>
      <w:pPr>
        <w:spacing w:after="0"/>
      </w:pPr>
    </w:p>
    <w:p>
      <w:pPr>
        <w:pStyle w:val="Heading2"/>
      </w:pPr>
      <w:r>
        <w:t>4.1  What has been achieved</w:t>
      </w:r>
    </w:p>
    <w:p>
      <w:r>
        <w:t>The pipeline preserves the relevant discrete evidence, and both predictors respond to its content. Gate has broad prediction coverage. Motion provides consistent deletion value and cross-horizon transfer, even though its long-occlusion forecast quality remains limited. This is meaningful mechanism evidence for a bounded-memory project, with task- and condition-specific limits.</w:t>
      </w:r>
    </w:p>
    <w:p>
      <w:r>
        <w:t>Counts are not votes of equal weight or probabilities of success. The legacy original total is T1 + T2 + T3: Gate 50/51 and Motion 35/51. It excludes other guards. In particular, Gate full-history predictions at long-gap h6 triggered mean-level degradation warnings for seeds 17 and 29, with intervals spanning no change. The earlier strict all-checks acceptance record remains unmet; this descriptive summary does not change it.</w:t>
      </w:r>
    </w:p>
    <w:p>
      <w:pPr>
        <w:keepNext/>
        <w:spacing w:after="80"/>
      </w:pPr>
      <w:r>
        <w:drawing>
          <wp:inline xmlns:a="http://schemas.openxmlformats.org/drawingml/2006/main" xmlns:pic="http://schemas.openxmlformats.org/drawingml/2006/picture">
            <wp:extent cx="6035040" cy="2874873"/>
            <wp:docPr id="10" name="Picture 10" descr="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
            <wp:cNvGraphicFramePr>
              <a:graphicFrameLocks noChangeAspect="1"/>
            </wp:cNvGraphicFramePr>
            <a:graphic>
              <a:graphicData uri="http://schemas.openxmlformats.org/drawingml/2006/picture">
                <pic:pic>
                  <pic:nvPicPr>
                    <pic:cNvPr id="0" name="07_baseline_headroom.png"/>
                    <pic:cNvPicPr/>
                  </pic:nvPicPr>
                  <pic:blipFill>
                    <a:blip r:embed="rId19"/>
                    <a:stretch>
                      <a:fillRect/>
                    </a:stretch>
                  </pic:blipFill>
                  <pic:spPr>
                    <a:xfrm>
                      <a:off x="0" y="0"/>
                      <a:ext cx="6035040" cy="2874873"/>
                    </a:xfrm>
                    <a:prstGeom prst="rect"/>
                  </pic:spPr>
                </pic:pic>
              </a:graphicData>
            </a:graphic>
          </wp:inline>
        </w:drawing>
      </w:r>
    </w:p>
    <w:p>
      <w:pPr>
        <w:pStyle w:val="Caption"/>
      </w:pPr>
      <w:r>
        <w:t>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w:t>
      </w:r>
    </w:p>
    <w:p>
      <w:pPr>
        <w:pStyle w:val="Heading2"/>
        <w:pageBreakBefore/>
      </w:pPr>
      <w:r>
        <w:t>4.2  Next tasks and unresolved questions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4608"/>
        <w:gridCol w:w="4248"/>
      </w:tblGrid>
      <w:tr>
        <w:trPr>
          <w:cantSplit/>
          <w:tblHeader/>
        </w:trPr>
        <w:tc>
          <w:tcPr>
            <w:tcW w:type="dxa" w:w="1080"/>
            <w:vAlign w:val="center"/>
            <w:tcMar>
              <w:top w:w="75" w:type="dxa"/>
              <w:bottom w:w="75" w:type="dxa"/>
              <w:left w:w="95" w:type="dxa"/>
              <w:right w:w="95" w:type="dxa"/>
            </w:tcMar>
            <w:shd w:fill="333333"/>
          </w:tcPr>
          <w:p>
            <w:pPr>
              <w:spacing w:after="0" w:line="252" w:lineRule="auto"/>
              <w:jc w:val="left"/>
            </w:pPr>
            <w:r>
              <w:rPr>
                <w:b/>
                <w:color w:val="FFFFFF"/>
                <w:sz w:val="18"/>
              </w:rPr>
              <w:t>Priority</w:t>
            </w:r>
          </w:p>
        </w:tc>
        <w:tc>
          <w:tcPr>
            <w:tcW w:type="dxa" w:w="4608"/>
            <w:vAlign w:val="center"/>
            <w:tcMar>
              <w:top w:w="75" w:type="dxa"/>
              <w:bottom w:w="75" w:type="dxa"/>
              <w:left w:w="95" w:type="dxa"/>
              <w:right w:w="95" w:type="dxa"/>
            </w:tcMar>
            <w:shd w:fill="333333"/>
          </w:tcPr>
          <w:p>
            <w:pPr>
              <w:spacing w:after="0" w:line="252" w:lineRule="auto"/>
              <w:jc w:val="center"/>
            </w:pPr>
            <w:r>
              <w:rPr>
                <w:b/>
                <w:color w:val="FFFFFF"/>
                <w:sz w:val="18"/>
              </w:rPr>
              <w:t>Bounded next task</w:t>
            </w:r>
          </w:p>
        </w:tc>
        <w:tc>
          <w:tcPr>
            <w:tcW w:type="dxa" w:w="4248"/>
            <w:vAlign w:val="center"/>
            <w:tcMar>
              <w:top w:w="75" w:type="dxa"/>
              <w:bottom w:w="75" w:type="dxa"/>
              <w:left w:w="95" w:type="dxa"/>
              <w:right w:w="95" w:type="dxa"/>
            </w:tcMar>
            <w:shd w:fill="333333"/>
          </w:tcPr>
          <w:p>
            <w:pPr>
              <w:spacing w:after="0" w:line="252" w:lineRule="auto"/>
              <w:jc w:val="center"/>
            </w:pPr>
            <w:r>
              <w:rPr>
                <w:b/>
                <w:color w:val="FFFFFF"/>
                <w:sz w:val="18"/>
              </w:rPr>
              <w:t>What would be learned</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1</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Motion pilot with varied memory states and strong simple rules</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Can a past-only scorer exploit deletion costs beyond an easy reject-newest heuristic?</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2</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Targeted Gate seed and full-history diagnostics</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Which conditions make its useful-history signal unstable?</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3</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Freeze a separate confirmation and resource plan before fresh data</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Do the selected claims repeat without further adaptation?</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Scope</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Treat any V-JEPA study as a separate backbone validation</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Does the mechanism transfer beyond this I-JEPA implementation?</w:t>
            </w:r>
          </w:p>
        </w:tc>
      </w:tr>
    </w:tbl>
    <w:p>
      <w:pPr>
        <w:spacing w:after="0"/>
      </w:pPr>
    </w:p>
    <w:p>
      <w:r>
        <w:t>No further experiment is initiated by this report. Existing predictors and caches were reused for the deletion assay, adding zero GPU time. Settled proposal-validation and repair GPU use is 12723 seconds, or 3 h 32 min 03 s, within the approved 8 h cap. Learned retention, streaming policy success and new-data confirmation remain future evidence.</w:t>
      </w:r>
    </w:p>
    <w:p>
      <w:pPr>
        <w:pStyle w:val="Heading2"/>
      </w:pPr>
      <w:r>
        <w:t>4.3  Sources and verification</w:t>
      </w:r>
    </w:p>
    <w:p>
      <w:pPr>
        <w:spacing w:after="80"/>
      </w:pPr>
      <w:r>
        <w:rPr>
          <w:sz w:val="17"/>
        </w:rPr>
        <w:t>[1] Assran et al. Self-Supervised Learning from Images with a Joint-Embedding Predictive Architecture. CVPR 2023. https://arxiv.org/abs/2301.08243</w:t>
      </w:r>
    </w:p>
    <w:p>
      <w:pPr>
        <w:spacing w:after="80"/>
      </w:pPr>
      <w:r>
        <w:rPr>
          <w:sz w:val="17"/>
        </w:rPr>
        <w:t>[2] Lee et al. Set Transformer. ICML 2019. https://proceedings.mlr.press/v97/lee19d.html</w:t>
      </w:r>
    </w:p>
    <w:p>
      <w:pPr>
        <w:spacing w:after="80"/>
      </w:pPr>
      <w:r>
        <w:rPr>
          <w:sz w:val="17"/>
        </w:rPr>
        <w:t>[3] Zeng et al. Are Transformers Effective for Time Series Forecasting. AAAI 2023. https://arxiv.org/abs/2205.13504</w:t>
      </w:r>
    </w:p>
    <w:p>
      <w:pPr>
        <w:spacing w:after="80"/>
      </w:pPr>
      <w:r>
        <w:rPr>
          <w:sz w:val="17"/>
        </w:rPr>
        <w:t>Evidence: complete predictor run 7574, evaluation 7575 and independent audit 7576; verified inherited feature probes; deletion assay 7590 and its independent 180-comparison audit. The predictor evaluation contains 69120 scalar rows and deletion 55296 rows, not that many independent episodes. Compact evidence hashes were verified.</w:t>
      </w:r>
    </w:p>
    <w:p>
      <w:pPr>
        <w:pStyle w:val="Heading2"/>
      </w:pPr>
      <w:r>
        <w:t>Conclusion</w:t>
      </w:r>
    </w:p>
    <w:p>
      <w:r>
        <w:t>Phase One has produced substantial but uneven evidence. Historical information survives encoding, the predictors use it, and Motion deletion costs consistently distinguish useful evidence in the tested pools. Gate deletion stability and Motion hard-condition prediction remain limitations. These findings support a scoped next-stage feasibility study, while leaving learned-policy advantage, V-JEPA transfer and independent confirmation unproven.</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