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Phase1 Predictor Repair Validation</w:t>
      </w:r>
    </w:p>
    <w:p>
      <w:r>
        <w:t>Completed development evaluation and independent verification</w:t>
        <w:br/>
        <w:t>15 October 2026  America New York</w:t>
      </w:r>
    </w:p>
    <w:p>
      <w:pPr>
        <w:pStyle w:val="Heading1"/>
      </w:pPr>
      <w:r>
        <w:t>Purpose and fixed experimental scope</w:t>
      </w:r>
    </w:p>
    <w:p>
      <w:r>
        <w:t>Phase1 asks whether a JEPA predictor can use earlier observed evidence to improve future prediction when recent frames are insufficient. The current test evaluates the preregistered repair on delayed Gate cues and occluded Motion. It does not train a memory selector or test the full research proposal.</w:t>
      </w:r>
    </w:p>
    <w:p>
      <w:r>
        <w:t>The repair combines attention pooling inspired by Set Transformer [1] with observed frame relations inspired by relational reasoning [2], bounded relative age, and linear elapsed transport. It keeps a frozen recent reference and one history correction. This is an adapted composite, not a reproduction of either paper. It reads all retained history without TopK retrieval.</w:t>
      </w:r>
    </w:p>
    <w:tbl>
      <w:tblPr>
        <w:tblStyle w:val="TableGrid"/>
        <w:tblW w:type="auto" w:w="0"/>
        <w:tblLayout w:type="fixed"/>
        <w:tblLook w:firstColumn="1" w:firstRow="1" w:lastColumn="0" w:lastRow="0" w:noHBand="0" w:noVBand="1" w:val="04A0"/>
      </w:tblPr>
      <w:tblGrid>
        <w:gridCol w:w="1944"/>
        <w:gridCol w:w="8136"/>
      </w:tblGrid>
      <w:tr>
        <w:trPr>
          <w:cantSplit/>
          <w:tblHeader/>
        </w:trPr>
        <w:tc>
          <w:tcPr>
            <w:tcW w:type="dxa" w:w="1944"/>
            <w:shd w:fill="EEEEEE"/>
          </w:tcPr>
          <w:p>
            <w:pPr>
              <w:spacing w:after="20" w:before="20"/>
            </w:pPr>
            <w:r>
              <w:rPr>
                <w:b/>
                <w:sz w:val="18"/>
              </w:rPr>
              <w:t>Boundary</w:t>
            </w:r>
          </w:p>
        </w:tc>
        <w:tc>
          <w:tcPr>
            <w:tcW w:type="dxa" w:w="8136"/>
            <w:shd w:fill="EEEEEE"/>
          </w:tcPr>
          <w:p>
            <w:pPr>
              <w:spacing w:after="20" w:before="20"/>
            </w:pPr>
            <w:r>
              <w:rPr>
                <w:b/>
                <w:sz w:val="18"/>
              </w:rPr>
              <w:t>Preserved setting</w:t>
            </w:r>
          </w:p>
        </w:tc>
      </w:tr>
      <w:tr>
        <w:trPr>
          <w:cantSplit/>
        </w:trPr>
        <w:tc>
          <w:tcPr>
            <w:tcW w:type="dxa" w:w="1944"/>
          </w:tcPr>
          <w:p>
            <w:pPr>
              <w:spacing w:after="20" w:before="20"/>
            </w:pPr>
            <w:r>
              <w:rPr>
                <w:sz w:val="18"/>
              </w:rPr>
              <w:t>Data and seeds</w:t>
            </w:r>
          </w:p>
        </w:tc>
        <w:tc>
          <w:tcPr>
            <w:tcW w:type="dxa" w:w="8136"/>
          </w:tcPr>
          <w:p>
            <w:pPr>
              <w:spacing w:after="20" w:before="20"/>
            </w:pPr>
            <w:r>
              <w:rPr>
                <w:sz w:val="18"/>
              </w:rPr>
              <w:t>Development data 6301; seeds 17 29 43; two tasks</w:t>
            </w:r>
          </w:p>
        </w:tc>
      </w:tr>
      <w:tr>
        <w:trPr>
          <w:cantSplit/>
        </w:trPr>
        <w:tc>
          <w:tcPr>
            <w:tcW w:type="dxa" w:w="1944"/>
          </w:tcPr>
          <w:p>
            <w:pPr>
              <w:spacing w:after="20" w:before="20"/>
            </w:pPr>
            <w:r>
              <w:rPr>
                <w:sz w:val="18"/>
              </w:rPr>
              <w:t>Sample sizes per task</w:t>
            </w:r>
          </w:p>
        </w:tc>
        <w:tc>
          <w:tcPr>
            <w:tcW w:type="dxa" w:w="8136"/>
          </w:tcPr>
          <w:p>
            <w:pPr>
              <w:spacing w:after="20" w:before="20"/>
            </w:pPr>
            <w:r>
              <w:rPr>
                <w:sz w:val="18"/>
              </w:rPr>
              <w:t>512 training pairs; 96 validation pairs; 128 pairs in each of three test splits</w:t>
            </w:r>
          </w:p>
        </w:tc>
      </w:tr>
      <w:tr>
        <w:trPr>
          <w:cantSplit/>
        </w:trPr>
        <w:tc>
          <w:tcPr>
            <w:tcW w:type="dxa" w:w="1944"/>
          </w:tcPr>
          <w:p>
            <w:pPr>
              <w:spacing w:after="20" w:before="20"/>
            </w:pPr>
            <w:r>
              <w:rPr>
                <w:sz w:val="18"/>
              </w:rPr>
              <w:t>Training</w:t>
            </w:r>
          </w:p>
        </w:tc>
        <w:tc>
          <w:tcPr>
            <w:tcW w:type="dxa" w:w="8136"/>
          </w:tcPr>
          <w:p>
            <w:pPr>
              <w:spacing w:after="20" w:before="20"/>
            </w:pPr>
            <w:r>
              <w:rPr>
                <w:sz w:val="18"/>
              </w:rPr>
              <w:t>6 models; each 120 epochs and 7680 steps; four conditions balanced</w:t>
            </w:r>
          </w:p>
        </w:tc>
      </w:tr>
      <w:tr>
        <w:trPr>
          <w:cantSplit/>
        </w:trPr>
        <w:tc>
          <w:tcPr>
            <w:tcW w:type="dxa" w:w="1944"/>
          </w:tcPr>
          <w:p>
            <w:pPr>
              <w:spacing w:after="20" w:before="20"/>
            </w:pPr>
            <w:r>
              <w:rPr>
                <w:sz w:val="18"/>
              </w:rPr>
              <w:t>Context and targets</w:t>
            </w:r>
          </w:p>
        </w:tc>
        <w:tc>
          <w:tcPr>
            <w:tcW w:type="dxa" w:w="8136"/>
          </w:tcPr>
          <w:p>
            <w:pPr>
              <w:spacing w:after="20" w:before="20"/>
            </w:pPr>
            <w:r>
              <w:rPr>
                <w:sz w:val="18"/>
              </w:rPr>
              <w:t>4 recent frames; memory budget 2; horizons 3 and 6; full 5120 dimensional output</w:t>
            </w:r>
          </w:p>
        </w:tc>
      </w:tr>
      <w:tr>
        <w:trPr>
          <w:cantSplit/>
        </w:trPr>
        <w:tc>
          <w:tcPr>
            <w:tcW w:type="dxa" w:w="1944"/>
          </w:tcPr>
          <w:p>
            <w:pPr>
              <w:spacing w:after="20" w:before="20"/>
            </w:pPr>
            <w:r>
              <w:rPr>
                <w:sz w:val="18"/>
              </w:rPr>
              <w:t>Selection</w:t>
            </w:r>
          </w:p>
        </w:tc>
        <w:tc>
          <w:tcPr>
            <w:tcW w:type="dxa" w:w="8136"/>
          </w:tcPr>
          <w:p>
            <w:pPr>
              <w:spacing w:after="20" w:before="20"/>
            </w:pPr>
            <w:r>
              <w:rPr>
                <w:sz w:val="18"/>
              </w:rPr>
              <w:t>Earliest equal condition validation MSE minimum; no test based checkpoint selection</w:t>
            </w:r>
          </w:p>
        </w:tc>
      </w:tr>
      <w:tr>
        <w:trPr>
          <w:cantSplit/>
        </w:trPr>
        <w:tc>
          <w:tcPr>
            <w:tcW w:type="dxa" w:w="1944"/>
          </w:tcPr>
          <w:p>
            <w:pPr>
              <w:spacing w:after="20" w:before="20"/>
            </w:pPr>
            <w:r>
              <w:rPr>
                <w:sz w:val="18"/>
              </w:rPr>
              <w:t>Acceptance</w:t>
            </w:r>
          </w:p>
        </w:tc>
        <w:tc>
          <w:tcPr>
            <w:tcW w:type="dxa" w:w="8136"/>
          </w:tcPr>
          <w:p>
            <w:pPr>
              <w:spacing w:after="20" w:before="20"/>
            </w:pPr>
            <w:r>
              <w:rPr>
                <w:sz w:val="18"/>
              </w:rPr>
              <w:t>All original task rules and all 32 fixed reference checks per task required</w:t>
            </w:r>
          </w:p>
        </w:tc>
      </w:tr>
    </w:tbl>
    <w:p>
      <w:pPr>
        <w:pStyle w:val="Heading1"/>
      </w:pPr>
      <w:r>
        <w:t>Execution and verification</w:t>
      </w:r>
    </w:p>
    <w:p>
      <w:r>
        <w:t>Training 7535, CPU evaluation 7536, and independent scalar audit 7537 each completed with exit 0:0. All six current best and latest checkpoints passed finite model and optimizer, RNG, scheduler, frozen reference, source signature, 120 epoch and earliest best checks. Native and local training logs agree across 720 rows. Gate17 and Motion17 transparently resume the original epoch 1 state; the other four runs start from their fixed seeds.</w:t>
      </w:r>
    </w:p>
    <w:p>
      <w:r>
        <w:t>The audit checked all 69120 raw records for finite values and complete paired axes, then independently reproduced all 64 fixed reference intervals and pass flags. A separate final CPU verification repeated these checks. All 42 compact files have matching native before transfer, local, and native after transfer SHA256 values. These are execution and arithmetic checks, not evidence that scientific acceptance criteria were met.</w:t>
      </w:r>
    </w:p>
    <w:tbl>
      <w:tblPr>
        <w:tblStyle w:val="TableGrid"/>
        <w:tblW w:type="auto" w:w="0"/>
        <w:tblLayout w:type="fixed"/>
        <w:tblLook w:firstColumn="1" w:firstRow="1" w:lastColumn="0" w:lastRow="0" w:noHBand="0" w:noVBand="1" w:val="04A0"/>
      </w:tblPr>
      <w:tblGrid>
        <w:gridCol w:w="1440"/>
        <w:gridCol w:w="2880"/>
        <w:gridCol w:w="2880"/>
        <w:gridCol w:w="2880"/>
      </w:tblGrid>
      <w:tr>
        <w:trPr>
          <w:cantSplit/>
          <w:tblHeader/>
        </w:trPr>
        <w:tc>
          <w:tcPr>
            <w:tcW w:type="dxa" w:w="1440"/>
            <w:shd w:fill="EEEEEE"/>
          </w:tcPr>
          <w:p>
            <w:pPr>
              <w:spacing w:after="20" w:before="20"/>
            </w:pPr>
            <w:r>
              <w:rPr>
                <w:b/>
                <w:sz w:val="18"/>
              </w:rPr>
              <w:t>Task</w:t>
            </w:r>
          </w:p>
        </w:tc>
        <w:tc>
          <w:tcPr>
            <w:tcW w:type="dxa" w:w="2880"/>
            <w:shd w:fill="EEEEEE"/>
          </w:tcPr>
          <w:p>
            <w:pPr>
              <w:spacing w:after="20" w:before="20"/>
            </w:pPr>
            <w:r>
              <w:rPr>
                <w:b/>
                <w:sz w:val="18"/>
              </w:rPr>
              <w:t>Original rules met</w:t>
            </w:r>
          </w:p>
        </w:tc>
        <w:tc>
          <w:tcPr>
            <w:tcW w:type="dxa" w:w="2880"/>
            <w:shd w:fill="EEEEEE"/>
          </w:tcPr>
          <w:p>
            <w:pPr>
              <w:spacing w:after="20" w:before="20"/>
            </w:pPr>
            <w:r>
              <w:rPr>
                <w:b/>
                <w:sz w:val="18"/>
              </w:rPr>
              <w:t>Fixed checks met</w:t>
            </w:r>
          </w:p>
        </w:tc>
        <w:tc>
          <w:tcPr>
            <w:tcW w:type="dxa" w:w="2880"/>
            <w:shd w:fill="EEEEEE"/>
          </w:tcPr>
          <w:p>
            <w:pPr>
              <w:spacing w:after="20" w:before="20"/>
            </w:pPr>
            <w:r>
              <w:rPr>
                <w:b/>
                <w:sz w:val="18"/>
              </w:rPr>
              <w:t>Raw records</w:t>
            </w:r>
          </w:p>
        </w:tc>
      </w:tr>
      <w:tr>
        <w:trPr>
          <w:cantSplit/>
        </w:trPr>
        <w:tc>
          <w:tcPr>
            <w:tcW w:type="dxa" w:w="1440"/>
          </w:tcPr>
          <w:p>
            <w:pPr>
              <w:spacing w:after="20" w:before="20"/>
            </w:pPr>
            <w:r>
              <w:rPr>
                <w:sz w:val="18"/>
              </w:rPr>
              <w:t>Gate</w:t>
            </w:r>
          </w:p>
        </w:tc>
        <w:tc>
          <w:tcPr>
            <w:tcW w:type="dxa" w:w="2880"/>
          </w:tcPr>
          <w:p>
            <w:pPr>
              <w:spacing w:after="20" w:before="20"/>
            </w:pPr>
            <w:r>
              <w:rPr>
                <w:sz w:val="18"/>
              </w:rPr>
              <w:t>39 of 51</w:t>
            </w:r>
          </w:p>
        </w:tc>
        <w:tc>
          <w:tcPr>
            <w:tcW w:type="dxa" w:w="2880"/>
          </w:tcPr>
          <w:p>
            <w:pPr>
              <w:spacing w:after="20" w:before="20"/>
            </w:pPr>
            <w:r>
              <w:rPr>
                <w:sz w:val="18"/>
              </w:rPr>
              <w:t>19 of 32</w:t>
            </w:r>
          </w:p>
        </w:tc>
        <w:tc>
          <w:tcPr>
            <w:tcW w:type="dxa" w:w="2880"/>
          </w:tcPr>
          <w:p>
            <w:pPr>
              <w:spacing w:after="20" w:before="20"/>
            </w:pPr>
            <w:r>
              <w:rPr>
                <w:sz w:val="18"/>
              </w:rPr>
              <w:t>34560</w:t>
            </w:r>
          </w:p>
        </w:tc>
      </w:tr>
      <w:tr>
        <w:trPr>
          <w:cantSplit/>
        </w:trPr>
        <w:tc>
          <w:tcPr>
            <w:tcW w:type="dxa" w:w="1440"/>
          </w:tcPr>
          <w:p>
            <w:pPr>
              <w:spacing w:after="20" w:before="20"/>
            </w:pPr>
            <w:r>
              <w:rPr>
                <w:sz w:val="18"/>
              </w:rPr>
              <w:t>Motion</w:t>
            </w:r>
          </w:p>
        </w:tc>
        <w:tc>
          <w:tcPr>
            <w:tcW w:type="dxa" w:w="2880"/>
          </w:tcPr>
          <w:p>
            <w:pPr>
              <w:spacing w:after="20" w:before="20"/>
            </w:pPr>
            <w:r>
              <w:rPr>
                <w:sz w:val="18"/>
              </w:rPr>
              <w:t>49 of 51</w:t>
            </w:r>
          </w:p>
        </w:tc>
        <w:tc>
          <w:tcPr>
            <w:tcW w:type="dxa" w:w="2880"/>
          </w:tcPr>
          <w:p>
            <w:pPr>
              <w:spacing w:after="20" w:before="20"/>
            </w:pPr>
            <w:r>
              <w:rPr>
                <w:sz w:val="18"/>
              </w:rPr>
              <w:t>26 of 32</w:t>
            </w:r>
          </w:p>
        </w:tc>
        <w:tc>
          <w:tcPr>
            <w:tcW w:type="dxa" w:w="2880"/>
          </w:tcPr>
          <w:p>
            <w:pPr>
              <w:spacing w:after="20" w:before="20"/>
            </w:pPr>
            <w:r>
              <w:rPr>
                <w:sz w:val="18"/>
              </w:rPr>
              <w:t>34560</w:t>
            </w:r>
          </w:p>
        </w:tc>
      </w:tr>
    </w:tbl>
    <w:p>
      <w:r>
        <w:t>Check counts summarize different requirements. They are not prediction accuracies, success probabilities, or substitutes for the all required rule.</w:t>
      </w:r>
    </w:p>
    <w:p>
      <w:r>
        <w:br w:type="page"/>
      </w:r>
    </w:p>
    <w:p>
      <w:pPr>
        <w:pStyle w:val="Heading1"/>
      </w:pPr>
      <w:r>
        <w:t>Where the repaired predictor remains unreliable</w:t>
      </w:r>
    </w:p>
    <w:p>
      <w:r>
        <w:drawing>
          <wp:inline xmlns:a="http://schemas.openxmlformats.org/drawingml/2006/main" xmlns:pic="http://schemas.openxmlformats.org/drawingml/2006/picture">
            <wp:extent cx="6400800" cy="3108960"/>
            <wp:docPr id="1" name="Picture 1"/>
            <wp:cNvGraphicFramePr>
              <a:graphicFrameLocks noChangeAspect="1"/>
            </wp:cNvGraphicFramePr>
            <a:graphic>
              <a:graphicData uri="http://schemas.openxmlformats.org/drawingml/2006/picture">
                <pic:pic>
                  <pic:nvPicPr>
                    <pic:cNvPr id="0" name="critical_error_intervals.png"/>
                    <pic:cNvPicPr/>
                  </pic:nvPicPr>
                  <pic:blipFill>
                    <a:blip r:embed="rId9"/>
                    <a:stretch>
                      <a:fillRect/>
                    </a:stretch>
                  </pic:blipFill>
                  <pic:spPr>
                    <a:xfrm>
                      <a:off x="0" y="0"/>
                      <a:ext cx="6400800" cy="3108960"/>
                    </a:xfrm>
                    <a:prstGeom prst="rect"/>
                  </pic:spPr>
                </pic:pic>
              </a:graphicData>
            </a:graphic>
          </wp:inline>
        </w:drawing>
      </w:r>
    </w:p>
    <w:p>
      <w:r>
        <w:t>Figure 1. Positive values favor the repaired privileged memory predictor over the fixed reference privileged memory predictor. A critical absolute check requires a strictly positive mean and lower interval bound. Filled markers pass; open markers fail. Each interval uses 128 episode pairs, grouped at pair level with 2000 fixed bootstrap resamples. The mean label averages scalar errors across the three seeds within each paired episode; it does not add independent pairs.</w:t>
      </w:r>
    </w:p>
    <w:p>
      <w:r>
        <w:t>Gate failures concentrate on distractor shift. All eight privileged benefit slices in that split fail, as do four content replacement intervention slices. On the fixed absolute comparison, seed43 is worse at both horizons; seed29 intervals cross zero. Thus the repair has not established stable use of the intended cue under changed distractors.</w:t>
      </w:r>
    </w:p>
    <w:p>
      <w:r>
        <w:t>Motion is closer to the acceptance boundary, but it still misses the seed17 distractor benefit checks at both horizons. Long occlusion also fails four required absolute comparisons: h3 for seeds17 and29 and their three seed mean, and h6 for seed29. The h3 mean reduction is 0.002995 with interval minus 0.001239 to 0.007277, so a reliable absolute improvement is not established.</w:t>
      </w:r>
    </w:p>
    <w:tbl>
      <w:tblPr>
        <w:tblStyle w:val="TableGrid"/>
        <w:tblW w:type="auto" w:w="0"/>
        <w:tblLayout w:type="fixed"/>
        <w:tblLook w:firstColumn="1" w:firstRow="1" w:lastColumn="0" w:lastRow="0" w:noHBand="0" w:noVBand="1" w:val="04A0"/>
      </w:tblPr>
      <w:tblGrid>
        <w:gridCol w:w="1440"/>
        <w:gridCol w:w="2160"/>
        <w:gridCol w:w="2160"/>
        <w:gridCol w:w="2160"/>
        <w:gridCol w:w="2160"/>
      </w:tblGrid>
      <w:tr>
        <w:trPr>
          <w:cantSplit/>
          <w:tblHeader/>
        </w:trPr>
        <w:tc>
          <w:tcPr>
            <w:tcW w:type="dxa" w:w="1440"/>
            <w:shd w:fill="EEEEEE"/>
          </w:tcPr>
          <w:p>
            <w:pPr>
              <w:spacing w:after="20" w:before="20"/>
            </w:pPr>
            <w:r>
              <w:rPr>
                <w:b/>
                <w:sz w:val="18"/>
              </w:rPr>
              <w:t>Task</w:t>
            </w:r>
          </w:p>
        </w:tc>
        <w:tc>
          <w:tcPr>
            <w:tcW w:type="dxa" w:w="2160"/>
            <w:shd w:fill="EEEEEE"/>
          </w:tcPr>
          <w:p>
            <w:pPr>
              <w:spacing w:after="20" w:before="20"/>
            </w:pPr>
            <w:r>
              <w:rPr>
                <w:b/>
                <w:sz w:val="18"/>
              </w:rPr>
              <w:t>Seed17 fixed</w:t>
            </w:r>
          </w:p>
        </w:tc>
        <w:tc>
          <w:tcPr>
            <w:tcW w:type="dxa" w:w="2160"/>
            <w:shd w:fill="EEEEEE"/>
          </w:tcPr>
          <w:p>
            <w:pPr>
              <w:spacing w:after="20" w:before="20"/>
            </w:pPr>
            <w:r>
              <w:rPr>
                <w:b/>
                <w:sz w:val="18"/>
              </w:rPr>
              <w:t>Seed29 fixed</w:t>
            </w:r>
          </w:p>
        </w:tc>
        <w:tc>
          <w:tcPr>
            <w:tcW w:type="dxa" w:w="2160"/>
            <w:shd w:fill="EEEEEE"/>
          </w:tcPr>
          <w:p>
            <w:pPr>
              <w:spacing w:after="20" w:before="20"/>
            </w:pPr>
            <w:r>
              <w:rPr>
                <w:b/>
                <w:sz w:val="18"/>
              </w:rPr>
              <w:t>Seed43 fixed</w:t>
            </w:r>
          </w:p>
        </w:tc>
        <w:tc>
          <w:tcPr>
            <w:tcW w:type="dxa" w:w="2160"/>
            <w:shd w:fill="EEEEEE"/>
          </w:tcPr>
          <w:p>
            <w:pPr>
              <w:spacing w:after="20" w:before="20"/>
            </w:pPr>
            <w:r>
              <w:rPr>
                <w:b/>
                <w:sz w:val="18"/>
              </w:rPr>
              <w:t>Three seed mean fixed</w:t>
            </w:r>
          </w:p>
        </w:tc>
      </w:tr>
      <w:tr>
        <w:trPr>
          <w:cantSplit/>
        </w:trPr>
        <w:tc>
          <w:tcPr>
            <w:tcW w:type="dxa" w:w="1440"/>
          </w:tcPr>
          <w:p>
            <w:pPr>
              <w:spacing w:after="20" w:before="20"/>
            </w:pPr>
            <w:r>
              <w:rPr>
                <w:sz w:val="18"/>
              </w:rPr>
              <w:t>Gate</w:t>
            </w:r>
          </w:p>
        </w:tc>
        <w:tc>
          <w:tcPr>
            <w:tcW w:type="dxa" w:w="2160"/>
          </w:tcPr>
          <w:p>
            <w:pPr>
              <w:spacing w:after="20" w:before="20"/>
            </w:pPr>
            <w:r>
              <w:rPr>
                <w:sz w:val="18"/>
              </w:rPr>
              <w:t>6/8</w:t>
            </w:r>
          </w:p>
        </w:tc>
        <w:tc>
          <w:tcPr>
            <w:tcW w:type="dxa" w:w="2160"/>
          </w:tcPr>
          <w:p>
            <w:pPr>
              <w:spacing w:after="20" w:before="20"/>
            </w:pPr>
            <w:r>
              <w:rPr>
                <w:sz w:val="18"/>
              </w:rPr>
              <w:t>4/8</w:t>
            </w:r>
          </w:p>
        </w:tc>
        <w:tc>
          <w:tcPr>
            <w:tcW w:type="dxa" w:w="2160"/>
          </w:tcPr>
          <w:p>
            <w:pPr>
              <w:spacing w:after="20" w:before="20"/>
            </w:pPr>
            <w:r>
              <w:rPr>
                <w:sz w:val="18"/>
              </w:rPr>
              <w:t>4/8</w:t>
            </w:r>
          </w:p>
        </w:tc>
        <w:tc>
          <w:tcPr>
            <w:tcW w:type="dxa" w:w="2160"/>
          </w:tcPr>
          <w:p>
            <w:pPr>
              <w:spacing w:after="20" w:before="20"/>
            </w:pPr>
            <w:r>
              <w:rPr>
                <w:sz w:val="18"/>
              </w:rPr>
              <w:t>5/8</w:t>
            </w:r>
          </w:p>
        </w:tc>
      </w:tr>
      <w:tr>
        <w:trPr>
          <w:cantSplit/>
        </w:trPr>
        <w:tc>
          <w:tcPr>
            <w:tcW w:type="dxa" w:w="1440"/>
          </w:tcPr>
          <w:p>
            <w:pPr>
              <w:spacing w:after="20" w:before="20"/>
            </w:pPr>
            <w:r>
              <w:rPr>
                <w:sz w:val="18"/>
              </w:rPr>
              <w:t>Motion</w:t>
            </w:r>
          </w:p>
        </w:tc>
        <w:tc>
          <w:tcPr>
            <w:tcW w:type="dxa" w:w="2160"/>
          </w:tcPr>
          <w:p>
            <w:pPr>
              <w:spacing w:after="20" w:before="20"/>
            </w:pPr>
            <w:r>
              <w:rPr>
                <w:sz w:val="18"/>
              </w:rPr>
              <w:t>5/8</w:t>
            </w:r>
          </w:p>
        </w:tc>
        <w:tc>
          <w:tcPr>
            <w:tcW w:type="dxa" w:w="2160"/>
          </w:tcPr>
          <w:p>
            <w:pPr>
              <w:spacing w:after="20" w:before="20"/>
            </w:pPr>
            <w:r>
              <w:rPr>
                <w:sz w:val="18"/>
              </w:rPr>
              <w:t>6/8</w:t>
            </w:r>
          </w:p>
        </w:tc>
        <w:tc>
          <w:tcPr>
            <w:tcW w:type="dxa" w:w="2160"/>
          </w:tcPr>
          <w:p>
            <w:pPr>
              <w:spacing w:after="20" w:before="20"/>
            </w:pPr>
            <w:r>
              <w:rPr>
                <w:sz w:val="18"/>
              </w:rPr>
              <w:t>8/8</w:t>
            </w:r>
          </w:p>
        </w:tc>
        <w:tc>
          <w:tcPr>
            <w:tcW w:type="dxa" w:w="2160"/>
          </w:tcPr>
          <w:p>
            <w:pPr>
              <w:spacing w:after="20" w:before="20"/>
            </w:pPr>
            <w:r>
              <w:rPr>
                <w:sz w:val="18"/>
              </w:rPr>
              <w:t>7/8</w:t>
            </w:r>
          </w:p>
        </w:tc>
      </w:tr>
    </w:tbl>
    <w:p>
      <w:r>
        <w:t>The paired intervals describe this revealed development data. The repair was chosen after previous development failures were inspected, so these results cannot serve as independent confirmation. Differences across seeds and splits identify unresolved behavior; they do not isolate a unique causal mechanism.</w:t>
      </w:r>
    </w:p>
    <w:p>
      <w:pPr>
        <w:pStyle w:val="Heading1"/>
      </w:pPr>
      <w:r>
        <w:t>How to read the full comparison tables</w:t>
      </w:r>
    </w:p>
    <w:p>
      <w:r>
        <w:t>R compares candidate privileged memory with the fixed reference recent only predictor. Relative error reduction must be at least 10 percent and its interval lower bound must be above zero. A compares candidate privileged memory with fixed reference privileged memory in the preregistered critical split; absolute MSE reduction and its lower bound must both exceed zero. All reported R rows use the relative scale. ID means the original test distribution, Long means long occlusion, and Shift means changed distractors. The next two pages include every fixed comparison.</w:t>
      </w:r>
    </w:p>
    <w:p>
      <w:r>
        <w:br w:type="page"/>
      </w:r>
    </w:p>
    <w:p>
      <w:pPr>
        <w:pStyle w:val="Heading1"/>
      </w:pPr>
      <w:r>
        <w:t>Gate fixed reference comparisons</w:t>
      </w:r>
    </w:p>
    <w:p>
      <w:r>
        <w:t>Values are mean reduction and paired 95 percent interval. R values are percent; A values are normalized MSE units. Each row uses 128 pairs. All rows are required.</w:t>
      </w:r>
    </w:p>
    <w:tbl>
      <w:tblPr>
        <w:tblStyle w:val="TableGrid"/>
        <w:tblW w:type="auto" w:w="0"/>
        <w:tblLayout w:type="fixed"/>
        <w:tblLook w:firstColumn="1" w:firstRow="1" w:lastColumn="0" w:lastRow="0" w:noHBand="0" w:noVBand="1" w:val="04A0"/>
      </w:tblPr>
      <w:tblGrid>
        <w:gridCol w:w="907"/>
        <w:gridCol w:w="432"/>
        <w:gridCol w:w="749"/>
        <w:gridCol w:w="662"/>
        <w:gridCol w:w="1152"/>
        <w:gridCol w:w="3701"/>
        <w:gridCol w:w="1037"/>
      </w:tblGrid>
      <w:tr>
        <w:trPr>
          <w:cantSplit/>
          <w:tblHeader/>
        </w:trPr>
        <w:tc>
          <w:tcPr>
            <w:tcW w:type="dxa" w:w="907"/>
            <w:shd w:fill="EEEEEE"/>
          </w:tcPr>
          <w:p>
            <w:pPr>
              <w:spacing w:after="20" w:before="20"/>
            </w:pPr>
            <w:r>
              <w:rPr>
                <w:b/>
                <w:sz w:val="17"/>
              </w:rPr>
              <w:t>Split</w:t>
            </w:r>
          </w:p>
        </w:tc>
        <w:tc>
          <w:tcPr>
            <w:tcW w:type="dxa" w:w="432"/>
            <w:shd w:fill="EEEEEE"/>
          </w:tcPr>
          <w:p>
            <w:pPr>
              <w:spacing w:after="20" w:before="20"/>
            </w:pPr>
            <w:r>
              <w:rPr>
                <w:b/>
                <w:sz w:val="17"/>
              </w:rPr>
              <w:t>h</w:t>
            </w:r>
          </w:p>
        </w:tc>
        <w:tc>
          <w:tcPr>
            <w:tcW w:type="dxa" w:w="749"/>
            <w:shd w:fill="EEEEEE"/>
          </w:tcPr>
          <w:p>
            <w:pPr>
              <w:spacing w:after="20" w:before="20"/>
            </w:pPr>
            <w:r>
              <w:rPr>
                <w:b/>
                <w:sz w:val="17"/>
              </w:rPr>
              <w:t>Seed</w:t>
            </w:r>
          </w:p>
        </w:tc>
        <w:tc>
          <w:tcPr>
            <w:tcW w:type="dxa" w:w="662"/>
            <w:shd w:fill="EEEEEE"/>
          </w:tcPr>
          <w:p>
            <w:pPr>
              <w:spacing w:after="20" w:before="20"/>
            </w:pPr>
            <w:r>
              <w:rPr>
                <w:b/>
                <w:sz w:val="17"/>
              </w:rPr>
              <w:t>Type</w:t>
            </w:r>
          </w:p>
        </w:tc>
        <w:tc>
          <w:tcPr>
            <w:tcW w:type="dxa" w:w="1152"/>
            <w:shd w:fill="EEEEEE"/>
          </w:tcPr>
          <w:p>
            <w:pPr>
              <w:spacing w:after="20" w:before="20"/>
            </w:pPr>
            <w:r>
              <w:rPr>
                <w:b/>
                <w:sz w:val="17"/>
              </w:rPr>
              <w:t>Mean</w:t>
            </w:r>
          </w:p>
        </w:tc>
        <w:tc>
          <w:tcPr>
            <w:tcW w:type="dxa" w:w="3701"/>
            <w:shd w:fill="EEEEEE"/>
          </w:tcPr>
          <w:p>
            <w:pPr>
              <w:spacing w:after="20" w:before="20"/>
            </w:pPr>
            <w:r>
              <w:rPr>
                <w:b/>
                <w:sz w:val="17"/>
              </w:rPr>
              <w:t>95 percent interval</w:t>
            </w:r>
          </w:p>
        </w:tc>
        <w:tc>
          <w:tcPr>
            <w:tcW w:type="dxa" w:w="1037"/>
            <w:shd w:fill="EEEEEE"/>
          </w:tcPr>
          <w:p>
            <w:pPr>
              <w:spacing w:after="20" w:before="20"/>
            </w:pPr>
            <w:r>
              <w:rPr>
                <w:b/>
                <w:sz w:val="17"/>
              </w:rPr>
              <w:t>Rule</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48.19</w:t>
            </w:r>
          </w:p>
        </w:tc>
        <w:tc>
          <w:tcPr>
            <w:tcW w:type="dxa" w:w="3701"/>
          </w:tcPr>
          <w:p>
            <w:pPr>
              <w:spacing w:after="20" w:before="20"/>
            </w:pPr>
            <w:r>
              <w:rPr>
                <w:sz w:val="17"/>
              </w:rPr>
              <w:t>[37.72, 57.46]</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45.22</w:t>
            </w:r>
          </w:p>
        </w:tc>
        <w:tc>
          <w:tcPr>
            <w:tcW w:type="dxa" w:w="3701"/>
          </w:tcPr>
          <w:p>
            <w:pPr>
              <w:spacing w:after="20" w:before="20"/>
            </w:pPr>
            <w:r>
              <w:rPr>
                <w:sz w:val="17"/>
              </w:rPr>
              <w:t>[35.06, 54.60]</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47.92</w:t>
            </w:r>
          </w:p>
        </w:tc>
        <w:tc>
          <w:tcPr>
            <w:tcW w:type="dxa" w:w="3701"/>
          </w:tcPr>
          <w:p>
            <w:pPr>
              <w:spacing w:after="20" w:before="20"/>
            </w:pPr>
            <w:r>
              <w:rPr>
                <w:sz w:val="17"/>
              </w:rPr>
              <w:t>[38.00, 56.63]</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47.10</w:t>
            </w:r>
          </w:p>
        </w:tc>
        <w:tc>
          <w:tcPr>
            <w:tcW w:type="dxa" w:w="3701"/>
          </w:tcPr>
          <w:p>
            <w:pPr>
              <w:spacing w:after="20" w:before="20"/>
            </w:pPr>
            <w:r>
              <w:rPr>
                <w:sz w:val="17"/>
              </w:rPr>
              <w:t>[37.89, 55.47]</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47.50</w:t>
            </w:r>
          </w:p>
        </w:tc>
        <w:tc>
          <w:tcPr>
            <w:tcW w:type="dxa" w:w="3701"/>
          </w:tcPr>
          <w:p>
            <w:pPr>
              <w:spacing w:after="20" w:before="20"/>
            </w:pPr>
            <w:r>
              <w:rPr>
                <w:sz w:val="17"/>
              </w:rPr>
              <w:t>[38.54, 55.71]</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41.71</w:t>
            </w:r>
          </w:p>
        </w:tc>
        <w:tc>
          <w:tcPr>
            <w:tcW w:type="dxa" w:w="3701"/>
          </w:tcPr>
          <w:p>
            <w:pPr>
              <w:spacing w:after="20" w:before="20"/>
            </w:pPr>
            <w:r>
              <w:rPr>
                <w:sz w:val="17"/>
              </w:rPr>
              <w:t>[31.17, 51.25]</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42.88</w:t>
            </w:r>
          </w:p>
        </w:tc>
        <w:tc>
          <w:tcPr>
            <w:tcW w:type="dxa" w:w="3701"/>
          </w:tcPr>
          <w:p>
            <w:pPr>
              <w:spacing w:after="20" w:before="20"/>
            </w:pPr>
            <w:r>
              <w:rPr>
                <w:sz w:val="17"/>
              </w:rPr>
              <w:t>[32.79, 52.41]</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44.01</w:t>
            </w:r>
          </w:p>
        </w:tc>
        <w:tc>
          <w:tcPr>
            <w:tcW w:type="dxa" w:w="3701"/>
          </w:tcPr>
          <w:p>
            <w:pPr>
              <w:spacing w:after="20" w:before="20"/>
            </w:pPr>
            <w:r>
              <w:rPr>
                <w:sz w:val="17"/>
              </w:rPr>
              <w:t>[34.45, 52.76]</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55.42</w:t>
            </w:r>
          </w:p>
        </w:tc>
        <w:tc>
          <w:tcPr>
            <w:tcW w:type="dxa" w:w="3701"/>
          </w:tcPr>
          <w:p>
            <w:pPr>
              <w:spacing w:after="20" w:before="20"/>
            </w:pPr>
            <w:r>
              <w:rPr>
                <w:sz w:val="17"/>
              </w:rPr>
              <w:t>[46.56, 62.85]</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54.25</w:t>
            </w:r>
          </w:p>
        </w:tc>
        <w:tc>
          <w:tcPr>
            <w:tcW w:type="dxa" w:w="3701"/>
          </w:tcPr>
          <w:p>
            <w:pPr>
              <w:spacing w:after="20" w:before="20"/>
            </w:pPr>
            <w:r>
              <w:rPr>
                <w:sz w:val="17"/>
              </w:rPr>
              <w:t>[45.04, 61.56]</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56.54</w:t>
            </w:r>
          </w:p>
        </w:tc>
        <w:tc>
          <w:tcPr>
            <w:tcW w:type="dxa" w:w="3701"/>
          </w:tcPr>
          <w:p>
            <w:pPr>
              <w:spacing w:after="20" w:before="20"/>
            </w:pPr>
            <w:r>
              <w:rPr>
                <w:sz w:val="17"/>
              </w:rPr>
              <w:t>[49.97, 61.91]</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55.40</w:t>
            </w:r>
          </w:p>
        </w:tc>
        <w:tc>
          <w:tcPr>
            <w:tcW w:type="dxa" w:w="3701"/>
          </w:tcPr>
          <w:p>
            <w:pPr>
              <w:spacing w:after="20" w:before="20"/>
            </w:pPr>
            <w:r>
              <w:rPr>
                <w:sz w:val="17"/>
              </w:rPr>
              <w:t>[47.64, 61.55]</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54.09</w:t>
            </w:r>
          </w:p>
        </w:tc>
        <w:tc>
          <w:tcPr>
            <w:tcW w:type="dxa" w:w="3701"/>
          </w:tcPr>
          <w:p>
            <w:pPr>
              <w:spacing w:after="20" w:before="20"/>
            </w:pPr>
            <w:r>
              <w:rPr>
                <w:sz w:val="17"/>
              </w:rPr>
              <w:t>[46.57, 60.24]</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54.90</w:t>
            </w:r>
          </w:p>
        </w:tc>
        <w:tc>
          <w:tcPr>
            <w:tcW w:type="dxa" w:w="3701"/>
          </w:tcPr>
          <w:p>
            <w:pPr>
              <w:spacing w:after="20" w:before="20"/>
            </w:pPr>
            <w:r>
              <w:rPr>
                <w:sz w:val="17"/>
              </w:rPr>
              <w:t>[48.72, 60.02]</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56.47</w:t>
            </w:r>
          </w:p>
        </w:tc>
        <w:tc>
          <w:tcPr>
            <w:tcW w:type="dxa" w:w="3701"/>
          </w:tcPr>
          <w:p>
            <w:pPr>
              <w:spacing w:after="20" w:before="20"/>
            </w:pPr>
            <w:r>
              <w:rPr>
                <w:sz w:val="17"/>
              </w:rPr>
              <w:t>[51.46, 60.19]</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55.15</w:t>
            </w:r>
          </w:p>
        </w:tc>
        <w:tc>
          <w:tcPr>
            <w:tcW w:type="dxa" w:w="3701"/>
          </w:tcPr>
          <w:p>
            <w:pPr>
              <w:spacing w:after="20" w:before="20"/>
            </w:pPr>
            <w:r>
              <w:rPr>
                <w:sz w:val="17"/>
              </w:rPr>
              <w:t>[49.31, 59.73]</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2.25</w:t>
            </w:r>
          </w:p>
        </w:tc>
        <w:tc>
          <w:tcPr>
            <w:tcW w:type="dxa" w:w="3701"/>
          </w:tcPr>
          <w:p>
            <w:pPr>
              <w:spacing w:after="20" w:before="20"/>
            </w:pPr>
            <w:r>
              <w:rPr>
                <w:sz w:val="17"/>
              </w:rPr>
              <w:t>[-3.99, 8.36]</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A</w:t>
            </w:r>
          </w:p>
        </w:tc>
        <w:tc>
          <w:tcPr>
            <w:tcW w:type="dxa" w:w="1152"/>
          </w:tcPr>
          <w:p>
            <w:pPr>
              <w:spacing w:after="20" w:before="20"/>
            </w:pPr>
            <w:r>
              <w:rPr>
                <w:sz w:val="17"/>
              </w:rPr>
              <w:t>0.02802</w:t>
            </w:r>
          </w:p>
        </w:tc>
        <w:tc>
          <w:tcPr>
            <w:tcW w:type="dxa" w:w="3701"/>
          </w:tcPr>
          <w:p>
            <w:pPr>
              <w:spacing w:after="20" w:before="20"/>
            </w:pPr>
            <w:r>
              <w:rPr>
                <w:sz w:val="17"/>
              </w:rPr>
              <w:t>[0.02021, 0.03639]</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-3.73</w:t>
            </w:r>
          </w:p>
        </w:tc>
        <w:tc>
          <w:tcPr>
            <w:tcW w:type="dxa" w:w="3701"/>
          </w:tcPr>
          <w:p>
            <w:pPr>
              <w:spacing w:after="20" w:before="20"/>
            </w:pPr>
            <w:r>
              <w:rPr>
                <w:sz w:val="17"/>
              </w:rPr>
              <w:t>[-9.05, 1.64]</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A</w:t>
            </w:r>
          </w:p>
        </w:tc>
        <w:tc>
          <w:tcPr>
            <w:tcW w:type="dxa" w:w="1152"/>
          </w:tcPr>
          <w:p>
            <w:pPr>
              <w:spacing w:after="20" w:before="20"/>
            </w:pPr>
            <w:r>
              <w:rPr>
                <w:sz w:val="17"/>
              </w:rPr>
              <w:t>0.00351</w:t>
            </w:r>
          </w:p>
        </w:tc>
        <w:tc>
          <w:tcPr>
            <w:tcW w:type="dxa" w:w="3701"/>
          </w:tcPr>
          <w:p>
            <w:pPr>
              <w:spacing w:after="20" w:before="20"/>
            </w:pPr>
            <w:r>
              <w:rPr>
                <w:sz w:val="17"/>
              </w:rPr>
              <w:t>[-0.00590, 0.01259]</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-15.78</w:t>
            </w:r>
          </w:p>
        </w:tc>
        <w:tc>
          <w:tcPr>
            <w:tcW w:type="dxa" w:w="3701"/>
          </w:tcPr>
          <w:p>
            <w:pPr>
              <w:spacing w:after="20" w:before="20"/>
            </w:pPr>
            <w:r>
              <w:rPr>
                <w:sz w:val="17"/>
              </w:rPr>
              <w:t>[-23.68, -7.55]</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A</w:t>
            </w:r>
          </w:p>
        </w:tc>
        <w:tc>
          <w:tcPr>
            <w:tcW w:type="dxa" w:w="1152"/>
          </w:tcPr>
          <w:p>
            <w:pPr>
              <w:spacing w:after="20" w:before="20"/>
            </w:pPr>
            <w:r>
              <w:rPr>
                <w:sz w:val="17"/>
              </w:rPr>
              <w:t>-0.01953</w:t>
            </w:r>
          </w:p>
        </w:tc>
        <w:tc>
          <w:tcPr>
            <w:tcW w:type="dxa" w:w="3701"/>
          </w:tcPr>
          <w:p>
            <w:pPr>
              <w:spacing w:after="20" w:before="20"/>
            </w:pPr>
            <w:r>
              <w:rPr>
                <w:sz w:val="17"/>
              </w:rPr>
              <w:t>[-0.03116, -0.00769]</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-5.51</w:t>
            </w:r>
          </w:p>
        </w:tc>
        <w:tc>
          <w:tcPr>
            <w:tcW w:type="dxa" w:w="3701"/>
          </w:tcPr>
          <w:p>
            <w:pPr>
              <w:spacing w:after="20" w:before="20"/>
            </w:pPr>
            <w:r>
              <w:rPr>
                <w:sz w:val="17"/>
              </w:rPr>
              <w:t>[-11.85, 0.79]</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A</w:t>
            </w:r>
          </w:p>
        </w:tc>
        <w:tc>
          <w:tcPr>
            <w:tcW w:type="dxa" w:w="1152"/>
          </w:tcPr>
          <w:p>
            <w:pPr>
              <w:spacing w:after="20" w:before="20"/>
            </w:pPr>
            <w:r>
              <w:rPr>
                <w:sz w:val="17"/>
              </w:rPr>
              <w:t>0.00400</w:t>
            </w:r>
          </w:p>
        </w:tc>
        <w:tc>
          <w:tcPr>
            <w:tcW w:type="dxa" w:w="3701"/>
          </w:tcPr>
          <w:p>
            <w:pPr>
              <w:spacing w:after="20" w:before="20"/>
            </w:pPr>
            <w:r>
              <w:rPr>
                <w:sz w:val="17"/>
              </w:rPr>
              <w:t>[-0.00283, 0.01094]</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1.05</w:t>
            </w:r>
          </w:p>
        </w:tc>
        <w:tc>
          <w:tcPr>
            <w:tcW w:type="dxa" w:w="3701"/>
          </w:tcPr>
          <w:p>
            <w:pPr>
              <w:spacing w:after="20" w:before="20"/>
            </w:pPr>
            <w:r>
              <w:rPr>
                <w:sz w:val="17"/>
              </w:rPr>
              <w:t>[-5.31, 7.27]</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A</w:t>
            </w:r>
          </w:p>
        </w:tc>
        <w:tc>
          <w:tcPr>
            <w:tcW w:type="dxa" w:w="1152"/>
          </w:tcPr>
          <w:p>
            <w:pPr>
              <w:spacing w:after="20" w:before="20"/>
            </w:pPr>
            <w:r>
              <w:rPr>
                <w:sz w:val="17"/>
              </w:rPr>
              <w:t>0.03973</w:t>
            </w:r>
          </w:p>
        </w:tc>
        <w:tc>
          <w:tcPr>
            <w:tcW w:type="dxa" w:w="3701"/>
          </w:tcPr>
          <w:p>
            <w:pPr>
              <w:spacing w:after="20" w:before="20"/>
            </w:pPr>
            <w:r>
              <w:rPr>
                <w:sz w:val="17"/>
              </w:rPr>
              <w:t>[0.03050, 0.04935]</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-2.39</w:t>
            </w:r>
          </w:p>
        </w:tc>
        <w:tc>
          <w:tcPr>
            <w:tcW w:type="dxa" w:w="3701"/>
          </w:tcPr>
          <w:p>
            <w:pPr>
              <w:spacing w:after="20" w:before="20"/>
            </w:pPr>
            <w:r>
              <w:rPr>
                <w:sz w:val="17"/>
              </w:rPr>
              <w:t>[-7.90, 3.22]</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A</w:t>
            </w:r>
          </w:p>
        </w:tc>
        <w:tc>
          <w:tcPr>
            <w:tcW w:type="dxa" w:w="1152"/>
          </w:tcPr>
          <w:p>
            <w:pPr>
              <w:spacing w:after="20" w:before="20"/>
            </w:pPr>
            <w:r>
              <w:rPr>
                <w:sz w:val="17"/>
              </w:rPr>
              <w:t>0.00806</w:t>
            </w:r>
          </w:p>
        </w:tc>
        <w:tc>
          <w:tcPr>
            <w:tcW w:type="dxa" w:w="3701"/>
          </w:tcPr>
          <w:p>
            <w:pPr>
              <w:spacing w:after="20" w:before="20"/>
            </w:pPr>
            <w:r>
              <w:rPr>
                <w:sz w:val="17"/>
              </w:rPr>
              <w:t>[-0.00072, 0.01605]</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-13.74</w:t>
            </w:r>
          </w:p>
        </w:tc>
        <w:tc>
          <w:tcPr>
            <w:tcW w:type="dxa" w:w="3701"/>
          </w:tcPr>
          <w:p>
            <w:pPr>
              <w:spacing w:after="20" w:before="20"/>
            </w:pPr>
            <w:r>
              <w:rPr>
                <w:sz w:val="17"/>
              </w:rPr>
              <w:t>[-21.38, -5.99]</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A</w:t>
            </w:r>
          </w:p>
        </w:tc>
        <w:tc>
          <w:tcPr>
            <w:tcW w:type="dxa" w:w="1152"/>
          </w:tcPr>
          <w:p>
            <w:pPr>
              <w:spacing w:after="20" w:before="20"/>
            </w:pPr>
            <w:r>
              <w:rPr>
                <w:sz w:val="17"/>
              </w:rPr>
              <w:t>-0.01159</w:t>
            </w:r>
          </w:p>
        </w:tc>
        <w:tc>
          <w:tcPr>
            <w:tcW w:type="dxa" w:w="3701"/>
          </w:tcPr>
          <w:p>
            <w:pPr>
              <w:spacing w:after="20" w:before="20"/>
            </w:pPr>
            <w:r>
              <w:rPr>
                <w:sz w:val="17"/>
              </w:rPr>
              <w:t>[-0.02283, -0.00053]</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-5.06</w:t>
            </w:r>
          </w:p>
        </w:tc>
        <w:tc>
          <w:tcPr>
            <w:tcW w:type="dxa" w:w="3701"/>
          </w:tcPr>
          <w:p>
            <w:pPr>
              <w:spacing w:after="20" w:before="20"/>
            </w:pPr>
            <w:r>
              <w:rPr>
                <w:sz w:val="17"/>
              </w:rPr>
              <w:t>[-11.46, 1.23]</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A</w:t>
            </w:r>
          </w:p>
        </w:tc>
        <w:tc>
          <w:tcPr>
            <w:tcW w:type="dxa" w:w="1152"/>
          </w:tcPr>
          <w:p>
            <w:pPr>
              <w:spacing w:after="20" w:before="20"/>
            </w:pPr>
            <w:r>
              <w:rPr>
                <w:sz w:val="17"/>
              </w:rPr>
              <w:t>0.01206</w:t>
            </w:r>
          </w:p>
        </w:tc>
        <w:tc>
          <w:tcPr>
            <w:tcW w:type="dxa" w:w="3701"/>
          </w:tcPr>
          <w:p>
            <w:pPr>
              <w:spacing w:after="20" w:before="20"/>
            </w:pPr>
            <w:r>
              <w:rPr>
                <w:sz w:val="17"/>
              </w:rPr>
              <w:t>[0.00558, 0.01812]</w:t>
            </w:r>
          </w:p>
        </w:tc>
        <w:tc>
          <w:tcPr>
            <w:tcW w:type="dxa" w:w="1037"/>
          </w:tcPr>
          <w:p>
            <w:pPr>
              <w:spacing w:after="20" w:before="20"/>
            </w:pPr>
            <w:r>
              <w:rPr>
                <w:sz w:val="17"/>
              </w:rPr>
              <w:t>PASS</w:t>
            </w:r>
          </w:p>
        </w:tc>
      </w:tr>
    </w:tbl>
    <w:p>
      <w:r>
        <w:br w:type="page"/>
      </w:r>
    </w:p>
    <w:p>
      <w:pPr>
        <w:pStyle w:val="Heading1"/>
      </w:pPr>
      <w:r>
        <w:t>Motion fixed reference comparisons</w:t>
      </w:r>
    </w:p>
    <w:p>
      <w:r>
        <w:t>Values are mean reduction and paired 95 percent interval. R values are percent; A values are normalized MSE units. Each row uses 128 pairs. All rows are required.</w:t>
      </w:r>
    </w:p>
    <w:tbl>
      <w:tblPr>
        <w:tblStyle w:val="TableGrid"/>
        <w:tblW w:type="auto" w:w="0"/>
        <w:tblLayout w:type="fixed"/>
        <w:tblLook w:firstColumn="1" w:firstRow="1" w:lastColumn="0" w:lastRow="0" w:noHBand="0" w:noVBand="1" w:val="04A0"/>
      </w:tblPr>
      <w:tblGrid>
        <w:gridCol w:w="907"/>
        <w:gridCol w:w="432"/>
        <w:gridCol w:w="749"/>
        <w:gridCol w:w="662"/>
        <w:gridCol w:w="1152"/>
        <w:gridCol w:w="3701"/>
        <w:gridCol w:w="1037"/>
      </w:tblGrid>
      <w:tr>
        <w:trPr>
          <w:cantSplit/>
          <w:tblHeader/>
        </w:trPr>
        <w:tc>
          <w:tcPr>
            <w:tcW w:type="dxa" w:w="907"/>
            <w:shd w:fill="EEEEEE"/>
          </w:tcPr>
          <w:p>
            <w:pPr>
              <w:spacing w:after="20" w:before="20"/>
            </w:pPr>
            <w:r>
              <w:rPr>
                <w:b/>
                <w:sz w:val="17"/>
              </w:rPr>
              <w:t>Split</w:t>
            </w:r>
          </w:p>
        </w:tc>
        <w:tc>
          <w:tcPr>
            <w:tcW w:type="dxa" w:w="432"/>
            <w:shd w:fill="EEEEEE"/>
          </w:tcPr>
          <w:p>
            <w:pPr>
              <w:spacing w:after="20" w:before="20"/>
            </w:pPr>
            <w:r>
              <w:rPr>
                <w:b/>
                <w:sz w:val="17"/>
              </w:rPr>
              <w:t>h</w:t>
            </w:r>
          </w:p>
        </w:tc>
        <w:tc>
          <w:tcPr>
            <w:tcW w:type="dxa" w:w="749"/>
            <w:shd w:fill="EEEEEE"/>
          </w:tcPr>
          <w:p>
            <w:pPr>
              <w:spacing w:after="20" w:before="20"/>
            </w:pPr>
            <w:r>
              <w:rPr>
                <w:b/>
                <w:sz w:val="17"/>
              </w:rPr>
              <w:t>Seed</w:t>
            </w:r>
          </w:p>
        </w:tc>
        <w:tc>
          <w:tcPr>
            <w:tcW w:type="dxa" w:w="662"/>
            <w:shd w:fill="EEEEEE"/>
          </w:tcPr>
          <w:p>
            <w:pPr>
              <w:spacing w:after="20" w:before="20"/>
            </w:pPr>
            <w:r>
              <w:rPr>
                <w:b/>
                <w:sz w:val="17"/>
              </w:rPr>
              <w:t>Type</w:t>
            </w:r>
          </w:p>
        </w:tc>
        <w:tc>
          <w:tcPr>
            <w:tcW w:type="dxa" w:w="1152"/>
            <w:shd w:fill="EEEEEE"/>
          </w:tcPr>
          <w:p>
            <w:pPr>
              <w:spacing w:after="20" w:before="20"/>
            </w:pPr>
            <w:r>
              <w:rPr>
                <w:b/>
                <w:sz w:val="17"/>
              </w:rPr>
              <w:t>Mean</w:t>
            </w:r>
          </w:p>
        </w:tc>
        <w:tc>
          <w:tcPr>
            <w:tcW w:type="dxa" w:w="3701"/>
            <w:shd w:fill="EEEEEE"/>
          </w:tcPr>
          <w:p>
            <w:pPr>
              <w:spacing w:after="20" w:before="20"/>
            </w:pPr>
            <w:r>
              <w:rPr>
                <w:b/>
                <w:sz w:val="17"/>
              </w:rPr>
              <w:t>95 percent interval</w:t>
            </w:r>
          </w:p>
        </w:tc>
        <w:tc>
          <w:tcPr>
            <w:tcW w:type="dxa" w:w="1037"/>
            <w:shd w:fill="EEEEEE"/>
          </w:tcPr>
          <w:p>
            <w:pPr>
              <w:spacing w:after="20" w:before="20"/>
            </w:pPr>
            <w:r>
              <w:rPr>
                <w:b/>
                <w:sz w:val="17"/>
              </w:rPr>
              <w:t>Rule</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30.35</w:t>
            </w:r>
          </w:p>
        </w:tc>
        <w:tc>
          <w:tcPr>
            <w:tcW w:type="dxa" w:w="3701"/>
          </w:tcPr>
          <w:p>
            <w:pPr>
              <w:spacing w:after="20" w:before="20"/>
            </w:pPr>
            <w:r>
              <w:rPr>
                <w:sz w:val="17"/>
              </w:rPr>
              <w:t>[26.18, 34.36]</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30.91</w:t>
            </w:r>
          </w:p>
        </w:tc>
        <w:tc>
          <w:tcPr>
            <w:tcW w:type="dxa" w:w="3701"/>
          </w:tcPr>
          <w:p>
            <w:pPr>
              <w:spacing w:after="20" w:before="20"/>
            </w:pPr>
            <w:r>
              <w:rPr>
                <w:sz w:val="17"/>
              </w:rPr>
              <w:t>[27.14, 34.39]</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40.57</w:t>
            </w:r>
          </w:p>
        </w:tc>
        <w:tc>
          <w:tcPr>
            <w:tcW w:type="dxa" w:w="3701"/>
          </w:tcPr>
          <w:p>
            <w:pPr>
              <w:spacing w:after="20" w:before="20"/>
            </w:pPr>
            <w:r>
              <w:rPr>
                <w:sz w:val="17"/>
              </w:rPr>
              <w:t>[37.15, 43.82]</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33.95</w:t>
            </w:r>
          </w:p>
        </w:tc>
        <w:tc>
          <w:tcPr>
            <w:tcW w:type="dxa" w:w="3701"/>
          </w:tcPr>
          <w:p>
            <w:pPr>
              <w:spacing w:after="20" w:before="20"/>
            </w:pPr>
            <w:r>
              <w:rPr>
                <w:sz w:val="17"/>
              </w:rPr>
              <w:t>[30.65, 37.07]</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36.86</w:t>
            </w:r>
          </w:p>
        </w:tc>
        <w:tc>
          <w:tcPr>
            <w:tcW w:type="dxa" w:w="3701"/>
          </w:tcPr>
          <w:p>
            <w:pPr>
              <w:spacing w:after="20" w:before="20"/>
            </w:pPr>
            <w:r>
              <w:rPr>
                <w:sz w:val="17"/>
              </w:rPr>
              <w:t>[33.12, 40.37]</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36.85</w:t>
            </w:r>
          </w:p>
        </w:tc>
        <w:tc>
          <w:tcPr>
            <w:tcW w:type="dxa" w:w="3701"/>
          </w:tcPr>
          <w:p>
            <w:pPr>
              <w:spacing w:after="20" w:before="20"/>
            </w:pPr>
            <w:r>
              <w:rPr>
                <w:sz w:val="17"/>
              </w:rPr>
              <w:t>[33.58, 39.81]</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46.50</w:t>
            </w:r>
          </w:p>
        </w:tc>
        <w:tc>
          <w:tcPr>
            <w:tcW w:type="dxa" w:w="3701"/>
          </w:tcPr>
          <w:p>
            <w:pPr>
              <w:spacing w:after="20" w:before="20"/>
            </w:pPr>
            <w:r>
              <w:rPr>
                <w:sz w:val="17"/>
              </w:rPr>
              <w:t>[43.43, 49.11]</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40.06</w:t>
            </w:r>
          </w:p>
        </w:tc>
        <w:tc>
          <w:tcPr>
            <w:tcW w:type="dxa" w:w="3701"/>
          </w:tcPr>
          <w:p>
            <w:pPr>
              <w:spacing w:after="20" w:before="20"/>
            </w:pPr>
            <w:r>
              <w:rPr>
                <w:sz w:val="17"/>
              </w:rPr>
              <w:t>[37.16, 42.69]</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19.22</w:t>
            </w:r>
          </w:p>
        </w:tc>
        <w:tc>
          <w:tcPr>
            <w:tcW w:type="dxa" w:w="3701"/>
          </w:tcPr>
          <w:p>
            <w:pPr>
              <w:spacing w:after="20" w:before="20"/>
            </w:pPr>
            <w:r>
              <w:rPr>
                <w:sz w:val="17"/>
              </w:rPr>
              <w:t>[16.02, 22.40]</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A</w:t>
            </w:r>
          </w:p>
        </w:tc>
        <w:tc>
          <w:tcPr>
            <w:tcW w:type="dxa" w:w="1152"/>
          </w:tcPr>
          <w:p>
            <w:pPr>
              <w:spacing w:after="20" w:before="20"/>
            </w:pPr>
            <w:r>
              <w:rPr>
                <w:sz w:val="17"/>
              </w:rPr>
              <w:t>-0.00074</w:t>
            </w:r>
          </w:p>
        </w:tc>
        <w:tc>
          <w:tcPr>
            <w:tcW w:type="dxa" w:w="3701"/>
          </w:tcPr>
          <w:p>
            <w:pPr>
              <w:spacing w:after="20" w:before="20"/>
            </w:pPr>
            <w:r>
              <w:rPr>
                <w:sz w:val="17"/>
              </w:rPr>
              <w:t>[-0.00645, 0.00502]</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22.53</w:t>
            </w:r>
          </w:p>
        </w:tc>
        <w:tc>
          <w:tcPr>
            <w:tcW w:type="dxa" w:w="3701"/>
          </w:tcPr>
          <w:p>
            <w:pPr>
              <w:spacing w:after="20" w:before="20"/>
            </w:pPr>
            <w:r>
              <w:rPr>
                <w:sz w:val="17"/>
              </w:rPr>
              <w:t>[19.80, 25.27]</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A</w:t>
            </w:r>
          </w:p>
        </w:tc>
        <w:tc>
          <w:tcPr>
            <w:tcW w:type="dxa" w:w="1152"/>
          </w:tcPr>
          <w:p>
            <w:pPr>
              <w:spacing w:after="20" w:before="20"/>
            </w:pPr>
            <w:r>
              <w:rPr>
                <w:sz w:val="17"/>
              </w:rPr>
              <w:t>-0.00210</w:t>
            </w:r>
          </w:p>
        </w:tc>
        <w:tc>
          <w:tcPr>
            <w:tcW w:type="dxa" w:w="3701"/>
          </w:tcPr>
          <w:p>
            <w:pPr>
              <w:spacing w:after="20" w:before="20"/>
            </w:pPr>
            <w:r>
              <w:rPr>
                <w:sz w:val="17"/>
              </w:rPr>
              <w:t>[-0.00690, 0.00272]</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22.95</w:t>
            </w:r>
          </w:p>
        </w:tc>
        <w:tc>
          <w:tcPr>
            <w:tcW w:type="dxa" w:w="3701"/>
          </w:tcPr>
          <w:p>
            <w:pPr>
              <w:spacing w:after="20" w:before="20"/>
            </w:pPr>
            <w:r>
              <w:rPr>
                <w:sz w:val="17"/>
              </w:rPr>
              <w:t>[19.78, 26.12]</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A</w:t>
            </w:r>
          </w:p>
        </w:tc>
        <w:tc>
          <w:tcPr>
            <w:tcW w:type="dxa" w:w="1152"/>
          </w:tcPr>
          <w:p>
            <w:pPr>
              <w:spacing w:after="20" w:before="20"/>
            </w:pPr>
            <w:r>
              <w:rPr>
                <w:sz w:val="17"/>
              </w:rPr>
              <w:t>0.01182</w:t>
            </w:r>
          </w:p>
        </w:tc>
        <w:tc>
          <w:tcPr>
            <w:tcW w:type="dxa" w:w="3701"/>
          </w:tcPr>
          <w:p>
            <w:pPr>
              <w:spacing w:after="20" w:before="20"/>
            </w:pPr>
            <w:r>
              <w:rPr>
                <w:sz w:val="17"/>
              </w:rPr>
              <w:t>[0.00583, 0.01799]</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21.57</w:t>
            </w:r>
          </w:p>
        </w:tc>
        <w:tc>
          <w:tcPr>
            <w:tcW w:type="dxa" w:w="3701"/>
          </w:tcPr>
          <w:p>
            <w:pPr>
              <w:spacing w:after="20" w:before="20"/>
            </w:pPr>
            <w:r>
              <w:rPr>
                <w:sz w:val="17"/>
              </w:rPr>
              <w:t>[18.75, 24.31]</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A</w:t>
            </w:r>
          </w:p>
        </w:tc>
        <w:tc>
          <w:tcPr>
            <w:tcW w:type="dxa" w:w="1152"/>
          </w:tcPr>
          <w:p>
            <w:pPr>
              <w:spacing w:after="20" w:before="20"/>
            </w:pPr>
            <w:r>
              <w:rPr>
                <w:sz w:val="17"/>
              </w:rPr>
              <w:t>0.00300</w:t>
            </w:r>
          </w:p>
        </w:tc>
        <w:tc>
          <w:tcPr>
            <w:tcW w:type="dxa" w:w="3701"/>
          </w:tcPr>
          <w:p>
            <w:pPr>
              <w:spacing w:after="20" w:before="20"/>
            </w:pPr>
            <w:r>
              <w:rPr>
                <w:sz w:val="17"/>
              </w:rPr>
              <w:t>[-0.00124, 0.00728]</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18.65</w:t>
            </w:r>
          </w:p>
        </w:tc>
        <w:tc>
          <w:tcPr>
            <w:tcW w:type="dxa" w:w="3701"/>
          </w:tcPr>
          <w:p>
            <w:pPr>
              <w:spacing w:after="20" w:before="20"/>
            </w:pPr>
            <w:r>
              <w:rPr>
                <w:sz w:val="17"/>
              </w:rPr>
              <w:t>[15.46, 21.75]</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A</w:t>
            </w:r>
          </w:p>
        </w:tc>
        <w:tc>
          <w:tcPr>
            <w:tcW w:type="dxa" w:w="1152"/>
          </w:tcPr>
          <w:p>
            <w:pPr>
              <w:spacing w:after="20" w:before="20"/>
            </w:pPr>
            <w:r>
              <w:rPr>
                <w:sz w:val="17"/>
              </w:rPr>
              <w:t>0.01338</w:t>
            </w:r>
          </w:p>
        </w:tc>
        <w:tc>
          <w:tcPr>
            <w:tcW w:type="dxa" w:w="3701"/>
          </w:tcPr>
          <w:p>
            <w:pPr>
              <w:spacing w:after="20" w:before="20"/>
            </w:pPr>
            <w:r>
              <w:rPr>
                <w:sz w:val="17"/>
              </w:rPr>
              <w:t>[0.00793, 0.01869]</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18.49</w:t>
            </w:r>
          </w:p>
        </w:tc>
        <w:tc>
          <w:tcPr>
            <w:tcW w:type="dxa" w:w="3701"/>
          </w:tcPr>
          <w:p>
            <w:pPr>
              <w:spacing w:after="20" w:before="20"/>
            </w:pPr>
            <w:r>
              <w:rPr>
                <w:sz w:val="17"/>
              </w:rPr>
              <w:t>[15.78, 21.11]</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A</w:t>
            </w:r>
          </w:p>
        </w:tc>
        <w:tc>
          <w:tcPr>
            <w:tcW w:type="dxa" w:w="1152"/>
          </w:tcPr>
          <w:p>
            <w:pPr>
              <w:spacing w:after="20" w:before="20"/>
            </w:pPr>
            <w:r>
              <w:rPr>
                <w:sz w:val="17"/>
              </w:rPr>
              <w:t>0.00508</w:t>
            </w:r>
          </w:p>
        </w:tc>
        <w:tc>
          <w:tcPr>
            <w:tcW w:type="dxa" w:w="3701"/>
          </w:tcPr>
          <w:p>
            <w:pPr>
              <w:spacing w:after="20" w:before="20"/>
            </w:pPr>
            <w:r>
              <w:rPr>
                <w:sz w:val="17"/>
              </w:rPr>
              <w:t>[-0.00055, 0.01049]</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21.96</w:t>
            </w:r>
          </w:p>
        </w:tc>
        <w:tc>
          <w:tcPr>
            <w:tcW w:type="dxa" w:w="3701"/>
          </w:tcPr>
          <w:p>
            <w:pPr>
              <w:spacing w:after="20" w:before="20"/>
            </w:pPr>
            <w:r>
              <w:rPr>
                <w:sz w:val="17"/>
              </w:rPr>
              <w:t>[18.85, 24.78]</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A</w:t>
            </w:r>
          </w:p>
        </w:tc>
        <w:tc>
          <w:tcPr>
            <w:tcW w:type="dxa" w:w="1152"/>
          </w:tcPr>
          <w:p>
            <w:pPr>
              <w:spacing w:after="20" w:before="20"/>
            </w:pPr>
            <w:r>
              <w:rPr>
                <w:sz w:val="17"/>
              </w:rPr>
              <w:t>0.02662</w:t>
            </w:r>
          </w:p>
        </w:tc>
        <w:tc>
          <w:tcPr>
            <w:tcW w:type="dxa" w:w="3701"/>
          </w:tcPr>
          <w:p>
            <w:pPr>
              <w:spacing w:after="20" w:before="20"/>
            </w:pPr>
            <w:r>
              <w:rPr>
                <w:sz w:val="17"/>
              </w:rPr>
              <w:t>[0.01973, 0.03376]</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19.69</w:t>
            </w:r>
          </w:p>
        </w:tc>
        <w:tc>
          <w:tcPr>
            <w:tcW w:type="dxa" w:w="3701"/>
          </w:tcPr>
          <w:p>
            <w:pPr>
              <w:spacing w:after="20" w:before="20"/>
            </w:pPr>
            <w:r>
              <w:rPr>
                <w:sz w:val="17"/>
              </w:rPr>
              <w:t>[16.94, 22.35]</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A</w:t>
            </w:r>
          </w:p>
        </w:tc>
        <w:tc>
          <w:tcPr>
            <w:tcW w:type="dxa" w:w="1152"/>
          </w:tcPr>
          <w:p>
            <w:pPr>
              <w:spacing w:after="20" w:before="20"/>
            </w:pPr>
            <w:r>
              <w:rPr>
                <w:sz w:val="17"/>
              </w:rPr>
              <w:t>0.01503</w:t>
            </w:r>
          </w:p>
        </w:tc>
        <w:tc>
          <w:tcPr>
            <w:tcW w:type="dxa" w:w="3701"/>
          </w:tcPr>
          <w:p>
            <w:pPr>
              <w:spacing w:after="20" w:before="20"/>
            </w:pPr>
            <w:r>
              <w:rPr>
                <w:sz w:val="17"/>
              </w:rPr>
              <w:t>[0.01041, 0.01951]</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6.22</w:t>
            </w:r>
          </w:p>
        </w:tc>
        <w:tc>
          <w:tcPr>
            <w:tcW w:type="dxa" w:w="3701"/>
          </w:tcPr>
          <w:p>
            <w:pPr>
              <w:spacing w:after="20" w:before="20"/>
            </w:pPr>
            <w:r>
              <w:rPr>
                <w:sz w:val="17"/>
              </w:rPr>
              <w:t>[3.91, 8.55]</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11.13</w:t>
            </w:r>
          </w:p>
        </w:tc>
        <w:tc>
          <w:tcPr>
            <w:tcW w:type="dxa" w:w="3701"/>
          </w:tcPr>
          <w:p>
            <w:pPr>
              <w:spacing w:after="20" w:before="20"/>
            </w:pPr>
            <w:r>
              <w:rPr>
                <w:sz w:val="17"/>
              </w:rPr>
              <w:t>[8.21, 13.91]</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13.12</w:t>
            </w:r>
          </w:p>
        </w:tc>
        <w:tc>
          <w:tcPr>
            <w:tcW w:type="dxa" w:w="3701"/>
          </w:tcPr>
          <w:p>
            <w:pPr>
              <w:spacing w:after="20" w:before="20"/>
            </w:pPr>
            <w:r>
              <w:rPr>
                <w:sz w:val="17"/>
              </w:rPr>
              <w:t>[10.90, 15.31]</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10.07</w:t>
            </w:r>
          </w:p>
        </w:tc>
        <w:tc>
          <w:tcPr>
            <w:tcW w:type="dxa" w:w="3701"/>
          </w:tcPr>
          <w:p>
            <w:pPr>
              <w:spacing w:after="20" w:before="20"/>
            </w:pPr>
            <w:r>
              <w:rPr>
                <w:sz w:val="17"/>
              </w:rPr>
              <w:t>[7.85, 12.33]</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9.47</w:t>
            </w:r>
          </w:p>
        </w:tc>
        <w:tc>
          <w:tcPr>
            <w:tcW w:type="dxa" w:w="3701"/>
          </w:tcPr>
          <w:p>
            <w:pPr>
              <w:spacing w:after="20" w:before="20"/>
            </w:pPr>
            <w:r>
              <w:rPr>
                <w:sz w:val="17"/>
              </w:rPr>
              <w:t>[7.32, 11.78]</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14.54</w:t>
            </w:r>
          </w:p>
        </w:tc>
        <w:tc>
          <w:tcPr>
            <w:tcW w:type="dxa" w:w="3701"/>
          </w:tcPr>
          <w:p>
            <w:pPr>
              <w:spacing w:after="20" w:before="20"/>
            </w:pPr>
            <w:r>
              <w:rPr>
                <w:sz w:val="17"/>
              </w:rPr>
              <w:t>[11.90, 17.10]</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15.47</w:t>
            </w:r>
          </w:p>
        </w:tc>
        <w:tc>
          <w:tcPr>
            <w:tcW w:type="dxa" w:w="3701"/>
          </w:tcPr>
          <w:p>
            <w:pPr>
              <w:spacing w:after="20" w:before="20"/>
            </w:pPr>
            <w:r>
              <w:rPr>
                <w:sz w:val="17"/>
              </w:rPr>
              <w:t>[13.43, 17.42]</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13.06</w:t>
            </w:r>
          </w:p>
        </w:tc>
        <w:tc>
          <w:tcPr>
            <w:tcW w:type="dxa" w:w="3701"/>
          </w:tcPr>
          <w:p>
            <w:pPr>
              <w:spacing w:after="20" w:before="20"/>
            </w:pPr>
            <w:r>
              <w:rPr>
                <w:sz w:val="17"/>
              </w:rPr>
              <w:t>[11.02, 15.13]</w:t>
            </w:r>
          </w:p>
        </w:tc>
        <w:tc>
          <w:tcPr>
            <w:tcW w:type="dxa" w:w="1037"/>
          </w:tcPr>
          <w:p>
            <w:pPr>
              <w:spacing w:after="20" w:before="20"/>
            </w:pPr>
            <w:r>
              <w:rPr>
                <w:sz w:val="17"/>
              </w:rPr>
              <w:t>PASS</w:t>
            </w:r>
          </w:p>
        </w:tc>
      </w:tr>
    </w:tbl>
    <w:p>
      <w:r>
        <w:br w:type="page"/>
      </w:r>
    </w:p>
    <w:p>
      <w:pPr>
        <w:pStyle w:val="Heading1"/>
      </w:pPr>
      <w:r>
        <w:t>Budget and retained evidence</w:t>
      </w:r>
    </w:p>
    <w:tbl>
      <w:tblPr>
        <w:tblStyle w:val="TableGrid"/>
        <w:tblW w:type="auto" w:w="0"/>
        <w:tblLayout w:type="fixed"/>
        <w:tblLook w:firstColumn="1" w:firstRow="1" w:lastColumn="0" w:lastRow="0" w:noHBand="0" w:noVBand="1" w:val="04A0"/>
      </w:tblPr>
      <w:tblGrid>
        <w:gridCol w:w="1584"/>
        <w:gridCol w:w="1728"/>
        <w:gridCol w:w="6768"/>
      </w:tblGrid>
      <w:tr>
        <w:trPr>
          <w:cantSplit/>
          <w:tblHeader/>
        </w:trPr>
        <w:tc>
          <w:tcPr>
            <w:tcW w:type="dxa" w:w="1584"/>
            <w:shd w:fill="EEEEEE"/>
          </w:tcPr>
          <w:p>
            <w:pPr>
              <w:spacing w:after="20" w:before="20"/>
            </w:pPr>
            <w:r>
              <w:rPr>
                <w:b/>
                <w:sz w:val="18"/>
              </w:rPr>
              <w:t>GPU job</w:t>
            </w:r>
          </w:p>
        </w:tc>
        <w:tc>
          <w:tcPr>
            <w:tcW w:type="dxa" w:w="1728"/>
            <w:shd w:fill="EEEEEE"/>
          </w:tcPr>
          <w:p>
            <w:pPr>
              <w:spacing w:after="20" w:before="20"/>
            </w:pPr>
            <w:r>
              <w:rPr>
                <w:b/>
                <w:sz w:val="18"/>
              </w:rPr>
              <w:t>Actual seconds</w:t>
            </w:r>
          </w:p>
        </w:tc>
        <w:tc>
          <w:tcPr>
            <w:tcW w:type="dxa" w:w="6768"/>
            <w:shd w:fill="EEEEEE"/>
          </w:tcPr>
          <w:p>
            <w:pPr>
              <w:spacing w:after="20" w:before="20"/>
            </w:pPr>
            <w:r>
              <w:rPr>
                <w:b/>
                <w:sz w:val="18"/>
              </w:rPr>
              <w:t>Purpose</w:t>
            </w:r>
          </w:p>
        </w:tc>
      </w:tr>
      <w:tr>
        <w:trPr>
          <w:cantSplit/>
        </w:trPr>
        <w:tc>
          <w:tcPr>
            <w:tcW w:type="dxa" w:w="1584"/>
          </w:tcPr>
          <w:p>
            <w:pPr>
              <w:spacing w:after="20" w:before="20"/>
            </w:pPr>
            <w:r>
              <w:rPr>
                <w:sz w:val="18"/>
              </w:rPr>
              <w:t>7477</w:t>
            </w:r>
          </w:p>
        </w:tc>
        <w:tc>
          <w:tcPr>
            <w:tcW w:type="dxa" w:w="1728"/>
          </w:tcPr>
          <w:p>
            <w:pPr>
              <w:spacing w:after="20" w:before="20"/>
            </w:pPr>
            <w:r>
              <w:rPr>
                <w:sz w:val="18"/>
              </w:rPr>
              <w:t>100</w:t>
            </w:r>
          </w:p>
        </w:tc>
        <w:tc>
          <w:tcPr>
            <w:tcW w:type="dxa" w:w="6768"/>
          </w:tcPr>
          <w:p>
            <w:pPr>
              <w:spacing w:after="20" w:before="20"/>
            </w:pPr>
            <w:r>
              <w:rPr>
                <w:sz w:val="18"/>
              </w:rPr>
              <w:t>Earlier partial execution</w:t>
            </w:r>
          </w:p>
        </w:tc>
      </w:tr>
      <w:tr>
        <w:trPr>
          <w:cantSplit/>
        </w:trPr>
        <w:tc>
          <w:tcPr>
            <w:tcW w:type="dxa" w:w="1584"/>
          </w:tcPr>
          <w:p>
            <w:pPr>
              <w:spacing w:after="20" w:before="20"/>
            </w:pPr>
            <w:r>
              <w:rPr>
                <w:sz w:val="18"/>
              </w:rPr>
              <w:t>7480</w:t>
            </w:r>
          </w:p>
        </w:tc>
        <w:tc>
          <w:tcPr>
            <w:tcW w:type="dxa" w:w="1728"/>
          </w:tcPr>
          <w:p>
            <w:pPr>
              <w:spacing w:after="20" w:before="20"/>
            </w:pPr>
            <w:r>
              <w:rPr>
                <w:sz w:val="18"/>
              </w:rPr>
              <w:t>126</w:t>
            </w:r>
          </w:p>
        </w:tc>
        <w:tc>
          <w:tcPr>
            <w:tcW w:type="dxa" w:w="6768"/>
          </w:tcPr>
          <w:p>
            <w:pPr>
              <w:spacing w:after="20" w:before="20"/>
            </w:pPr>
            <w:r>
              <w:rPr>
                <w:sz w:val="18"/>
              </w:rPr>
              <w:t>Earlier partial execution</w:t>
            </w:r>
          </w:p>
        </w:tc>
      </w:tr>
      <w:tr>
        <w:trPr>
          <w:cantSplit/>
        </w:trPr>
        <w:tc>
          <w:tcPr>
            <w:tcW w:type="dxa" w:w="1584"/>
          </w:tcPr>
          <w:p>
            <w:pPr>
              <w:spacing w:after="20" w:before="20"/>
            </w:pPr>
            <w:r>
              <w:rPr>
                <w:sz w:val="18"/>
              </w:rPr>
              <w:t>7485</w:t>
            </w:r>
          </w:p>
        </w:tc>
        <w:tc>
          <w:tcPr>
            <w:tcW w:type="dxa" w:w="1728"/>
          </w:tcPr>
          <w:p>
            <w:pPr>
              <w:spacing w:after="20" w:before="20"/>
            </w:pPr>
            <w:r>
              <w:rPr>
                <w:sz w:val="18"/>
              </w:rPr>
              <w:t>6021</w:t>
            </w:r>
          </w:p>
        </w:tc>
        <w:tc>
          <w:tcPr>
            <w:tcW w:type="dxa" w:w="6768"/>
          </w:tcPr>
          <w:p>
            <w:pPr>
              <w:spacing w:after="20" w:before="20"/>
            </w:pPr>
            <w:r>
              <w:rPr>
                <w:sz w:val="18"/>
              </w:rPr>
              <w:t>Previous complete development trial</w:t>
            </w:r>
          </w:p>
        </w:tc>
      </w:tr>
      <w:tr>
        <w:trPr>
          <w:cantSplit/>
        </w:trPr>
        <w:tc>
          <w:tcPr>
            <w:tcW w:type="dxa" w:w="1584"/>
          </w:tcPr>
          <w:p>
            <w:pPr>
              <w:spacing w:after="20" w:before="20"/>
            </w:pPr>
            <w:r>
              <w:rPr>
                <w:sz w:val="18"/>
              </w:rPr>
              <w:t>7524</w:t>
            </w:r>
          </w:p>
        </w:tc>
        <w:tc>
          <w:tcPr>
            <w:tcW w:type="dxa" w:w="1728"/>
          </w:tcPr>
          <w:p>
            <w:pPr>
              <w:spacing w:after="20" w:before="20"/>
            </w:pPr>
            <w:r>
              <w:rPr>
                <w:sz w:val="18"/>
              </w:rPr>
              <w:t>164</w:t>
            </w:r>
          </w:p>
        </w:tc>
        <w:tc>
          <w:tcPr>
            <w:tcW w:type="dxa" w:w="6768"/>
          </w:tcPr>
          <w:p>
            <w:pPr>
              <w:spacing w:after="20" w:before="20"/>
            </w:pPr>
            <w:r>
              <w:rPr>
                <w:sz w:val="18"/>
              </w:rPr>
              <w:t>Repair epoch 1 states and original budget stop</w:t>
            </w:r>
          </w:p>
        </w:tc>
      </w:tr>
      <w:tr>
        <w:trPr>
          <w:cantSplit/>
        </w:trPr>
        <w:tc>
          <w:tcPr>
            <w:tcW w:type="dxa" w:w="1584"/>
          </w:tcPr>
          <w:p>
            <w:pPr>
              <w:spacing w:after="20" w:before="20"/>
            </w:pPr>
            <w:r>
              <w:rPr>
                <w:sz w:val="18"/>
              </w:rPr>
              <w:t>7535</w:t>
            </w:r>
          </w:p>
        </w:tc>
        <w:tc>
          <w:tcPr>
            <w:tcW w:type="dxa" w:w="1728"/>
          </w:tcPr>
          <w:p>
            <w:pPr>
              <w:spacing w:after="20" w:before="20"/>
            </w:pPr>
            <w:r>
              <w:rPr>
                <w:sz w:val="18"/>
              </w:rPr>
              <w:t>3386</w:t>
            </w:r>
          </w:p>
        </w:tc>
        <w:tc>
          <w:tcPr>
            <w:tcW w:type="dxa" w:w="6768"/>
          </w:tcPr>
          <w:p>
            <w:pPr>
              <w:spacing w:after="20" w:before="20"/>
            </w:pPr>
            <w:r>
              <w:rPr>
                <w:sz w:val="18"/>
              </w:rPr>
              <w:t>Exact resume and complete repaired development</w:t>
            </w:r>
          </w:p>
        </w:tc>
      </w:tr>
    </w:tbl>
    <w:p>
      <w:r>
        <w:t>Cumulative GPU allocation time is 9797 seconds, or 2 hours 43 minutes 17 seconds, against the authorized 28800 seconds. The unused balance is 19003 seconds, or 5 hours 16 minutes 43 seconds. CPU evaluation, independent audit, and final evidence collection add no GPU time. No additional GPU training or fresh data generation was launched after the negative development result.</w:t>
      </w:r>
    </w:p>
    <w:p>
      <w:r>
        <w:t>The fixed 58 scientific files and 3 independent audit files match their locked SHA256 values at final native verification. Raw records, weights, feature arrays, and checkpoints remain on HPC. Local compact evidence includes both task outcomes, metrics, training histories, checkpoint certificates, the independent audit, the GPU ledger, and the 42 file transfer manifest. The full 102 original rule flags and 64 comparison values are also supplied as editable CSV files.</w:t>
      </w:r>
    </w:p>
    <w:p>
      <w:pPr>
        <w:pStyle w:val="Heading1"/>
      </w:pPr>
      <w:r>
        <w:t>What the evidence supports</w:t>
      </w:r>
    </w:p>
    <w:p>
      <w:r>
        <w:t>The completed run tests the third practical premise: whether this predictor reliably uses available earlier evidence across required conditions. It improves many slices but still fails the full criterion. Earlier controlled task and representation diagnostics motivated the trial; the new run does not independently reconfirm those premises. This result rejects the current candidate under the stated development rules, not every possible predictor or the broader research idea.</w:t>
      </w:r>
    </w:p>
    <w:p>
      <w:pPr>
        <w:pStyle w:val="Heading1"/>
      </w:pPr>
      <w:r>
        <w:t>Recommended next decision</w:t>
      </w:r>
    </w:p>
    <w:p>
      <w:r>
        <w:t>Do not describe Phase1 as passed or proceed to selector training. Preserve fresh9137 as unseen. Any further scientific change should begin with a bounded diagnosis of distractor dependence and Motion long gap calibration, using development data only, followed by a newly frozen candidate and the same full acceptance rules. Such another training trial is not started by this report. A fresh 12 model confirmation is eligible only after both development tasks satisfy all rules and pass independent audit.</w:t>
      </w:r>
    </w:p>
    <w:p>
      <w:pPr>
        <w:pStyle w:val="Heading1"/>
      </w:pPr>
      <w:r>
        <w:t>Method references</w:t>
      </w:r>
    </w:p>
    <w:p>
      <w:r>
        <w:t>[1] Lee et al. Set Transformer A Framework for Attention based Permutation Invariant Neural Networks. ICML 2019. https://proceedings.mlr.press/v97/lee19d.html</w:t>
      </w:r>
    </w:p>
    <w:p>
      <w:r>
        <w:t>[2] Santoro et al. A simple neural network module for relational reasoning. 2017. https://arxiv.org/abs/1706.01427</w:t>
      </w:r>
    </w:p>
    <w:p>
      <w:pPr>
        <w:pStyle w:val="Heading1"/>
      </w:pPr>
      <w:r>
        <w:t>Conclusion</w:t>
      </w:r>
    </w:p>
    <w:p>
      <w:r>
        <w:t>Proposal Phase1 has not passed. The repaired development trial completed correctly, but both tasks fail required original criteria. Independent confirmation was not opened because its prerequisite was not met. This is a scientific acceptance failure for the tested candidate, rather than an incomplete training run, a connection failure, or exhaustion of the authorized GPU budget.</w:t>
      </w:r>
    </w:p>
    <w:sectPr w:rsidR="00FC693F" w:rsidRPr="0006063C" w:rsidSect="00034616">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