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Getting comfortable with Teacher Workbench</w:t>
      </w:r>
    </w:p>
    <w:p>
      <w:pPr>
        <w:pStyle w:val="Subtitle"/>
      </w:pPr>
      <w:r>
        <w:rPr>
          <w:b w:val="0"/>
          <w:i w:val="0"/>
        </w:rPr>
        <w:t>A practical guide for teachers</w:t>
      </w:r>
    </w:p>
    <w:p>
      <w:pPr>
        <w:keepNext/>
      </w:pPr>
      <w:r>
        <w:rPr>
          <w:b w:val="0"/>
          <w:i w:val="0"/>
          <w:sz w:val="20"/>
        </w:rPr>
        <w:t>Guide edition 2.0.0 · 45 skills · October 2026</w:t>
      </w:r>
    </w:p>
    <w:p>
      <w:r>
        <w:rPr>
          <w:b w:val="0"/>
          <w:i w:val="0"/>
        </w:rPr>
        <w:t>Bring a teaching job you already need to do: tomorrow's lesson, a confusing set of student responses, a small group that needs a different approach, or plans for a substitute. Teacher Workbench can help you think through the problem and make the materials to address it.</w:t>
      </w:r>
    </w:p>
    <w:p>
      <w:r>
        <w:rPr>
          <w:b w:val="0"/>
          <w:i w:val="0"/>
        </w:rPr>
        <w:t>You can talk to it in ordinary language. A rough explanation is enough to begin. As you read its response, you can add details, question a suggestion, ask for a different approach, or change your mind.</w:t>
      </w:r>
    </w:p>
    <w:p>
      <w:r>
        <w:rPr>
          <w:b w:val="0"/>
          <w:i w:val="0"/>
        </w:rPr>
        <w:t>Teacher Workbench brings planning, assessment, instructional resources and reflection together in a practical toolkit. You bring knowledge of your students and school; Teacher Workbench helps develop and examine possible next steps. You decide what belongs in your classroom.</w:t>
      </w:r>
    </w:p>
    <w:p>
      <w:r>
        <w:rPr>
          <w:b w:val="0"/>
          <w:i w:val="0"/>
        </w:rPr>
        <w:t>This guide will help you learn to:</w:t>
      </w:r>
    </w:p>
    <w:p>
      <w:pPr>
        <w:pStyle w:val="ListBullet"/>
      </w:pPr>
      <w:r>
        <w:rPr>
          <w:b w:val="0"/>
          <w:i w:val="0"/>
        </w:rPr>
        <w:t>Turn an everyday teaching need into a useful request.</w:t>
      </w:r>
    </w:p>
    <w:p>
      <w:pPr>
        <w:pStyle w:val="ListBullet"/>
      </w:pPr>
      <w:r>
        <w:rPr>
          <w:b w:val="0"/>
          <w:i w:val="0"/>
        </w:rPr>
        <w:t>Bring in your curriculum, plans and student work.</w:t>
      </w:r>
    </w:p>
    <w:p>
      <w:pPr>
        <w:pStyle w:val="ListBullet"/>
      </w:pPr>
      <w:r>
        <w:rPr>
          <w:b w:val="0"/>
          <w:i w:val="0"/>
        </w:rPr>
        <w:t>Improve a draft through conversation.</w:t>
      </w:r>
    </w:p>
    <w:p>
      <w:pPr>
        <w:pStyle w:val="ListBullet"/>
      </w:pPr>
      <w:r>
        <w:rPr>
          <w:b w:val="0"/>
          <w:i w:val="0"/>
        </w:rPr>
        <w:t>Check the learning, evidence and practical details before using it.</w:t>
      </w:r>
    </w:p>
    <w:p>
      <w:pPr>
        <w:pStyle w:val="ListBullet"/>
      </w:pPr>
      <w:r>
        <w:rPr>
          <w:b w:val="0"/>
          <w:i w:val="0"/>
        </w:rPr>
        <w:t>Build a small set of routines you can reuse each week.</w:t>
      </w:r>
    </w:p>
    <w:p>
      <w:r>
        <w:rPr>
          <w:b/>
          <w:i w:val="0"/>
        </w:rPr>
        <w:t>Start small.</w:t>
      </w:r>
      <w:r>
        <w:rPr>
          <w:b w:val="0"/>
          <w:i w:val="0"/>
        </w:rPr>
        <w:t xml:space="preserve"> Read “Your first ten minutes,” try one task, and return for the chapter that fits your next need. You do not have to learn all 45 skills. They are areas of expertise Teacher Workbench can draw on for you; their names are listed at the back for readers who want them.</w:t>
      </w:r>
    </w:p>
    <w:p>
      <w:r>
        <w:rPr>
          <w:b w:val="0"/>
          <w:i w:val="0"/>
        </w:rPr>
        <w:t>The classroom examples and sample replies in this guide are written illustrations. They do not describe your students or record a live classroom trial.</w:t>
      </w:r>
    </w:p>
    <w:p>
      <w:pPr>
        <w:pStyle w:val="Heading1"/>
        <w:pageBreakBefore/>
      </w:pPr>
      <w:bookmarkStart w:id="1" w:name="chapter_1"/>
      <w:r>
        <w:rPr>
          <w:b w:val="0"/>
          <w:i w:val="0"/>
        </w:rPr>
        <w:t>Find your starting point</w:t>
      </w:r>
      <w:bookmarkEnd w:id="1"/>
    </w:p>
    <w:tbl>
      <w:tblPr>
        <w:tblW w:type="auto" w:w="0"/>
        <w:jc w:val="center"/>
        <w:tblLayout w:type="fixed"/>
        <w:tblLook w:firstColumn="1" w:firstRow="1" w:lastColumn="0" w:lastRow="0" w:noHBand="0" w:noVBand="1" w:val="04A0"/>
      </w:tblPr>
      <w:tblGrid>
        <w:gridCol w:w="4493"/>
        <w:gridCol w:w="5674"/>
      </w:tblGrid>
      <w:tr>
        <w:trPr>
          <w:cantSplit/>
          <w:tblHeader/>
        </w:trPr>
        <w:tc>
          <w:tcPr>
            <w:tcW w:type="dxa" w:w="4493"/>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What you want to do</w:t>
            </w:r>
          </w:p>
        </w:tc>
        <w:tc>
          <w:tcPr>
            <w:tcW w:type="dxa" w:w="5674"/>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Where to begin</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Get one useful result today</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2">
              <w:r>
                <w:rPr>
                  <w:color w:val="1C5364"/>
                  <w:u w:val="single"/>
                </w:rPr>
                <w:t xml:space="preserve">Your first ten minutes</w:t>
              </w:r>
            </w:hyperlink>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Make a reply fit your classroom</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3">
              <w:r>
                <w:rPr>
                  <w:color w:val="1C5364"/>
                  <w:u w:val="single"/>
                </w:rPr>
                <w:t xml:space="preserve">Improve a draft through conversation</w:t>
              </w:r>
            </w:hyperlink>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Work from materials you already use</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4">
              <w:r>
                <w:rPr>
                  <w:color w:val="1C5364"/>
                  <w:u w:val="single"/>
                </w:rPr>
                <w:t xml:space="preserve">Bring your curriculum into the conversation</w:t>
              </w:r>
            </w:hyperlink>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Plan lessons and make resources</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6">
              <w:r>
                <w:rPr>
                  <w:color w:val="1C5364"/>
                  <w:u w:val="single"/>
                </w:rPr>
                <w:t xml:space="preserve">Build a lesson you can actually teach</w:t>
              </w:r>
            </w:hyperlink>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Support different learners</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8">
              <w:r>
                <w:rPr>
                  <w:color w:val="1C5364"/>
                  <w:u w:val="single"/>
                </w:rPr>
                <w:t xml:space="preserve">Make access and language support concrete</w:t>
              </w:r>
            </w:hyperlink>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Prepare another adult to lead learning</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9">
              <w:r>
                <w:rPr>
                  <w:color w:val="1C5364"/>
                  <w:u w:val="single"/>
                </w:rPr>
                <w:t xml:space="preserve">Prepare an assistant or substitute</w:t>
              </w:r>
            </w:hyperlink>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Respond to learning gaps</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10">
              <w:r>
                <w:rPr>
                  <w:color w:val="1C5364"/>
                  <w:u w:val="single"/>
                </w:rPr>
                <w:t xml:space="preserve">Build groups and intervention activities</w:t>
              </w:r>
            </w:hyperlink>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Improve questions and scoring</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12">
              <w:r>
                <w:rPr>
                  <w:color w:val="1C5364"/>
                  <w:u w:val="single"/>
                </w:rPr>
                <w:t xml:space="preserve">Design assessments and rubrics</w:t>
              </w:r>
            </w:hyperlink>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Understand grades or growth</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13">
              <w:r>
                <w:rPr>
                  <w:color w:val="1C5364"/>
                  <w:u w:val="single"/>
                </w:rPr>
                <w:t xml:space="preserve">Make sense of scores and grades</w:t>
              </w:r>
            </w:hyperlink>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Work on routines and relationships</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15">
              <w:r>
                <w:rPr>
                  <w:color w:val="1C5364"/>
                  <w:u w:val="single"/>
                </w:rPr>
                <w:t xml:space="preserve">Support routines reflection and families</w:t>
              </w:r>
            </w:hyperlink>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Decide how to use AI</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16">
              <w:r>
                <w:rPr>
                  <w:color w:val="1C5364"/>
                  <w:u w:val="single"/>
                </w:rPr>
                <w:t xml:space="preserve">Choose how technology and AI fit</w:t>
              </w:r>
            </w:hyperlink>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Get an editable file</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17">
              <w:r>
                <w:rPr>
                  <w:color w:val="1C5364"/>
                  <w:u w:val="single"/>
                </w:rPr>
                <w:t xml:space="preserve">Turn the work into a usable document</w:t>
              </w:r>
            </w:hyperlink>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Check the quality of an answer</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19">
              <w:r>
                <w:rPr>
                  <w:color w:val="1C5364"/>
                  <w:u w:val="single"/>
                </w:rPr>
                <w:t xml:space="preserve">Know when a result is ready</w:t>
              </w:r>
            </w:hyperlink>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Develop a regular practice</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20">
              <w:r>
                <w:rPr>
                  <w:color w:val="1C5364"/>
                  <w:u w:val="single"/>
                </w:rPr>
                <w:t xml:space="preserve">Build confidence over five short sessions</w:t>
              </w:r>
            </w:hyperlink>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Fix a frustrating response</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hyperlink w:anchor="chapter_21">
              <w:r>
                <w:rPr>
                  <w:color w:val="1C5364"/>
                  <w:u w:val="single"/>
                </w:rPr>
                <w:t xml:space="preserve">Get unstuck</w:t>
              </w:r>
            </w:hyperlink>
          </w:p>
        </w:tc>
      </w:tr>
    </w:tbl>
    <w:p>
      <w:pPr>
        <w:spacing w:after="40" w:before="0" w:line="72" w:lineRule="auto"/>
      </w:pPr>
      <w:r>
        <w:rPr>
          <w:sz w:val="4"/>
        </w:rPr>
      </w:r>
    </w:p>
    <w:p>
      <w:r>
        <w:rPr>
          <w:b/>
          <w:i w:val="0"/>
        </w:rPr>
        <w:t>Before you begin.</w:t>
      </w:r>
      <w:r>
        <w:rPr>
          <w:b w:val="0"/>
          <w:i w:val="0"/>
        </w:rPr>
        <w:t xml:space="preserve"> Open a conversation in an app or workspace where Teacher Workbench has been enabled. If someone has only sent you this guide or the package files, ask that person to help you make Teacher Workbench available in your system. A downloaded guide does not activate it.</w:t>
      </w:r>
    </w:p>
    <w:p>
      <w:r>
        <w:rPr>
          <w:b w:val="0"/>
          <w:i w:val="0"/>
        </w:rPr>
        <w:t xml:space="preserve">You can then begin with “Use Teacher Workbench to help me…” If your app needs an exact skill name, use </w:t>
      </w:r>
      <w:r>
        <w:rPr>
          <w:rFonts w:ascii="Consolas" w:hAnsi="Consolas"/>
          <w:b w:val="0"/>
          <w:i w:val="0"/>
          <w:sz w:val="20"/>
        </w:rPr>
        <w:t>tw-orchestrator</w:t>
      </w:r>
      <w:r>
        <w:rPr>
          <w:b w:val="0"/>
          <w:i w:val="0"/>
        </w:rPr>
        <w:t>. That is the coordinator; you can let it choose the relevant help.</w:t>
      </w:r>
    </w:p>
    <w:p>
      <w:r>
        <w:rPr>
          <w:b/>
          <w:i w:val="0"/>
        </w:rPr>
        <w:t>A few words you may encounter.</w:t>
      </w:r>
      <w:r>
        <w:rPr>
          <w:b w:val="0"/>
          <w:i w:val="0"/>
        </w:rPr>
        <w:t xml:space="preserve"> A </w:t>
      </w:r>
      <w:r>
        <w:rPr>
          <w:b w:val="0"/>
          <w:i/>
        </w:rPr>
        <w:t>prompt</w:t>
      </w:r>
      <w:r>
        <w:rPr>
          <w:b w:val="0"/>
          <w:i w:val="0"/>
        </w:rPr>
        <w:t xml:space="preserve"> is simply your request. An </w:t>
      </w:r>
      <w:r>
        <w:rPr>
          <w:b w:val="0"/>
          <w:i/>
        </w:rPr>
        <w:t>upload</w:t>
      </w:r>
      <w:r>
        <w:rPr>
          <w:b w:val="0"/>
          <w:i w:val="0"/>
        </w:rPr>
        <w:t xml:space="preserve"> is a file you attach. A </w:t>
      </w:r>
      <w:r>
        <w:rPr>
          <w:b w:val="0"/>
          <w:i/>
        </w:rPr>
        <w:t>skill</w:t>
      </w:r>
      <w:r>
        <w:rPr>
          <w:b w:val="0"/>
          <w:i w:val="0"/>
        </w:rPr>
        <w:t xml:space="preserve"> is an area of expertise. A </w:t>
      </w:r>
      <w:r>
        <w:rPr>
          <w:b w:val="0"/>
          <w:i/>
        </w:rPr>
        <w:t>connection</w:t>
      </w:r>
      <w:r>
        <w:rPr>
          <w:b w:val="0"/>
          <w:i w:val="0"/>
        </w:rPr>
        <w:t xml:space="preserve"> gives the app authorized access to a service such as Google Drive. None of these terms needs to appear in your requests.</w:t>
      </w:r>
    </w:p>
    <w:p>
      <w:pPr>
        <w:pStyle w:val="Heading1"/>
        <w:pageBreakBefore/>
      </w:pPr>
      <w:bookmarkStart w:id="2" w:name="chapter_2"/>
      <w:r>
        <w:rPr>
          <w:b w:val="0"/>
          <w:i w:val="0"/>
        </w:rPr>
        <w:t>Your first ten minutes</w:t>
      </w:r>
      <w:bookmarkEnd w:id="2"/>
    </w:p>
    <w:p>
      <w:r>
        <w:rPr>
          <w:b w:val="0"/>
          <w:i w:val="0"/>
        </w:rPr>
        <w:t>Choose one small job with a result you can inspect. A short teaching activity is a useful place to start. If the example below is outside your grade or subject, replace it with a problem from your own classroom.</w:t>
      </w:r>
    </w:p>
    <w:p>
      <w:pPr>
        <w:keepNext/>
      </w:pPr>
      <w:r>
        <w:rPr>
          <w:b/>
          <w:i w:val="0"/>
        </w:rPr>
        <w:t>Minutes 1 to 2 — describe the job</w:t>
      </w:r>
    </w:p>
    <w:p>
      <w:pPr>
        <w:spacing w:before="40" w:after="200"/>
        <w:ind w:left="317" w:right="173"/>
      </w:pPr>
      <w:r>
        <w:rPr>
          <w:b w:val="0"/>
          <w:i w:val="0"/>
        </w:rPr>
        <w:t>Use Teacher Workbench to help me plan a 20-minute grade 3 math activity. Students can draw equal groups, but some draw three groups of four and write 3 + 4. We have paper and pencils. Give me a model to teach, practice questions, an answer key and a short check at the end. Keep oral responses available. Students will not use AI.</w:t>
      </w:r>
    </w:p>
    <w:p>
      <w:r>
        <w:rPr>
          <w:b w:val="0"/>
          <w:i w:val="0"/>
        </w:rPr>
        <w:t>This gives Teacher Workbench a goal, a piece of evidence and a few practical limits. You can add more after seeing a draft.</w:t>
      </w:r>
    </w:p>
    <w:p>
      <w:pPr>
        <w:keepNext/>
      </w:pPr>
      <w:r>
        <w:rPr>
          <w:b/>
          <w:i w:val="0"/>
        </w:rPr>
        <w:t>Minutes 3 to 5 — inspect something concrete</w:t>
      </w:r>
    </w:p>
    <w:p>
      <w:r>
        <w:rPr>
          <w:b w:val="0"/>
          <w:i w:val="0"/>
        </w:rPr>
        <w:t>A useful reply would include actual questions and answers. Here is a short illustration of the kind of model you could look for:</w:t>
      </w:r>
    </w:p>
    <w:p>
      <w:pPr>
        <w:spacing w:before="40" w:after="200"/>
        <w:ind w:left="317" w:right="173"/>
      </w:pPr>
      <w:r>
        <w:rPr>
          <w:b w:val="0"/>
          <w:i w:val="0"/>
        </w:rPr>
        <w:t>Draw three circles with four dots in each. Ask, “What does the three count? What does the four count?” Point to one complete group at a time: 4 + 4 + 4 = 12. Connect the drawing to 3 × 4 = 12. Then ask students to draw two trays with five objects on each and explain 2 × 5 = 10.</w:t>
      </w:r>
    </w:p>
    <w:p>
      <w:r>
        <w:rPr>
          <w:b w:val="0"/>
          <w:i w:val="0"/>
        </w:rPr>
        <w:t xml:space="preserve">Check the model yourself. Does every number refer to the right quantity? Could you explain it aloud? This example addresses the meaning of products in California standard </w:t>
      </w:r>
      <w:hyperlink r:id="rId11">
        <w:r>
          <w:rPr>
            <w:color w:val="1C5364"/>
            <w:u w:val="single"/>
          </w:rPr>
          <w:t xml:space="preserve">3.OA.1</w:t>
        </w:r>
      </w:hyperlink>
      <w:r>
        <w:rPr>
          <w:b w:val="0"/>
          <w:i w:val="0"/>
        </w:rPr>
        <w:t>.</w:t>
      </w:r>
    </w:p>
    <w:p>
      <w:pPr>
        <w:keepNext/>
      </w:pPr>
      <w:r>
        <w:rPr>
          <w:b/>
          <w:i w:val="0"/>
        </w:rPr>
        <w:t>Minutes 6 to 8 — make one revision</w:t>
      </w:r>
    </w:p>
    <w:p>
      <w:pPr>
        <w:spacing w:before="40" w:after="200"/>
        <w:ind w:left="317" w:right="173"/>
      </w:pPr>
      <w:r>
        <w:rPr>
          <w:b w:val="0"/>
          <w:i w:val="0"/>
        </w:rPr>
        <w:t>I now have only 12 minutes. Keep the model and the final independent check. Shorten the practice and show the revised timings.</w:t>
      </w:r>
    </w:p>
    <w:p>
      <w:r>
        <w:rPr>
          <w:b w:val="0"/>
          <w:i w:val="0"/>
        </w:rPr>
        <w:t>Look for a sequence that really totals 12 minutes. For example: 2 minutes to inspect a drawing, 3 to model, 5 for practice and 2 for the check. Those timings are a planning proposal, not a research-established dosage.</w:t>
      </w:r>
    </w:p>
    <w:p>
      <w:pPr>
        <w:keepNext/>
      </w:pPr>
      <w:r>
        <w:rPr>
          <w:b/>
          <w:i w:val="0"/>
        </w:rPr>
        <w:t>Minutes 9 to 10 — prepare to use it</w:t>
      </w:r>
    </w:p>
    <w:p>
      <w:pPr>
        <w:spacing w:before="40" w:after="200"/>
        <w:ind w:left="317" w:right="173"/>
      </w:pPr>
      <w:r>
        <w:rPr>
          <w:b w:val="0"/>
          <w:i w:val="0"/>
        </w:rPr>
        <w:t>Put the student questions on one page. Put the answers and teaching notes on a separate page.</w:t>
      </w:r>
    </w:p>
    <w:p>
      <w:r>
        <w:rPr>
          <w:b/>
          <w:i w:val="0"/>
        </w:rPr>
        <w:t>Your first success:</w:t>
      </w:r>
      <w:r>
        <w:rPr>
          <w:b w:val="0"/>
          <w:i w:val="0"/>
        </w:rPr>
        <w:t xml:space="preserve"> You can explain the goal, teach the model, check the answers and use the resource within the available time. Save that version. If one of those pieces is missing, ask for it before moving on.</w:t>
      </w:r>
    </w:p>
    <w:p>
      <w:pPr>
        <w:pStyle w:val="Heading1"/>
        <w:pageBreakBefore/>
      </w:pPr>
      <w:bookmarkStart w:id="3" w:name="chapter_3"/>
      <w:r>
        <w:rPr>
          <w:b w:val="0"/>
          <w:i w:val="0"/>
        </w:rPr>
        <w:t>Improve a draft through conversation</w:t>
      </w:r>
      <w:bookmarkEnd w:id="3"/>
    </w:p>
    <w:p>
      <w:r>
        <w:rPr>
          <w:b w:val="0"/>
          <w:i w:val="0"/>
        </w:rPr>
        <w:t>Your first message starts the work. Your next message helps it fit. You can respond as you would to a colleague who has drafted something for you: point to what works, name what needs changing, and explain why.</w:t>
      </w:r>
    </w:p>
    <w:p>
      <w:pPr>
        <w:keepNext/>
      </w:pPr>
      <w:r>
        <w:rPr>
          <w:b/>
          <w:i w:val="0"/>
        </w:rPr>
        <w:t>A conversation you can borrow</w:t>
      </w:r>
    </w:p>
    <w:p>
      <w:pPr>
        <w:keepNext/>
      </w:pPr>
      <w:r>
        <w:rPr>
          <w:b/>
          <w:i w:val="0"/>
        </w:rPr>
        <w:t>You begin:</w:t>
      </w:r>
    </w:p>
    <w:p>
      <w:pPr>
        <w:spacing w:before="40" w:after="200"/>
        <w:ind w:left="317" w:right="173"/>
      </w:pPr>
      <w:r>
        <w:rPr>
          <w:b w:val="0"/>
          <w:i w:val="0"/>
        </w:rPr>
        <w:t>Help me plan a lesson on main idea for grade 5.</w:t>
      </w:r>
    </w:p>
    <w:p>
      <w:r>
        <w:rPr>
          <w:b w:val="0"/>
          <w:i w:val="0"/>
        </w:rPr>
        <w:t>That is a reasonable start, but the reply may be broad because Teacher Workbench has little to go on.</w:t>
      </w:r>
    </w:p>
    <w:p>
      <w:pPr>
        <w:keepNext/>
      </w:pPr>
      <w:r>
        <w:rPr>
          <w:b/>
          <w:i w:val="0"/>
        </w:rPr>
        <w:t>You add useful detail:</w:t>
      </w:r>
    </w:p>
    <w:p>
      <w:pPr>
        <w:spacing w:before="40" w:after="200"/>
        <w:ind w:left="317" w:right="173"/>
      </w:pPr>
      <w:r>
        <w:rPr>
          <w:b w:val="0"/>
          <w:i w:val="0"/>
        </w:rPr>
        <w:t>Here is the article we are using. Students often choose an interesting detail as the main idea. We have 30 minutes. Use this text and include an example of that error.</w:t>
      </w:r>
    </w:p>
    <w:p>
      <w:r>
        <w:rPr>
          <w:b w:val="0"/>
          <w:i w:val="0"/>
        </w:rPr>
        <w:t>Now there is a specific text, a learning problem and a time limit.</w:t>
      </w:r>
    </w:p>
    <w:p>
      <w:pPr>
        <w:keepNext/>
      </w:pPr>
      <w:r>
        <w:rPr>
          <w:b/>
          <w:i w:val="0"/>
        </w:rPr>
        <w:t>You respond to the draft:</w:t>
      </w:r>
    </w:p>
    <w:p>
      <w:pPr>
        <w:spacing w:before="40" w:after="200"/>
        <w:ind w:left="317" w:right="173"/>
      </w:pPr>
      <w:r>
        <w:rPr>
          <w:b w:val="0"/>
          <w:i w:val="0"/>
        </w:rPr>
        <w:t>The discussion questions work. The writing task is too long. Keep the thinking demand, offer oral rehearsal, and reduce the final response to two sentences supported by the text.</w:t>
      </w:r>
    </w:p>
    <w:p>
      <w:r>
        <w:rPr>
          <w:b w:val="0"/>
          <w:i w:val="0"/>
        </w:rPr>
        <w:t>This gives Teacher Workbench a clear revision without discarding useful work.</w:t>
      </w:r>
    </w:p>
    <w:p>
      <w:pPr>
        <w:keepNext/>
      </w:pPr>
      <w:r>
        <w:rPr>
          <w:b/>
          <w:i w:val="0"/>
        </w:rPr>
        <w:t>You ask for the finished version:</w:t>
      </w:r>
    </w:p>
    <w:p>
      <w:pPr>
        <w:spacing w:before="40" w:after="200"/>
        <w:ind w:left="317" w:right="173"/>
      </w:pPr>
      <w:r>
        <w:rPr>
          <w:b w:val="0"/>
          <w:i w:val="0"/>
        </w:rPr>
        <w:t>Show me the revised lesson and student page. Include the expected responses and explain what you changed.</w:t>
      </w:r>
    </w:p>
    <w:p>
      <w:pPr>
        <w:pStyle w:val="Heading2"/>
      </w:pPr>
      <w:r>
        <w:rPr>
          <w:b w:val="0"/>
          <w:i w:val="0"/>
        </w:rPr>
        <w:t>Three useful ways to steer a reply</w:t>
      </w:r>
    </w:p>
    <w:tbl>
      <w:tblPr>
        <w:tblW w:type="auto" w:w="0"/>
        <w:jc w:val="center"/>
        <w:tblLayout w:type="fixed"/>
        <w:tblLook w:firstColumn="1" w:firstRow="1" w:lastColumn="0" w:lastRow="0" w:noHBand="0" w:noVBand="1" w:val="04A0"/>
      </w:tblPr>
      <w:tblGrid>
        <w:gridCol w:w="4493"/>
        <w:gridCol w:w="5674"/>
      </w:tblGrid>
      <w:tr>
        <w:trPr>
          <w:cantSplit/>
          <w:tblHeader/>
        </w:trPr>
        <w:tc>
          <w:tcPr>
            <w:tcW w:type="dxa" w:w="4493"/>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When you notice</w:t>
            </w:r>
          </w:p>
        </w:tc>
        <w:tc>
          <w:tcPr>
            <w:tcW w:type="dxa" w:w="5674"/>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You can say</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It is too general</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“Use the actual passage and write the questions I will ask.”</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It changes too much</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“Keep the objective, examples and assessment. Revise only the partner activity.”</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You cannot judge a suggestion</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“Show me one student response that would meet the goal and one that would need more teaching.”</w:t>
            </w:r>
          </w:p>
        </w:tc>
      </w:tr>
    </w:tbl>
    <w:p>
      <w:pPr>
        <w:spacing w:after="40" w:before="0" w:line="72" w:lineRule="auto"/>
      </w:pPr>
      <w:r>
        <w:rPr>
          <w:sz w:val="4"/>
        </w:rPr>
      </w:r>
    </w:p>
    <w:p>
      <w:r>
        <w:rPr>
          <w:b/>
          <w:i w:val="0"/>
        </w:rPr>
        <w:t>Try it:</w:t>
      </w:r>
      <w:r>
        <w:rPr>
          <w:b w:val="0"/>
          <w:i w:val="0"/>
        </w:rPr>
        <w:t xml:space="preserve"> Take one reply and make a single targeted revision. Compare the two versions. Did the change solve the problem you named? If it introduced a new problem, say so.</w:t>
      </w:r>
    </w:p>
    <w:p>
      <w:r>
        <w:rPr>
          <w:b w:val="0"/>
          <w:i w:val="0"/>
        </w:rPr>
        <w:t>You do not need a perfect opening prompt. The useful habit is noticing what the draft still needs and asking clearly for that change.</w:t>
      </w:r>
    </w:p>
    <w:p>
      <w:pPr>
        <w:pStyle w:val="Heading1"/>
        <w:pageBreakBefore/>
      </w:pPr>
      <w:bookmarkStart w:id="4" w:name="chapter_4"/>
      <w:r>
        <w:rPr>
          <w:b w:val="0"/>
          <w:i w:val="0"/>
        </w:rPr>
        <w:t>Bring your curriculum into the conversation</w:t>
      </w:r>
      <w:bookmarkEnd w:id="4"/>
    </w:p>
    <w:p>
      <w:r>
        <w:rPr>
          <w:b w:val="0"/>
          <w:i w:val="0"/>
        </w:rPr>
        <w:t>You can begin with a lesson plan, a pacing guide, a scope and sequence, an ebook, a photograph of a page, or notes you have already written. Attach the file or provide the relevant link, then explain what you want to do with it.</w:t>
      </w:r>
    </w:p>
    <w:p>
      <w:pPr>
        <w:keepNext/>
      </w:pPr>
      <w:r>
        <w:rPr>
          <w:b/>
          <w:i w:val="0"/>
        </w:rPr>
        <w:t>Start by checking understanding</w:t>
      </w:r>
    </w:p>
    <w:p>
      <w:pPr>
        <w:spacing w:before="40" w:after="200"/>
        <w:ind w:left="317" w:right="173"/>
      </w:pPr>
      <w:r>
        <w:rPr>
          <w:b w:val="0"/>
          <w:i w:val="0"/>
        </w:rPr>
        <w:t>I attached our pacing guide and unit plan. Before making changes, tell me what students are meant to learn next week, which pages you used, and anything you could not read.</w:t>
      </w:r>
    </w:p>
    <w:p>
      <w:r>
        <w:rPr>
          <w:b w:val="0"/>
          <w:i w:val="0"/>
        </w:rPr>
        <w:t>Read that summary first. It is easier to catch a wrong unit or unreadable page now than after a full week of lessons has been drafted.</w:t>
      </w:r>
    </w:p>
    <w:p>
      <w:pPr>
        <w:keepNext/>
      </w:pPr>
      <w:r>
        <w:rPr>
          <w:b/>
          <w:i w:val="0"/>
        </w:rPr>
        <w:t>Then give the planning request</w:t>
      </w:r>
    </w:p>
    <w:p>
      <w:pPr>
        <w:spacing w:before="40" w:after="200"/>
        <w:ind w:left="317" w:right="173"/>
      </w:pPr>
      <w:r>
        <w:rPr>
          <w:b w:val="0"/>
          <w:i w:val="0"/>
        </w:rPr>
        <w:t>The pacing guide is current, but Friday is a half day. Plan four 40-minute lessons and one 20-minute review. Keep the unit sequence and show any changes you recommend.</w:t>
      </w:r>
    </w:p>
    <w:p>
      <w:r>
        <w:rPr>
          <w:b w:val="0"/>
          <w:i w:val="0"/>
        </w:rPr>
        <w:t>If two documents disagree, tell Teacher Workbench which one governs. A short correction such as “Use my revised schedule, not the dates printed in the older plan” can prevent repeated confusion.</w:t>
      </w:r>
    </w:p>
    <w:p>
      <w:pPr>
        <w:pStyle w:val="Heading2"/>
      </w:pPr>
      <w:r>
        <w:rPr>
          <w:b w:val="0"/>
          <w:i w:val="0"/>
        </w:rPr>
        <w:t>When the curriculum is online</w:t>
      </w:r>
    </w:p>
    <w:p>
      <w:r>
        <w:rPr>
          <w:b w:val="0"/>
          <w:i w:val="0"/>
        </w:rPr>
        <w:t>Provide the specific course, unit or folder link. Teacher Workbench can work through supported access to curriculum websites, repositories, assessment systems, ebooks, Google Drive, SharePoint or OneDrive. Which services it can open depends on your app and permissions.</w:t>
      </w:r>
    </w:p>
    <w:p>
      <w:pPr>
        <w:spacing w:before="40" w:after="200"/>
        <w:ind w:left="317" w:right="173"/>
      </w:pPr>
      <w:r>
        <w:rPr>
          <w:b w:val="0"/>
          <w:i w:val="0"/>
        </w:rPr>
        <w:t>My curriculum is in this folder. Use the teacher guide for Unit 3. If access is needed, help me use the available connection or sign-in process. Tell me which files you actually read.</w:t>
      </w:r>
    </w:p>
    <w:p>
      <w:r>
        <w:rPr>
          <w:b w:val="0"/>
          <w:i w:val="0"/>
        </w:rPr>
        <w:t>Sign in through the service's approved account screen. Keep passwords and verification codes out of the chat. If a source cannot be opened, a permitted download, readable excerpt or clearer scan may let you continue.</w:t>
      </w:r>
    </w:p>
    <w:p>
      <w:r>
        <w:rPr>
          <w:b/>
          <w:i w:val="0"/>
        </w:rPr>
        <w:t>Look for:</w:t>
      </w:r>
      <w:r>
        <w:rPr>
          <w:b w:val="0"/>
          <w:i w:val="0"/>
        </w:rPr>
        <w:t xml:space="preserve"> The right title and edition, specific page or section references, and a clear account of unreadable or unavailable material. A folder title alone is not evidence that its contents were read.</w:t>
      </w:r>
    </w:p>
    <w:p>
      <w:r>
        <w:rPr>
          <w:b/>
          <w:i w:val="0"/>
        </w:rPr>
        <w:t>Try it:</w:t>
      </w:r>
      <w:r>
        <w:rPr>
          <w:b w:val="0"/>
          <w:i w:val="0"/>
        </w:rPr>
        <w:t xml:space="preserve"> Attach one familiar lesson and ask for a five-sentence summary. Correct one detail, then ask Teacher Workbench to plan from the corrected understanding.</w:t>
      </w:r>
    </w:p>
    <w:p>
      <w:pPr>
        <w:pStyle w:val="Heading1"/>
        <w:pageBreakBefore/>
      </w:pPr>
      <w:bookmarkStart w:id="5" w:name="chapter_5"/>
      <w:r>
        <w:rPr>
          <w:b w:val="0"/>
          <w:i w:val="0"/>
        </w:rPr>
        <w:t>Explore the learning behind a standard</w:t>
      </w:r>
      <w:bookmarkEnd w:id="5"/>
    </w:p>
    <w:p>
      <w:r>
        <w:rPr>
          <w:b w:val="0"/>
          <w:i w:val="0"/>
        </w:rPr>
        <w:t xml:space="preserve">Sometimes the next useful question is “What learning sits underneath this standard?” Learning Commons can supply structured references about standards, component skills and prerequisite relationships. Teacher Workbench can use those references to help you plan. Its </w:t>
      </w:r>
      <w:hyperlink r:id="rId12">
        <w:r>
          <w:rPr>
            <w:color w:val="1C5364"/>
            <w:u w:val="single"/>
          </w:rPr>
          <w:t xml:space="preserve">connection options</w:t>
        </w:r>
      </w:hyperlink>
      <w:r>
        <w:rPr>
          <w:b w:val="0"/>
          <w:i w:val="0"/>
        </w:rPr>
        <w:t xml:space="preserve"> depend on your app and account.</w:t>
      </w:r>
    </w:p>
    <w:p>
      <w:pPr>
        <w:keepNext/>
      </w:pPr>
      <w:r>
        <w:rPr>
          <w:b/>
          <w:i w:val="0"/>
        </w:rPr>
        <w:t>Start with a teaching question</w:t>
      </w:r>
    </w:p>
    <w:p>
      <w:pPr>
        <w:spacing w:before="40" w:after="200"/>
        <w:ind w:left="317" w:right="173"/>
      </w:pPr>
      <w:r>
        <w:rPr>
          <w:b w:val="0"/>
          <w:i w:val="0"/>
        </w:rPr>
        <w:t>Use Learning Commons to unpack the California standard for this lesson. Show the smaller skills involved and any prerequisite relationships you can actually retrieve. Check the California wording against CDE. Then suggest one short task to see whether students need work on a prerequisite.</w:t>
      </w:r>
    </w:p>
    <w:p>
      <w:r>
        <w:rPr>
          <w:b w:val="0"/>
          <w:i w:val="0"/>
        </w:rPr>
        <w:t>You should see a named standard, the sources used, and a distinction between retrieved relationships and Teacher Workbench's proposed activity. A map of prerequisites does not tell you which ones your students have mastered. Their work helps answer that question.</w:t>
      </w:r>
    </w:p>
    <w:p>
      <w:pPr>
        <w:keepNext/>
      </w:pPr>
      <w:r>
        <w:rPr>
          <w:b/>
          <w:i w:val="0"/>
        </w:rPr>
        <w:t>If a connection is needed</w:t>
      </w:r>
    </w:p>
    <w:p>
      <w:r>
        <w:rPr>
          <w:b w:val="0"/>
          <w:i w:val="0"/>
        </w:rPr>
        <w:t>Teacher Workbench should guide you to the available Learning Commons connection. Complete sign-in or authorization through your app's secure interface. You should not need to paste passwords or access keys into the conversation. If your account does not offer the connection, you can continue with an authorized file export, a supplied curriculum document or official public standards.</w:t>
      </w:r>
    </w:p>
    <w:p>
      <w:pPr>
        <w:keepNext/>
      </w:pPr>
      <w:r>
        <w:rPr>
          <w:b/>
          <w:i w:val="0"/>
        </w:rPr>
        <w:t>Look closely at coverage</w:t>
      </w:r>
    </w:p>
    <w:p>
      <w:pPr>
        <w:spacing w:before="40" w:after="200"/>
        <w:ind w:left="317" w:right="173"/>
      </w:pPr>
      <w:r>
        <w:rPr>
          <w:b w:val="0"/>
          <w:i w:val="0"/>
        </w:rPr>
        <w:t>Which records did you read? Does this cover our curriculum edition? Which relationships or lesson pages were unavailable?</w:t>
      </w:r>
    </w:p>
    <w:p>
      <w:r>
        <w:rPr>
          <w:b w:val="0"/>
          <w:i w:val="0"/>
        </w:rPr>
        <w:t>A curriculum listing is not the same as reading the lesson. A missing relationship is not proof that a prerequisite does not exist. Teacher Workbench should preserve those distinctions and label any comparison with a different jurisdiction or standards framework.</w:t>
      </w:r>
    </w:p>
    <w:p>
      <w:r>
        <w:rPr>
          <w:b/>
          <w:i w:val="0"/>
        </w:rPr>
        <w:t>Try it:</w:t>
      </w:r>
      <w:r>
        <w:rPr>
          <w:b w:val="0"/>
          <w:i w:val="0"/>
        </w:rPr>
        <w:t xml:space="preserve"> Choose one standard you already know well. Compare the retrieved description with </w:t>
      </w:r>
      <w:hyperlink r:id="rId13">
        <w:r>
          <w:rPr>
            <w:color w:val="1C5364"/>
            <w:u w:val="single"/>
          </w:rPr>
          <w:t xml:space="preserve">California's official standards</w:t>
        </w:r>
      </w:hyperlink>
      <w:r>
        <w:rPr>
          <w:b w:val="0"/>
          <w:i w:val="0"/>
        </w:rPr>
        <w:t xml:space="preserve"> and your lesson. Ask for a useful check of one underlying skill, then decide whether that check belongs in your teaching.</w:t>
      </w:r>
    </w:p>
    <w:p>
      <w:pPr>
        <w:pStyle w:val="Heading1"/>
        <w:pageBreakBefore/>
      </w:pPr>
      <w:bookmarkStart w:id="6" w:name="chapter_6"/>
      <w:r>
        <w:rPr>
          <w:b w:val="0"/>
          <w:i w:val="0"/>
        </w:rPr>
        <w:t>Build a lesson you can actually teach</w:t>
      </w:r>
      <w:bookmarkEnd w:id="6"/>
    </w:p>
    <w:p>
      <w:r>
        <w:rPr>
          <w:b w:val="0"/>
          <w:i w:val="0"/>
        </w:rPr>
        <w:t>A useful lesson gives you enough detail to teach and enough flexibility to respond to students. Tell Teacher Workbench what you want students to learn, what they can already do, and the conditions in which you will teach.</w:t>
      </w:r>
    </w:p>
    <w:p>
      <w:pPr>
        <w:spacing w:before="40" w:after="200"/>
        <w:ind w:left="317" w:right="173"/>
      </w:pPr>
      <w:r>
        <w:rPr>
          <w:b w:val="0"/>
          <w:i w:val="0"/>
        </w:rPr>
        <w:t>Use this grade 7 science lesson and my lab notes to plan 45 minutes. Students need to explain what our temperature data show. Include a model explanation, partner talk, an individual response and a check for misunderstanding. We have one thermometer per group. Follow the attached school template.</w:t>
      </w:r>
    </w:p>
    <w:p>
      <w:r>
        <w:rPr>
          <w:b w:val="0"/>
          <w:i w:val="0"/>
        </w:rPr>
        <w:t>Ask for the actual materials along with the plan. You might need a data table, a paragraph to model, discussion prompts, a worked example and a separate teacher key. You should not have to write all of those after receiving a plan.</w:t>
      </w:r>
    </w:p>
    <w:p>
      <w:pPr>
        <w:pStyle w:val="Heading2"/>
      </w:pPr>
      <w:r>
        <w:rPr>
          <w:b w:val="0"/>
          <w:i w:val="0"/>
        </w:rPr>
        <w:t>Picture yourself teaching the lesson</w:t>
      </w:r>
    </w:p>
    <w:p>
      <w:r>
        <w:rPr>
          <w:b w:val="0"/>
          <w:i w:val="0"/>
        </w:rPr>
        <w:t>Picture yourself starting the lesson. Do you know what to put on the board? What students need on their desks? What they do while you help one group? How you will know whether the goal was met?</w:t>
      </w:r>
    </w:p>
    <w:p>
      <w:r>
        <w:rPr>
          <w:b w:val="0"/>
          <w:i w:val="0"/>
        </w:rPr>
        <w:t>If a step says “discuss the results,” you can ask:</w:t>
      </w:r>
    </w:p>
    <w:p>
      <w:pPr>
        <w:spacing w:before="40" w:after="200"/>
        <w:ind w:left="317" w:right="173"/>
      </w:pPr>
      <w:r>
        <w:rPr>
          <w:b w:val="0"/>
          <w:i w:val="0"/>
        </w:rPr>
        <w:t>Write the three questions I will ask, a plausible student answer to each, and how I can respond if students confuse an observation with an explanation.</w:t>
      </w:r>
    </w:p>
    <w:p>
      <w:r>
        <w:rPr>
          <w:b w:val="0"/>
          <w:i w:val="0"/>
        </w:rPr>
        <w:t>If there is too much to do:</w:t>
      </w:r>
    </w:p>
    <w:p>
      <w:pPr>
        <w:spacing w:before="40" w:after="200"/>
        <w:ind w:left="317" w:right="173"/>
      </w:pPr>
      <w:r>
        <w:rPr>
          <w:b w:val="0"/>
          <w:i w:val="0"/>
        </w:rPr>
        <w:t>Keep the learning goal and individual check. Identify what to shorten or move to the next lesson, and update the timing.</w:t>
      </w:r>
    </w:p>
    <w:p>
      <w:r>
        <w:rPr>
          <w:b w:val="0"/>
          <w:i w:val="0"/>
        </w:rPr>
        <w:t>The default lesson format keeps goals, preparation, sequence, supports, assessment, student materials and teacher notes in predictable places. You can use your own template instead. A unit request can apply the same process across several lessons, with attention to how one lesson prepares students for the next.</w:t>
      </w:r>
    </w:p>
    <w:p>
      <w:r>
        <w:rPr>
          <w:b/>
          <w:i w:val="0"/>
        </w:rPr>
        <w:t>Try it:</w:t>
      </w:r>
      <w:r>
        <w:rPr>
          <w:b w:val="0"/>
          <w:i w:val="0"/>
        </w:rPr>
        <w:t xml:space="preserve"> Ask Teacher Workbench to read the plan as if it were teaching it tomorrow. Have it list any missing materials or directions, then create those pieces. Review the answers and the timing yourself before using the lesson.</w:t>
      </w:r>
    </w:p>
    <w:p>
      <w:pPr>
        <w:pStyle w:val="Heading1"/>
        <w:pageBreakBefore/>
      </w:pPr>
      <w:bookmarkStart w:id="7" w:name="chapter_7"/>
      <w:r>
        <w:rPr>
          <w:b w:val="0"/>
          <w:i w:val="0"/>
        </w:rPr>
        <w:t>Rehearse a teaching move</w:t>
      </w:r>
      <w:bookmarkEnd w:id="7"/>
    </w:p>
    <w:p>
      <w:r>
        <w:rPr>
          <w:b w:val="0"/>
          <w:i w:val="0"/>
        </w:rPr>
        <w:t>You can use Teacher Workbench to practice how you will explain an idea, respond to an incomplete answer or ask a question that brings out student thinking. Start with the lesson you plan to teach and one moment you want to improve.</w:t>
      </w:r>
    </w:p>
    <w:p>
      <w:pPr>
        <w:spacing w:before="40" w:after="200"/>
        <w:ind w:left="317" w:right="173"/>
      </w:pPr>
      <w:r>
        <w:rPr>
          <w:b w:val="0"/>
          <w:i w:val="0"/>
        </w:rPr>
        <w:t>Read my attached lesson. Help me rehearse the moment when I connect a rectangle's rows to multiplication. Play one possible student response at a time. Let me answer before you give feedback.</w:t>
      </w:r>
    </w:p>
    <w:p>
      <w:r>
        <w:rPr>
          <w:b w:val="0"/>
          <w:i w:val="0"/>
        </w:rPr>
        <w:t>Teacher Workbench should check the task and answer before beginning. It may then offer a scene like this:</w:t>
      </w:r>
    </w:p>
    <w:p>
      <w:r>
        <w:rPr>
          <w:b/>
          <w:i w:val="0"/>
        </w:rPr>
        <w:t>Simulated student:</w:t>
      </w:r>
      <w:r>
        <w:rPr>
          <w:b w:val="0"/>
          <w:i w:val="0"/>
        </w:rPr>
        <w:t xml:space="preserve"> “It is three squares tall and five across, so the area is eight.”</w:t>
      </w:r>
    </w:p>
    <w:p>
      <w:r>
        <w:rPr>
          <w:b/>
          <w:i w:val="0"/>
        </w:rPr>
        <w:t>Your turn:</w:t>
      </w:r>
      <w:r>
        <w:rPr>
          <w:b w:val="0"/>
          <w:i w:val="0"/>
        </w:rPr>
        <w:t xml:space="preserve"> Try the question or explanation you would use. For example, you might ask the student to point to one row and count how many equal rows cover the rectangle. You can type your response in ordinary language.</w:t>
      </w:r>
    </w:p>
    <w:p>
      <w:pPr>
        <w:keepNext/>
      </w:pPr>
      <w:r>
        <w:rPr>
          <w:b/>
          <w:i w:val="0"/>
        </w:rPr>
        <w:t>Then ask for focused feedback</w:t>
      </w:r>
    </w:p>
    <w:p>
      <w:pPr>
        <w:spacing w:before="40" w:after="200"/>
        <w:ind w:left="317" w:right="173"/>
      </w:pPr>
      <w:r>
        <w:rPr>
          <w:b w:val="0"/>
          <w:i w:val="0"/>
        </w:rPr>
        <w:t>Did my response help the student reason, or did I do the thinking for them? Suggest one change and let me try again.</w:t>
      </w:r>
    </w:p>
    <w:p>
      <w:r>
        <w:rPr>
          <w:b w:val="0"/>
          <w:i w:val="0"/>
        </w:rPr>
        <w:t>You can pause, replay a moment, ask for a different possible response, or switch to a written preparation sheet. Keep the practice focused enough to be useful before class.</w:t>
      </w:r>
    </w:p>
    <w:p>
      <w:pPr>
        <w:keepNext/>
      </w:pPr>
      <w:r>
        <w:rPr>
          <w:b/>
          <w:i w:val="0"/>
        </w:rPr>
        <w:t>Finish with something you can carry</w:t>
      </w:r>
    </w:p>
    <w:p>
      <w:pPr>
        <w:spacing w:before="40" w:after="200"/>
        <w:ind w:left="317" w:right="173"/>
      </w:pPr>
      <w:r>
        <w:rPr>
          <w:b w:val="0"/>
          <w:i w:val="0"/>
        </w:rPr>
        <w:t>Make me a one-page teaching card: the model, two important questions, possible responses, my next moves, required supports and one independent check.</w:t>
      </w:r>
    </w:p>
    <w:p>
      <w:r>
        <w:rPr>
          <w:b w:val="0"/>
          <w:i w:val="0"/>
        </w:rPr>
        <w:t>These student replies are simulations. They help you prepare possibilities; they do not predict your class or demonstrate that students learned. After teaching, bring back deidentified examples of what students actually said or did.</w:t>
      </w:r>
    </w:p>
    <w:p>
      <w:r>
        <w:rPr>
          <w:b/>
          <w:i w:val="0"/>
        </w:rPr>
        <w:t>Try it:</w:t>
      </w:r>
      <w:r>
        <w:rPr>
          <w:b w:val="0"/>
          <w:i w:val="0"/>
        </w:rPr>
        <w:t xml:space="preserve"> Rehearse one difficult explanation twice. Keep the wording that makes the idea clearer while leaving students a meaningful step to work out. If the lesson itself needs changing, ask Teacher Workbench to update your regular planning format.</w:t>
      </w:r>
    </w:p>
    <w:p>
      <w:pPr>
        <w:pStyle w:val="Heading1"/>
        <w:pageBreakBefore/>
      </w:pPr>
      <w:bookmarkStart w:id="8" w:name="chapter_8"/>
      <w:r>
        <w:rPr>
          <w:b w:val="0"/>
          <w:i w:val="0"/>
        </w:rPr>
        <w:t>Make access and language support concrete</w:t>
      </w:r>
      <w:bookmarkEnd w:id="8"/>
    </w:p>
    <w:p>
      <w:r>
        <w:rPr>
          <w:b w:val="0"/>
          <w:i w:val="0"/>
        </w:rPr>
        <w:t>Tell Teacher Workbench where a learner is getting stuck. “Make it easier” can lead to an activity that changes the learning goal. A description of the barrier gives you more useful choices.</w:t>
      </w:r>
    </w:p>
    <w:p>
      <w:pPr>
        <w:spacing w:before="40" w:after="200"/>
        <w:ind w:left="317" w:right="173"/>
      </w:pPr>
      <w:r>
        <w:rPr>
          <w:b w:val="0"/>
          <w:i w:val="0"/>
        </w:rPr>
        <w:t>Students can explain their science ideas aloud but lose track while writing. Keep the science goal. Add an oral rehearsal, a partially completed organizer and an example response. Keep the documented scribing support available.</w:t>
      </w:r>
    </w:p>
    <w:p>
      <w:r>
        <w:rPr>
          <w:b w:val="0"/>
          <w:i w:val="0"/>
        </w:rPr>
        <w:t>For multilingual learners, add the language work students need to do:</w:t>
      </w:r>
    </w:p>
    <w:p>
      <w:pPr>
        <w:spacing w:before="40" w:after="200"/>
        <w:ind w:left="317" w:right="173"/>
      </w:pPr>
      <w:r>
        <w:rPr>
          <w:b w:val="0"/>
          <w:i w:val="0"/>
        </w:rPr>
        <w:t>Students need to compare two explanations. Give them key vocabulary with examples, a partner routine and optional sentence starters. Show how I can hear their science understanding even when their English is still developing.</w:t>
      </w:r>
    </w:p>
    <w:p>
      <w:r>
        <w:rPr>
          <w:b w:val="0"/>
          <w:i w:val="0"/>
        </w:rPr>
        <w:t xml:space="preserve">You can also ask for integrated language development within the lesson or a separate designated ELD lesson using the language needs and program information you supply. </w:t>
      </w:r>
      <w:hyperlink r:id="rId14">
        <w:r>
          <w:rPr>
            <w:color w:val="1C5364"/>
            <w:u w:val="single"/>
          </w:rPr>
          <w:t xml:space="preserve">California ELA and ELD guidance</w:t>
        </w:r>
      </w:hyperlink>
      <w:r>
        <w:rPr>
          <w:b w:val="0"/>
          <w:i w:val="0"/>
        </w:rPr>
        <w:t xml:space="preserve"> offers the relevant framework context.</w:t>
      </w:r>
    </w:p>
    <w:p>
      <w:pPr>
        <w:pStyle w:val="Heading2"/>
      </w:pPr>
      <w:r>
        <w:rPr>
          <w:b w:val="0"/>
          <w:i w:val="0"/>
        </w:rPr>
        <w:t>What a usable scaffold looks like</w:t>
      </w:r>
    </w:p>
    <w:p>
      <w:r>
        <w:rPr>
          <w:b w:val="0"/>
          <w:i w:val="0"/>
        </w:rPr>
        <w:t>“Provide sentence frames” leaves you with work to do. A usable response supplies one, such as:</w:t>
      </w:r>
    </w:p>
    <w:p>
      <w:pPr>
        <w:spacing w:before="40" w:after="200"/>
        <w:ind w:left="317" w:right="173"/>
      </w:pPr>
      <w:r>
        <w:rPr>
          <w:b w:val="0"/>
          <w:i w:val="0"/>
        </w:rPr>
        <w:t>“Both explanations say ___. They differ because ___. The evidence that supports my choice is ___.”</w:t>
      </w:r>
    </w:p>
    <w:p>
      <w:r>
        <w:rPr>
          <w:b w:val="0"/>
          <w:i w:val="0"/>
        </w:rPr>
        <w:t>Then it explains when to offer the frame, what reasoning the student still supplies, and what fresh response might show that less temporary help is appropriate. Required accommodations remain available; reducing a temporary cue is a different decision.</w:t>
      </w:r>
    </w:p>
    <w:p>
      <w:r>
        <w:rPr>
          <w:b w:val="0"/>
          <w:i w:val="0"/>
        </w:rPr>
        <w:t>For students who have already demonstrated the goal, ask for depth:</w:t>
      </w:r>
    </w:p>
    <w:p>
      <w:pPr>
        <w:spacing w:before="40" w:after="200"/>
        <w:ind w:left="317" w:right="173"/>
      </w:pPr>
      <w:r>
        <w:rPr>
          <w:b w:val="0"/>
          <w:i w:val="0"/>
        </w:rPr>
        <w:t>Create an extension that asks students to test an explanation against new evidence. Include a possible response and what I should look for.</w:t>
      </w:r>
    </w:p>
    <w:p>
      <w:hyperlink r:id="rId15">
        <w:r>
          <w:rPr>
            <w:color w:val="1C5364"/>
            <w:u w:val="single"/>
          </w:rPr>
          <w:t xml:space="preserve">CAST's UDL Guidelines</w:t>
        </w:r>
      </w:hyperlink>
      <w:r>
        <w:rPr>
          <w:b w:val="0"/>
          <w:i w:val="0"/>
        </w:rPr>
        <w:t xml:space="preserve"> can help you discuss barriers and access options. The choice still needs to fit the learner, the task and the evidence you want.</w:t>
      </w:r>
    </w:p>
    <w:p>
      <w:r>
        <w:rPr>
          <w:b/>
          <w:i w:val="0"/>
        </w:rPr>
        <w:t>Try it:</w:t>
      </w:r>
      <w:r>
        <w:rPr>
          <w:b w:val="0"/>
          <w:i w:val="0"/>
        </w:rPr>
        <w:t xml:space="preserve"> Name one barrier in a lesson. Ask for two supports, choose one, and explain why it fits. Then check that the student still has to do the intended thinking.</w:t>
      </w:r>
    </w:p>
    <w:p>
      <w:pPr>
        <w:pStyle w:val="Heading1"/>
        <w:pageBreakBefore/>
      </w:pPr>
      <w:bookmarkStart w:id="9" w:name="chapter_9"/>
      <w:r>
        <w:rPr>
          <w:b w:val="0"/>
          <w:i w:val="0"/>
        </w:rPr>
        <w:t>Prepare an assistant or substitute</w:t>
      </w:r>
      <w:bookmarkEnd w:id="9"/>
    </w:p>
    <w:p>
      <w:r>
        <w:rPr>
          <w:b w:val="0"/>
          <w:i w:val="0"/>
        </w:rPr>
        <w:t>Start with what the adult knows and the time available to prepare. An assistant who is new to a topic may need a brief explanation, exact teaching language and worked answers. An experienced assistant may prefer a shorter run sheet.</w:t>
      </w:r>
    </w:p>
    <w:p>
      <w:pPr>
        <w:spacing w:before="40" w:after="200"/>
        <w:ind w:left="317" w:right="173"/>
      </w:pPr>
      <w:r>
        <w:rPr>
          <w:b w:val="0"/>
          <w:i w:val="0"/>
        </w:rPr>
        <w:t>Turn this activity into a 20-minute small group for four learners. Our instructional assistant is new to this topic and has five minutes to prepare. Include a content primer, an exact script, student tasks, answers, likely errors and what to do next. I will be teaching another group nearby.</w:t>
      </w:r>
    </w:p>
    <w:p>
      <w:r>
        <w:rPr>
          <w:b w:val="0"/>
          <w:i w:val="0"/>
        </w:rPr>
        <w:t>Ask for decisions that can be made during the session:</w:t>
      </w:r>
    </w:p>
    <w:p>
      <w:pPr>
        <w:spacing w:before="40" w:after="200"/>
        <w:ind w:left="317" w:right="173"/>
      </w:pPr>
      <w:r>
        <w:rPr>
          <w:b w:val="0"/>
          <w:i w:val="0"/>
        </w:rPr>
        <w:t>Show what the assistant can handle, what to record for our check-in, and when to use the classroom help procedure I provided. Give the other students something useful to do while one gets help.</w:t>
      </w:r>
    </w:p>
    <w:p>
      <w:r>
        <w:rPr>
          <w:b/>
          <w:i w:val="0"/>
        </w:rPr>
        <w:t>Look for a complete handoff:</w:t>
      </w:r>
      <w:r>
        <w:rPr>
          <w:b w:val="0"/>
          <w:i w:val="0"/>
        </w:rPr>
        <w:t xml:space="preserve"> preparation; timed directions; student work; separate keys; scaffolds; a fallback and extension; a fresh individual check; and a short record to return to you. For assistants with different experience, request two versions using the same student tasks.</w:t>
      </w:r>
    </w:p>
    <w:p>
      <w:r>
        <w:rPr>
          <w:b w:val="0"/>
          <w:i w:val="0"/>
        </w:rPr>
        <w:t xml:space="preserve">Before the first session, have the adult walk through a worked example and one error response. Use that conversation to find gaps in the packet. Preparation and teacher–assistant coordination are also emphasized in </w:t>
      </w:r>
      <w:hyperlink r:id="rId16">
        <w:r>
          <w:rPr>
            <w:color w:val="1C5364"/>
            <w:u w:val="single"/>
          </w:rPr>
          <w:t xml:space="preserve">EEF's teaching-assistant guidance</w:t>
        </w:r>
      </w:hyperlink>
      <w:r>
        <w:rPr>
          <w:b w:val="0"/>
          <w:i w:val="0"/>
        </w:rPr>
        <w:t xml:space="preserve">, developed in England. California aide responsibilities are addressed in </w:t>
      </w:r>
      <w:hyperlink r:id="rId17">
        <w:r>
          <w:rPr>
            <w:color w:val="1C5364"/>
            <w:u w:val="single"/>
          </w:rPr>
          <w:t xml:space="preserve">Education Code section 45344</w:t>
        </w:r>
      </w:hyperlink>
      <w:r>
        <w:rPr>
          <w:b w:val="0"/>
          <w:i w:val="0"/>
        </w:rPr>
        <w:t>.</w:t>
      </w:r>
    </w:p>
    <w:p>
      <w:pPr>
        <w:pStyle w:val="Heading2"/>
      </w:pPr>
      <w:r>
        <w:rPr>
          <w:b w:val="0"/>
          <w:i w:val="0"/>
        </w:rPr>
        <w:t>When you need substitute plans</w:t>
      </w:r>
    </w:p>
    <w:p>
      <w:r>
        <w:rPr>
          <w:b w:val="0"/>
          <w:i w:val="0"/>
        </w:rPr>
        <w:t>Upload your existing lesson and schedule, or talk through the day.</w:t>
      </w:r>
    </w:p>
    <w:p>
      <w:pPr>
        <w:spacing w:before="40" w:after="200"/>
        <w:ind w:left="317" w:right="173"/>
      </w:pPr>
      <w:r>
        <w:rPr>
          <w:b w:val="0"/>
          <w:i w:val="0"/>
        </w:rPr>
        <w:t>Make tomorrow's substitute packet from these plans. Keep the goals and required supports. Include board directions, complete tasks, answers, early-finisher work and a handback sheet. The classroom will have no internet. Use the school procedures I supply and mark any that are missing.</w:t>
      </w:r>
    </w:p>
    <w:p>
      <w:r>
        <w:rPr>
          <w:b w:val="0"/>
          <w:i w:val="0"/>
        </w:rPr>
        <w:t>Check the schedule, attendance and dismissal directions, contact information and student support arrangements yourself. Those details come from your school.</w:t>
      </w:r>
    </w:p>
    <w:p>
      <w:r>
        <w:rPr>
          <w:b/>
          <w:i w:val="0"/>
        </w:rPr>
        <w:t>Try it:</w:t>
      </w:r>
      <w:r>
        <w:rPr>
          <w:b w:val="0"/>
          <w:i w:val="0"/>
        </w:rPr>
        <w:t xml:space="preserve"> Read the packet as a person who has never taught the lesson. Ask Teacher Workbench to fill any gap that would otherwise send that person back to you for routine directions.</w:t>
      </w:r>
    </w:p>
    <w:p>
      <w:pPr>
        <w:pStyle w:val="Heading1"/>
        <w:pageBreakBefore/>
      </w:pPr>
      <w:bookmarkStart w:id="10" w:name="chapter_10"/>
      <w:r>
        <w:rPr>
          <w:b w:val="0"/>
          <w:i w:val="0"/>
        </w:rPr>
        <w:t>Build groups and intervention activities</w:t>
      </w:r>
      <w:bookmarkEnd w:id="10"/>
    </w:p>
    <w:p>
      <w:r>
        <w:rPr>
          <w:b w:val="0"/>
          <w:i w:val="0"/>
        </w:rPr>
        <w:t>Begin with what students did, not only a total score. Two students with the same score may need different teaching. A learner who was absent needs an opportunity to show understanding before you can interpret the missing work.</w:t>
      </w:r>
    </w:p>
    <w:p>
      <w:r>
        <w:rPr>
          <w:b w:val="0"/>
          <w:i w:val="0"/>
        </w:rPr>
        <w:t>Here is a fictional example you could paste into a conversation:</w:t>
      </w:r>
    </w:p>
    <w:tbl>
      <w:tblPr>
        <w:tblW w:type="auto" w:w="0"/>
        <w:jc w:val="center"/>
        <w:tblLayout w:type="fixed"/>
        <w:tblLook w:firstColumn="1" w:firstRow="1" w:lastColumn="0" w:lastRow="0" w:noHBand="0" w:noVBand="1" w:val="04A0"/>
      </w:tblPr>
      <w:tblGrid>
        <w:gridCol w:w="4493"/>
        <w:gridCol w:w="5674"/>
      </w:tblGrid>
      <w:tr>
        <w:trPr>
          <w:cantSplit/>
          <w:tblHeader/>
        </w:trPr>
        <w:tc>
          <w:tcPr>
            <w:tcW w:type="dxa" w:w="4493"/>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Learner code</w:t>
            </w:r>
          </w:p>
        </w:tc>
        <w:tc>
          <w:tcPr>
            <w:tcW w:type="dxa" w:w="5674"/>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What I observed</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A</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Draws equal groups accurately but adds the number of groups to the group size.</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B</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Makes the same equation error on two separate tasks.</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C</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Chooses the correct equation but counts objects twice.</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D</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Was absent for the check.</w:t>
            </w:r>
          </w:p>
        </w:tc>
      </w:tr>
    </w:tbl>
    <w:p>
      <w:pPr>
        <w:spacing w:after="40" w:before="0" w:line="72" w:lineRule="auto"/>
      </w:pPr>
      <w:r>
        <w:rPr>
          <w:sz w:val="4"/>
        </w:rPr>
      </w:r>
    </w:p>
    <w:p>
      <w:pPr>
        <w:spacing w:before="40" w:after="200"/>
        <w:ind w:left="317" w:right="173"/>
      </w:pPr>
      <w:r>
        <w:rPr>
          <w:b w:val="0"/>
          <w:i w:val="0"/>
        </w:rPr>
        <w:t>Suggest temporary groups from this evidence. Explain the next teaching target for each learner. I have one teacher, one assistant and two 15-minute blocks. Keep groups at four or fewer and show any need the schedule cannot cover.</w:t>
      </w:r>
    </w:p>
    <w:p>
      <w:r>
        <w:rPr>
          <w:b w:val="0"/>
          <w:i w:val="0"/>
        </w:rPr>
        <w:t>A useful proposal might group A and B around connecting groups to equations, examine C's counting, and put D in a check-needed queue. Treat that as a proposal to review against more evidence, availability and required supports.</w:t>
      </w:r>
    </w:p>
    <w:p>
      <w:pPr>
        <w:pStyle w:val="Heading2"/>
      </w:pPr>
      <w:r>
        <w:rPr>
          <w:b w:val="0"/>
          <w:i w:val="0"/>
        </w:rPr>
        <w:t>Ask for the actual intervention</w:t>
      </w:r>
    </w:p>
    <w:p>
      <w:pPr>
        <w:spacing w:before="40" w:after="200"/>
        <w:ind w:left="317" w:right="173"/>
      </w:pPr>
      <w:r>
        <w:rPr>
          <w:b w:val="0"/>
          <w:i w:val="0"/>
        </w:rPr>
        <w:t>Create an activity for each proposed target, with a model, practice, answers and a new check. Also explain how support for this need could look in Tiers 1, 2 and 3.</w:t>
      </w:r>
    </w:p>
    <w:tbl>
      <w:tblPr>
        <w:tblW w:type="auto" w:w="0"/>
        <w:jc w:val="center"/>
        <w:tblLayout w:type="fixed"/>
        <w:tblLook w:firstColumn="1" w:firstRow="1" w:lastColumn="0" w:lastRow="0" w:noHBand="0" w:noVBand="1" w:val="04A0"/>
      </w:tblPr>
      <w:tblGrid>
        <w:gridCol w:w="4493"/>
        <w:gridCol w:w="5674"/>
      </w:tblGrid>
      <w:tr>
        <w:trPr>
          <w:cantSplit/>
          <w:tblHeader/>
        </w:trPr>
        <w:tc>
          <w:tcPr>
            <w:tcW w:type="dxa" w:w="4493"/>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Support</w:t>
            </w:r>
          </w:p>
        </w:tc>
        <w:tc>
          <w:tcPr>
            <w:tcW w:type="dxa" w:w="5674"/>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What to ask for</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Tier 1</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Changes or supports within core teaching so students can engage with the goal.</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Tier 2</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Targeted supplemental instruction linked to the identified need and core work.</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Tier 3</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Intensive individualized support with the appropriate team, intervention approach and repeated review.</w:t>
            </w:r>
          </w:p>
        </w:tc>
      </w:tr>
    </w:tbl>
    <w:p>
      <w:pPr>
        <w:spacing w:after="40" w:before="0" w:line="72" w:lineRule="auto"/>
      </w:pPr>
      <w:r>
        <w:rPr>
          <w:sz w:val="4"/>
        </w:rPr>
      </w:r>
    </w:p>
    <w:p>
      <w:r>
        <w:rPr>
          <w:b w:val="0"/>
          <w:i w:val="0"/>
        </w:rPr>
        <w:t xml:space="preserve">These levels describe support. Plans should respond to evidence and preserve access to core learning. See </w:t>
      </w:r>
      <w:hyperlink r:id="rId18">
        <w:r>
          <w:rPr>
            <w:color w:val="1C5364"/>
            <w:u w:val="single"/>
          </w:rPr>
          <w:t xml:space="preserve">California MTSS guidance</w:t>
        </w:r>
      </w:hyperlink>
      <w:r>
        <w:rPr>
          <w:b w:val="0"/>
          <w:i w:val="0"/>
        </w:rPr>
        <w:t xml:space="preserve"> and </w:t>
      </w:r>
      <w:hyperlink r:id="rId19">
        <w:r>
          <w:rPr>
            <w:color w:val="1C5364"/>
            <w:u w:val="single"/>
          </w:rPr>
          <w:t xml:space="preserve">NCII's individualized intervention process</w:t>
        </w:r>
      </w:hyperlink>
      <w:r>
        <w:rPr>
          <w:b w:val="0"/>
          <w:i w:val="0"/>
        </w:rPr>
        <w:t>. A newly generated activity is not itself a validated intervention program.</w:t>
      </w:r>
    </w:p>
    <w:p>
      <w:r>
        <w:rPr>
          <w:b/>
          <w:i w:val="0"/>
        </w:rPr>
        <w:t>Keep the cycle going:</w:t>
      </w:r>
      <w:r>
        <w:rPr>
          <w:b w:val="0"/>
          <w:i w:val="0"/>
        </w:rPr>
        <w:t xml:space="preserve"> After teaching, share what students showed, what help they used and what instruction actually occurred. Ask what to continue, adapt or check next. Record the reason for each grouping change. If you use a named program, supply its guidance so training, sequence and dosage requirements can be preserved.</w:t>
      </w:r>
    </w:p>
    <w:p>
      <w:pPr>
        <w:pStyle w:val="Heading1"/>
        <w:pageBreakBefore/>
      </w:pPr>
      <w:bookmarkStart w:id="11" w:name="chapter_11"/>
      <w:r>
        <w:rPr>
          <w:b w:val="0"/>
          <w:i w:val="0"/>
        </w:rPr>
        <w:t>Make a quick check that changes your teaching</w:t>
      </w:r>
      <w:bookmarkEnd w:id="11"/>
    </w:p>
    <w:p>
      <w:r>
        <w:rPr>
          <w:b w:val="0"/>
          <w:i w:val="0"/>
        </w:rPr>
        <w:t>A useful exit ticket gives you evidence for a decision. Start by naming that decision, rather than asking only for a quiz.</w:t>
      </w:r>
    </w:p>
    <w:p>
      <w:pPr>
        <w:spacing w:before="40" w:after="200"/>
        <w:ind w:left="317" w:right="173"/>
      </w:pPr>
      <w:r>
        <w:rPr>
          <w:b w:val="0"/>
          <w:i w:val="0"/>
        </w:rPr>
        <w:t>I need to know whether students understand area as covering a surface or are adding side lengths. Make a three-minute check with two questions, a separate key and a next teaching move for the response patterns. Allow pointing and oral explanation.</w:t>
      </w:r>
    </w:p>
    <w:p>
      <w:pPr>
        <w:keepNext/>
      </w:pPr>
      <w:r>
        <w:rPr>
          <w:b/>
          <w:i w:val="0"/>
        </w:rPr>
        <w:t>An illustrated check</w:t>
      </w:r>
    </w:p>
    <w:p>
      <w:r>
        <w:rPr>
          <w:b w:val="0"/>
          <w:i w:val="0"/>
        </w:rPr>
        <w:t>Ask students to draw or inspect a rectangle three unit squares tall and five unit squares wide. Ask, “How many unit squares cover it? Show how you know.” The correct area is 15 square units. A response of 8 could reflect adding the side lengths, but it could also arise from misunderstanding the directions. A follow-up such as “Show me one row and how many equal rows cover the rectangle” can help distinguish those possibilities.</w:t>
      </w:r>
    </w:p>
    <w:p>
      <w:pPr>
        <w:keepNext/>
      </w:pPr>
      <w:r>
        <w:rPr>
          <w:b/>
          <w:i w:val="0"/>
        </w:rPr>
        <w:t>Ask for the next material too</w:t>
      </w:r>
    </w:p>
    <w:p>
      <w:pPr>
        <w:spacing w:before="40" w:after="200"/>
        <w:ind w:left="317" w:right="173"/>
      </w:pPr>
      <w:r>
        <w:rPr>
          <w:b w:val="0"/>
          <w:i w:val="0"/>
        </w:rPr>
        <w:t>For a student who adds the side lengths, give me a short model, a practice rectangle and a different final check. Keep the answers separate from the student page.</w:t>
      </w:r>
    </w:p>
    <w:p>
      <w:r>
        <w:rPr>
          <w:b w:val="0"/>
          <w:i w:val="0"/>
        </w:rPr>
        <w:t>When you have responses, you can share a deidentified summary or samples. Say how many students responded and what supports they used. Unanswered work is missing evidence; one response does not establish a permanent group or explain the cause of a difficulty.</w:t>
      </w:r>
    </w:p>
    <w:p>
      <w:pPr>
        <w:keepNext/>
      </w:pPr>
      <w:r>
        <w:rPr>
          <w:b/>
          <w:i w:val="0"/>
        </w:rPr>
        <w:t>Inspect the interpretation</w:t>
      </w:r>
    </w:p>
    <w:p>
      <w:pPr>
        <w:spacing w:before="40" w:after="200"/>
        <w:ind w:left="317" w:right="173"/>
      </w:pPr>
      <w:r>
        <w:rPr>
          <w:b w:val="0"/>
          <w:i w:val="0"/>
        </w:rPr>
        <w:t>What can these two questions tell me? What would still be uncertain? Which response would make you change the proposed next step?</w:t>
      </w:r>
    </w:p>
    <w:p>
      <w:r>
        <w:rPr>
          <w:b w:val="0"/>
          <w:i w:val="0"/>
        </w:rPr>
        <w:t xml:space="preserve">The </w:t>
      </w:r>
      <w:hyperlink r:id="rId20">
        <w:r>
          <w:rPr>
            <w:color w:val="1C5364"/>
            <w:u w:val="single"/>
          </w:rPr>
          <w:t xml:space="preserve">WWC guide on instructional data use</w:t>
        </w:r>
      </w:hyperlink>
      <w:r>
        <w:rPr>
          <w:b w:val="0"/>
          <w:i w:val="0"/>
        </w:rPr>
        <w:t xml:space="preserve"> recommends an ongoing improvement cycle; its first recommendation carries a Minimal Evidence rating. The guide does not validate this particular check, a fixed mastery percentage or Teacher Workbench's generated questions.</w:t>
      </w:r>
    </w:p>
    <w:p>
      <w:r>
        <w:rPr>
          <w:b/>
          <w:i w:val="0"/>
        </w:rPr>
        <w:t>Try it:</w:t>
      </w:r>
      <w:r>
        <w:rPr>
          <w:b w:val="0"/>
          <w:i w:val="0"/>
        </w:rPr>
        <w:t xml:space="preserve"> Replace one general question such as “Do you understand?” with a task that makes the relevant thinking visible. Look for a clear answer, a cautious interpretation and a feasible next teaching move.</w:t>
      </w:r>
    </w:p>
    <w:p>
      <w:pPr>
        <w:pStyle w:val="Heading1"/>
        <w:pageBreakBefore/>
      </w:pPr>
      <w:bookmarkStart w:id="12" w:name="chapter_12"/>
      <w:r>
        <w:rPr>
          <w:b w:val="0"/>
          <w:i w:val="0"/>
        </w:rPr>
        <w:t>Design assessments and rubrics</w:t>
      </w:r>
      <w:bookmarkEnd w:id="12"/>
    </w:p>
    <w:p>
      <w:r>
        <w:rPr>
          <w:b w:val="0"/>
          <w:i w:val="0"/>
        </w:rPr>
        <w:t>Start with the learning you want to see. Then ask for a task that makes that learning visible, an answer key or rubric, and examples of responses at different levels.</w:t>
      </w:r>
    </w:p>
    <w:p>
      <w:pPr>
        <w:spacing w:before="40" w:after="200"/>
        <w:ind w:left="317" w:right="173"/>
      </w:pPr>
      <w:r>
        <w:rPr>
          <w:b w:val="0"/>
          <w:i w:val="0"/>
        </w:rPr>
        <w:t>Create an assessment from these unit goals. Show which goal each question checks. Include complete questions, expected responses, a scoring guide and the access supports I supplied. Tell me what a result would help me decide to teach next.</w:t>
      </w:r>
    </w:p>
    <w:p>
      <w:r>
        <w:rPr>
          <w:b w:val="0"/>
          <w:i w:val="0"/>
        </w:rPr>
        <w:t>For a project across subjects:</w:t>
      </w:r>
    </w:p>
    <w:p>
      <w:pPr>
        <w:spacing w:before="40" w:after="200"/>
        <w:ind w:left="317" w:right="173"/>
      </w:pPr>
      <w:r>
        <w:rPr>
          <w:b w:val="0"/>
          <w:i w:val="0"/>
        </w:rPr>
        <w:t>Use our school-garden investigation for a science and mathematics assessment. Keep each subject's criteria visible. Add an individual check so I can see each learner's understanding within the group project.</w:t>
      </w:r>
    </w:p>
    <w:p>
      <w:pPr>
        <w:pStyle w:val="Heading2"/>
      </w:pPr>
      <w:r>
        <w:rPr>
          <w:b w:val="0"/>
          <w:i w:val="0"/>
        </w:rPr>
        <w:t>Use Bloom to examine the thinking</w:t>
      </w:r>
    </w:p>
    <w:p>
      <w:r>
        <w:rPr>
          <w:b w:val="0"/>
          <w:i w:val="0"/>
        </w:rPr>
        <w:t>A poster can involve copying or substantial reasoning. Ask about the task itself:</w:t>
      </w:r>
    </w:p>
    <w:p>
      <w:pPr>
        <w:spacing w:before="40" w:after="200"/>
        <w:ind w:left="317" w:right="173"/>
      </w:pPr>
      <w:r>
        <w:rPr>
          <w:b w:val="0"/>
          <w:i w:val="0"/>
        </w:rPr>
        <w:t>Students currently copy facts onto a poster. Analyze the thinking this requires using revised Bloom's taxonomy. Develop a version that asks students to compare explanations and defend a choice. Show a sample response.</w:t>
      </w:r>
    </w:p>
    <w:p>
      <w:r>
        <w:rPr>
          <w:b w:val="0"/>
          <w:i w:val="0"/>
        </w:rPr>
        <w:t xml:space="preserve">Bloom's revised framework considers both the kind of knowledge and the thinking involved. A verb alone does not settle the classification. </w:t>
      </w:r>
      <w:hyperlink r:id="rId21">
        <w:r>
          <w:rPr>
            <w:color w:val="1C5364"/>
            <w:u w:val="single"/>
          </w:rPr>
          <w:t xml:space="preserve">Krathwohl's overview</w:t>
        </w:r>
      </w:hyperlink>
      <w:r>
        <w:rPr>
          <w:b w:val="0"/>
          <w:i w:val="0"/>
        </w:rPr>
        <w:t xml:space="preserve"> explains the two dimensions. You can ask for deeper thinking while keeping essential knowledge and practice in the lesson.</w:t>
      </w:r>
    </w:p>
    <w:p>
      <w:pPr>
        <w:pStyle w:val="Heading2"/>
      </w:pPr>
      <w:r>
        <w:rPr>
          <w:b w:val="0"/>
          <w:i w:val="0"/>
        </w:rPr>
        <w:t>Use Marzano to clarify proficiency</w:t>
      </w:r>
    </w:p>
    <w:p>
      <w:pPr>
        <w:spacing w:before="40" w:after="200"/>
        <w:ind w:left="317" w:right="173"/>
      </w:pPr>
      <w:r>
        <w:rPr>
          <w:b w:val="0"/>
          <w:i w:val="0"/>
        </w:rPr>
        <w:t>Build an original Marzano-style proficiency scale and a rubric for this task. Explain what meeting the standard looks like. Give score examples, borderline responses and a short scoring practice for our team.</w:t>
      </w:r>
    </w:p>
    <w:p>
      <w:r>
        <w:rPr>
          <w:b w:val="0"/>
          <w:i w:val="0"/>
        </w:rPr>
        <w:t xml:space="preserve">A proficiency scale describes levels of learning; a task rubric explains how you will judge this particular work. In a conventional Marzano-style scale, 3 represents target content, 2 supporting content, and 4 a deeper application or extension. Review your local descriptors alongside the </w:t>
      </w:r>
      <w:hyperlink r:id="rId22">
        <w:r>
          <w:rPr>
            <w:color w:val="1C5364"/>
            <w:u w:val="single"/>
          </w:rPr>
          <w:t xml:space="preserve">publisher's example</w:t>
        </w:r>
      </w:hyperlink>
      <w:r>
        <w:rPr>
          <w:b w:val="0"/>
          <w:i w:val="0"/>
        </w:rPr>
        <w:t>.</w:t>
      </w:r>
    </w:p>
    <w:p>
      <w:r>
        <w:rPr>
          <w:b/>
          <w:i w:val="0"/>
        </w:rPr>
        <w:t>Try it:</w:t>
      </w:r>
      <w:r>
        <w:rPr>
          <w:b w:val="0"/>
          <w:i w:val="0"/>
        </w:rPr>
        <w:t xml:space="preserve"> Score two sample responses before reading Teacher Workbench's suggested scores. Discuss any disagreement. Improve the descriptors when reasonable scorers could interpret them differently. Keep required accommodations available and missing evidence separate from observed performance.</w:t>
      </w:r>
    </w:p>
    <w:p>
      <w:pPr>
        <w:pStyle w:val="Heading1"/>
        <w:pageBreakBefore/>
      </w:pPr>
      <w:bookmarkStart w:id="13" w:name="chapter_13"/>
      <w:r>
        <w:rPr>
          <w:b w:val="0"/>
          <w:i w:val="0"/>
        </w:rPr>
        <w:t>Make sense of scores and grades</w:t>
      </w:r>
      <w:bookmarkEnd w:id="13"/>
    </w:p>
    <w:p>
      <w:r>
        <w:rPr>
          <w:b w:val="0"/>
          <w:i w:val="0"/>
        </w:rPr>
        <w:t>You can start with “Help me understand this gradebook.” Attach a permitted export with learner codes and explain the columns. Include the grading rules you actually use. If you are considering a policy change, ask to compare alternatives and label them clearly.</w:t>
      </w:r>
    </w:p>
    <w:p>
      <w:pPr>
        <w:pStyle w:val="Heading2"/>
      </w:pPr>
      <w:r>
        <w:rPr>
          <w:b w:val="0"/>
          <w:i w:val="0"/>
        </w:rPr>
        <w:t>Follow a standard over time</w:t>
      </w:r>
    </w:p>
    <w:p>
      <w:r>
        <w:rPr>
          <w:b w:val="0"/>
          <w:i w:val="0"/>
        </w:rPr>
        <w:t xml:space="preserve">Suppose one learner's evidence is </w:t>
      </w:r>
      <w:r>
        <w:rPr>
          <w:b/>
          <w:i w:val="0"/>
        </w:rPr>
        <w:t>1, 2, missing, 3, 3</w:t>
      </w:r>
      <w:r>
        <w:rPr>
          <w:b w:val="0"/>
          <w:i w:val="0"/>
        </w:rPr>
        <w:t>. Ask:</w:t>
      </w:r>
    </w:p>
    <w:p>
      <w:pPr>
        <w:spacing w:before="40" w:after="200"/>
        <w:ind w:left="317" w:right="173"/>
      </w:pPr>
      <w:r>
        <w:rPr>
          <w:b w:val="0"/>
          <w:i w:val="0"/>
        </w:rPr>
        <w:t>Show the dated evidence for each standard. Explain how our latest-evidence rule summarizes it. Compare that with a different rule, show missing evidence, and identify what I should check next.</w:t>
      </w:r>
    </w:p>
    <w:p>
      <w:r>
        <w:rPr>
          <w:b w:val="0"/>
          <w:i w:val="0"/>
        </w:rPr>
        <w:t>The latest observed value is 3. The missing entry remains missing. A summary answers a particular policy question; it does not erase the earlier work. You can also ask about consistency, recent changes, reassessments, stale evidence and opportunities students have had to demonstrate learning.</w:t>
      </w:r>
    </w:p>
    <w:p>
      <w:r>
        <w:rPr>
          <w:b w:val="0"/>
          <w:i w:val="0"/>
        </w:rPr>
        <w:t xml:space="preserve">A </w:t>
      </w:r>
      <w:r>
        <w:rPr>
          <w:b w:val="0"/>
          <w:i/>
        </w:rPr>
        <w:t>standards rollup</w:t>
      </w:r>
      <w:r>
        <w:rPr>
          <w:b w:val="0"/>
          <w:i w:val="0"/>
        </w:rPr>
        <w:t xml:space="preserve"> combines several standards into a broader report. Ask which standards were included, which lack evidence, and whether any essential standard still needs attention. A strong result in one area should not quietly conceal an unknown result in another.</w:t>
      </w:r>
    </w:p>
    <w:p>
      <w:pPr>
        <w:pStyle w:val="Heading2"/>
      </w:pPr>
      <w:r>
        <w:rPr>
          <w:b w:val="0"/>
          <w:i w:val="0"/>
        </w:rPr>
        <w:t>Compare pre and post assessments</w:t>
      </w:r>
    </w:p>
    <w:p>
      <w:r>
        <w:rPr>
          <w:b w:val="0"/>
          <w:i w:val="0"/>
        </w:rPr>
        <w:t>These fictional scores use the same comparable scale:</w:t>
      </w:r>
    </w:p>
    <w:tbl>
      <w:tblPr>
        <w:tblW w:type="auto" w:w="0"/>
        <w:jc w:val="center"/>
        <w:tblLayout w:type="fixed"/>
        <w:tblLook w:firstColumn="1" w:firstRow="1" w:lastColumn="0" w:lastRow="0" w:noHBand="0" w:noVBand="1" w:val="04A0"/>
      </w:tblPr>
      <w:tblGrid>
        <w:gridCol w:w="1800"/>
        <w:gridCol w:w="1800"/>
        <w:gridCol w:w="1800"/>
        <w:gridCol w:w="4766"/>
      </w:tblGrid>
      <w:tr>
        <w:trPr>
          <w:cantSplit/>
          <w:tblHeader/>
        </w:trPr>
        <w:tc>
          <w:tcPr>
            <w:tcW w:type="dxa" w:w="1800"/>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Learner</w:t>
            </w:r>
          </w:p>
        </w:tc>
        <w:tc>
          <w:tcPr>
            <w:tcW w:type="dxa" w:w="1800"/>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Pre</w:t>
            </w:r>
          </w:p>
        </w:tc>
        <w:tc>
          <w:tcPr>
            <w:tcW w:type="dxa" w:w="1800"/>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Post</w:t>
            </w:r>
          </w:p>
        </w:tc>
        <w:tc>
          <w:tcPr>
            <w:tcW w:type="dxa" w:w="4766"/>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Change</w:t>
            </w:r>
          </w:p>
        </w:tc>
      </w:tr>
      <w:tr>
        <w:trPr>
          <w:cantSplit/>
        </w:trPr>
        <w:tc>
          <w:tcPr>
            <w:tcW w:type="dxa" w:w="1800"/>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A</w:t>
            </w:r>
          </w:p>
        </w:tc>
        <w:tc>
          <w:tcPr>
            <w:tcW w:type="dxa" w:w="1800"/>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4</w:t>
            </w:r>
          </w:p>
        </w:tc>
        <w:tc>
          <w:tcPr>
            <w:tcW w:type="dxa" w:w="1800"/>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7</w:t>
            </w:r>
          </w:p>
        </w:tc>
        <w:tc>
          <w:tcPr>
            <w:tcW w:type="dxa" w:w="4766"/>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+3</w:t>
            </w:r>
          </w:p>
        </w:tc>
      </w:tr>
      <w:tr>
        <w:trPr>
          <w:cantSplit/>
        </w:trPr>
        <w:tc>
          <w:tcPr>
            <w:tcW w:type="dxa" w:w="1800"/>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B</w:t>
            </w:r>
          </w:p>
        </w:tc>
        <w:tc>
          <w:tcPr>
            <w:tcW w:type="dxa" w:w="1800"/>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6</w:t>
            </w:r>
          </w:p>
        </w:tc>
        <w:tc>
          <w:tcPr>
            <w:tcW w:type="dxa" w:w="1800"/>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8</w:t>
            </w:r>
          </w:p>
        </w:tc>
        <w:tc>
          <w:tcPr>
            <w:tcW w:type="dxa" w:w="4766"/>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+2</w:t>
            </w:r>
          </w:p>
        </w:tc>
      </w:tr>
      <w:tr>
        <w:trPr>
          <w:cantSplit/>
        </w:trPr>
        <w:tc>
          <w:tcPr>
            <w:tcW w:type="dxa" w:w="1800"/>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C</w:t>
            </w:r>
          </w:p>
        </w:tc>
        <w:tc>
          <w:tcPr>
            <w:tcW w:type="dxa" w:w="1800"/>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5</w:t>
            </w:r>
          </w:p>
        </w:tc>
        <w:tc>
          <w:tcPr>
            <w:tcW w:type="dxa" w:w="1800"/>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Missing</w:t>
            </w:r>
          </w:p>
        </w:tc>
        <w:tc>
          <w:tcPr>
            <w:tcW w:type="dxa" w:w="4766"/>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Not available</w:t>
            </w:r>
          </w:p>
        </w:tc>
      </w:tr>
    </w:tbl>
    <w:p>
      <w:pPr>
        <w:spacing w:after="40" w:before="0" w:line="72" w:lineRule="auto"/>
      </w:pPr>
      <w:r>
        <w:rPr>
          <w:sz w:val="4"/>
        </w:rPr>
      </w:r>
    </w:p>
    <w:p>
      <w:r>
        <w:rPr>
          <w:b w:val="0"/>
          <w:i w:val="0"/>
        </w:rPr>
        <w:t xml:space="preserve">The two matched learners improved by an average of </w:t>
      </w:r>
      <w:r>
        <w:rPr>
          <w:b/>
          <w:i w:val="0"/>
        </w:rPr>
        <w:t>2.5 score points</w:t>
      </w:r>
      <w:r>
        <w:rPr>
          <w:b w:val="0"/>
          <w:i w:val="0"/>
        </w:rPr>
        <w:t>. C is excluded from that paired average, with the missing result reported. Ask Teacher Workbench to match learner codes, check score comparability and show the exclusions. A change alone does not establish what caused it. More advanced analysis can examine standardized changes and uncertainty when the data and design support them.</w:t>
      </w:r>
    </w:p>
    <w:p>
      <w:pPr>
        <w:pStyle w:val="Heading2"/>
      </w:pPr>
      <w:r>
        <w:rPr>
          <w:b w:val="0"/>
          <w:i w:val="0"/>
        </w:rPr>
        <w:t>Check a complex calculation</w:t>
      </w:r>
    </w:p>
    <w:p>
      <w:pPr>
        <w:spacing w:before="40" w:after="200"/>
        <w:ind w:left="317" w:right="173"/>
      </w:pPr>
      <w:r>
        <w:rPr>
          <w:b w:val="0"/>
          <w:i w:val="0"/>
        </w:rPr>
        <w:t>Apply these category weights, retake rules, exemptions, missing-score rules and rounding rules. Show the arithmetic for one learner before calculating everyone. Keep the source data unchanged.</w:t>
      </w:r>
    </w:p>
    <w:p>
      <w:r>
        <w:rPr>
          <w:b w:val="0"/>
          <w:i w:val="0"/>
        </w:rPr>
        <w:t>For example, if 82 counts for 80% of a course and a final counts for 20%, reaching 85 before rounding requires 97 on the final: 0.80 × 82 + 0.20 × 97 = 85.</w:t>
      </w:r>
    </w:p>
    <w:p>
      <w:r>
        <w:rPr>
          <w:b/>
          <w:i w:val="0"/>
        </w:rPr>
        <w:t>You decide:</w:t>
      </w:r>
      <w:r>
        <w:rPr>
          <w:b w:val="0"/>
          <w:i w:val="0"/>
        </w:rPr>
        <w:t xml:space="preserve"> Review the policy, evidence and calculations before official reporting. A proficiency score of 3 on a 0–4 scale is not automatically a percentage grade. </w:t>
      </w:r>
      <w:hyperlink r:id="rId23">
        <w:r>
          <w:rPr>
            <w:color w:val="1C5364"/>
            <w:u w:val="single"/>
          </w:rPr>
          <w:t xml:space="preserve">California Education Code section 49066</w:t>
        </w:r>
      </w:hyperlink>
      <w:r>
        <w:rPr>
          <w:b w:val="0"/>
          <w:i w:val="0"/>
        </w:rPr>
        <w:t xml:space="preserve"> addresses teacher grade determination and specified exceptions in district courses.</w:t>
      </w:r>
    </w:p>
    <w:p>
      <w:pPr>
        <w:pStyle w:val="Heading1"/>
        <w:pageBreakBefore/>
      </w:pPr>
      <w:bookmarkStart w:id="14" w:name="chapter_14"/>
      <w:r>
        <w:rPr>
          <w:b w:val="0"/>
          <w:i w:val="0"/>
        </w:rPr>
        <w:t>Go further with assessment data</w:t>
      </w:r>
      <w:bookmarkEnd w:id="14"/>
    </w:p>
    <w:p>
      <w:r>
        <w:rPr>
          <w:b w:val="0"/>
          <w:i w:val="0"/>
        </w:rPr>
        <w:t>You do not need a statistical model to begin examining student work. Often the next useful question is simply, “What do these responses show, and what should I teach next?”</w:t>
      </w:r>
    </w:p>
    <w:p>
      <w:pPr>
        <w:spacing w:before="40" w:after="200"/>
        <w:ind w:left="317" w:right="173"/>
      </w:pPr>
      <w:r>
        <w:rPr>
          <w:b w:val="0"/>
          <w:i w:val="0"/>
        </w:rPr>
        <w:t>Read these coded work samples against the rubric. Separate what you can see from possible explanations. Suggest feedback and one useful follow-up question for each pattern.</w:t>
      </w:r>
    </w:p>
    <w:p>
      <w:r>
        <w:rPr>
          <w:b w:val="0"/>
          <w:i w:val="0"/>
        </w:rPr>
        <w:t>If a response is incomplete or unreadable, ask for another opportunity to gather evidence. Avoid treating a plausible explanation as a confirmed misconception.</w:t>
      </w:r>
    </w:p>
    <w:p>
      <w:pPr>
        <w:pStyle w:val="Heading2"/>
      </w:pPr>
      <w:r>
        <w:rPr>
          <w:b w:val="0"/>
          <w:i w:val="0"/>
        </w:rPr>
        <w:t>When item analysis helps</w:t>
      </w:r>
    </w:p>
    <w:p>
      <w:r>
        <w:rPr>
          <w:b w:val="0"/>
          <w:i w:val="0"/>
        </w:rPr>
        <w:t>If a quiz result seems odd, Teacher Workbench can help examine the questions, key, distractors and student responses. Classical test theory, also called traditional test theory, includes ways to study item difficulty in the observed group, relationships among scores and measurement precision.</w:t>
      </w:r>
    </w:p>
    <w:p>
      <w:pPr>
        <w:spacing w:before="40" w:after="200"/>
        <w:ind w:left="317" w:right="173"/>
      </w:pPr>
      <w:r>
        <w:rPr>
          <w:b w:val="0"/>
          <w:i w:val="0"/>
        </w:rPr>
        <w:t>Check this quiz and answer key before analyzing the response file. Which items deserve a closer look? Explain the statistics in teacher language and show the data or exclusions behind them.</w:t>
      </w:r>
    </w:p>
    <w:p>
      <w:r>
        <w:rPr>
          <w:b w:val="0"/>
          <w:i w:val="0"/>
        </w:rPr>
        <w:t>An unusual item statistic is a reason to inspect an item and the teaching context. It is not an automatic instruction to delete the question or change the key.</w:t>
      </w:r>
    </w:p>
    <w:p>
      <w:pPr>
        <w:pStyle w:val="Heading2"/>
      </w:pPr>
      <w:r>
        <w:rPr>
          <w:b w:val="0"/>
          <w:i w:val="0"/>
        </w:rPr>
        <w:t>When IRT may be relevant</w:t>
      </w:r>
    </w:p>
    <w:p>
      <w:r>
        <w:rPr>
          <w:b w:val="0"/>
          <w:i w:val="0"/>
        </w:rPr>
        <w:t>Item response theory, or IRT, is a family of models for relationships between responses, item characteristics and a measured trait. It is more likely to be relevant to an item bank or a planned measurement study than to a small class quiz.</w:t>
      </w:r>
    </w:p>
    <w:p>
      <w:pPr>
        <w:spacing w:before="40" w:after="200"/>
        <w:ind w:left="317" w:right="173"/>
      </w:pPr>
      <w:r>
        <w:rPr>
          <w:b w:val="0"/>
          <w:i w:val="0"/>
        </w:rPr>
        <w:t>Is IRT appropriate for the question we are trying to answer? Explain the data, design and analysis tools we would need. If we are not ready, suggest the next useful step.</w:t>
      </w:r>
    </w:p>
    <w:p>
      <w:r>
        <w:rPr>
          <w:b w:val="0"/>
          <w:i w:val="0"/>
        </w:rPr>
        <w:t>The package includes an illustration using known example parameters. Estimating real item or learner parameters requires suitable data and an available, verified analysis environment. You can still get help deciding whether that work is warranted.</w:t>
      </w:r>
    </w:p>
    <w:p>
      <w:r>
        <w:rPr>
          <w:b/>
          <w:i w:val="0"/>
        </w:rPr>
        <w:t>Try it:</w:t>
      </w:r>
      <w:r>
        <w:rPr>
          <w:b w:val="0"/>
          <w:i w:val="0"/>
        </w:rPr>
        <w:t xml:space="preserve"> Write the instructional or reporting decision you need to make before requesting a statistic. Ask how the proposed analysis would help that decision, what assumptions it needs, and what it cannot tell you. The </w:t>
      </w:r>
      <w:hyperlink r:id="rId24">
        <w:r>
          <w:rPr>
            <w:color w:val="1C5364"/>
            <w:u w:val="single"/>
          </w:rPr>
          <w:t xml:space="preserve">Testing Standards</w:t>
        </w:r>
      </w:hyperlink>
      <w:r>
        <w:rPr>
          <w:b w:val="0"/>
          <w:i w:val="0"/>
        </w:rPr>
        <w:t xml:space="preserve"> are a reference for examining intended score interpretations and uses.</w:t>
      </w:r>
    </w:p>
    <w:p>
      <w:pPr>
        <w:pStyle w:val="Heading1"/>
        <w:pageBreakBefore/>
      </w:pPr>
      <w:bookmarkStart w:id="15" w:name="chapter_15"/>
      <w:r>
        <w:rPr>
          <w:b w:val="0"/>
          <w:i w:val="0"/>
        </w:rPr>
        <w:t>Support routines reflection and families</w:t>
      </w:r>
      <w:bookmarkEnd w:id="15"/>
    </w:p>
    <w:p>
      <w:r>
        <w:rPr>
          <w:b w:val="0"/>
          <w:i w:val="0"/>
        </w:rPr>
        <w:t>Describe a classroom routine in observable terms. Include what you have taught, what students do and the supports already available.</w:t>
      </w:r>
    </w:p>
    <w:p>
      <w:pPr>
        <w:spacing w:before="40" w:after="200"/>
        <w:ind w:left="317" w:right="173"/>
      </w:pPr>
      <w:r>
        <w:rPr>
          <w:b w:val="0"/>
          <w:i w:val="0"/>
        </w:rPr>
        <w:t>Returning from recess takes about eight minutes. Students often ask what to do next. Help me teach a clear entry routine using our expectations of Safe, Respectful and Responsible. Make the visual steps, exact teaching language and a simple observation record. Keep our visual schedule and chunked directions.</w:t>
      </w:r>
    </w:p>
    <w:p>
      <w:r>
        <w:rPr>
          <w:b w:val="0"/>
          <w:i w:val="0"/>
        </w:rPr>
        <w:t xml:space="preserve">You should receive a routine you can teach and rehearse, reminders, specific feedback and a way to see whether it is working. </w:t>
      </w:r>
      <w:hyperlink r:id="rId25">
        <w:r>
          <w:rPr>
            <w:color w:val="1C5364"/>
            <w:u w:val="single"/>
          </w:rPr>
          <w:t xml:space="preserve">Classroom PBIS guidance</w:t>
        </w:r>
      </w:hyperlink>
      <w:r>
        <w:rPr>
          <w:b w:val="0"/>
          <w:i w:val="0"/>
        </w:rPr>
        <w:t xml:space="preserve"> offers a framework for positive supports. Teacher Workbench can also help examine where SEL or restorative approaches fit your purpose. Individual plans and school procedures still need the appropriate team and actual local information.</w:t>
      </w:r>
    </w:p>
    <w:p>
      <w:pPr>
        <w:pStyle w:val="Heading2"/>
      </w:pPr>
      <w:r>
        <w:rPr>
          <w:b w:val="0"/>
          <w:i w:val="0"/>
        </w:rPr>
        <w:t>Give students a useful reflection tool</w:t>
      </w:r>
    </w:p>
    <w:p>
      <w:pPr>
        <w:spacing w:before="40" w:after="200"/>
        <w:ind w:left="317" w:right="173"/>
      </w:pPr>
      <w:r>
        <w:rPr>
          <w:b w:val="0"/>
          <w:i w:val="0"/>
        </w:rPr>
        <w:t>Make a private reflection sheet students can complete through writing, drawing or a short conversation. Ask what they tried, what evidence they noticed, what help they used and what they will do next. Include one completed example.</w:t>
      </w:r>
    </w:p>
    <w:p>
      <w:r>
        <w:rPr>
          <w:b w:val="0"/>
          <w:i w:val="0"/>
        </w:rPr>
        <w:t>For an academic task, a student might write: “I drew equal groups. My picture has four groups of three. I checked the total by counting each group once. Next time I will explain what each number means.”</w:t>
      </w:r>
    </w:p>
    <w:p>
      <w:r>
        <w:rPr>
          <w:b w:val="0"/>
          <w:i w:val="0"/>
        </w:rPr>
        <w:t>Keep the learning evidence distinct from confidence or completion. A student feeling confident and a student demonstrating the goal are useful but different observations.</w:t>
      </w:r>
    </w:p>
    <w:p>
      <w:pPr>
        <w:pStyle w:val="Heading2"/>
      </w:pPr>
      <w:r>
        <w:rPr>
          <w:b w:val="0"/>
          <w:i w:val="0"/>
        </w:rPr>
        <w:t>Invite family knowledge</w:t>
      </w:r>
    </w:p>
    <w:p>
      <w:pPr>
        <w:spacing w:before="40" w:after="200"/>
        <w:ind w:left="317" w:right="173"/>
      </w:pPr>
      <w:r>
        <w:rPr>
          <w:b w:val="0"/>
          <w:i w:val="0"/>
        </w:rPr>
        <w:t>Draft a short family message about this learning goal. Use the classroom facts I provide, explain one practice idea and ask what the family notices at home. Give me a version I can review before sending.</w:t>
      </w:r>
    </w:p>
    <w:p>
      <w:r>
        <w:rPr>
          <w:b w:val="0"/>
          <w:i w:val="0"/>
        </w:rPr>
        <w:t>You can ask for translation, a conference agenda or a less formal tone. Review names, facts, language and meaning before sharing. Sending is a separate action that needs your instruction.</w:t>
      </w:r>
    </w:p>
    <w:p>
      <w:r>
        <w:rPr>
          <w:b/>
          <w:i w:val="0"/>
        </w:rPr>
        <w:t>Try it:</w:t>
      </w:r>
      <w:r>
        <w:rPr>
          <w:b w:val="0"/>
          <w:i w:val="0"/>
        </w:rPr>
        <w:t xml:space="preserve"> Choose one routine or reflection question. After using it, bring back what happened and ask for one targeted adjustment. Keep any student record private and follow your school's approved practices for sharing information.</w:t>
      </w:r>
    </w:p>
    <w:p>
      <w:pPr>
        <w:pStyle w:val="Heading1"/>
        <w:pageBreakBefore/>
      </w:pPr>
      <w:bookmarkStart w:id="16" w:name="chapter_16"/>
      <w:r>
        <w:rPr>
          <w:b w:val="0"/>
          <w:i w:val="0"/>
        </w:rPr>
        <w:t>Choose how technology and AI fit</w:t>
      </w:r>
      <w:bookmarkEnd w:id="16"/>
    </w:p>
    <w:p>
      <w:r>
        <w:rPr>
          <w:b w:val="0"/>
          <w:i w:val="0"/>
        </w:rPr>
        <w:t>Using Teacher Workbench for your own preparation does not require students to use AI. Tell it the role you want technology to play.</w:t>
      </w:r>
    </w:p>
    <w:tbl>
      <w:tblPr>
        <w:tblW w:type="auto" w:w="0"/>
        <w:jc w:val="center"/>
        <w:tblLayout w:type="fixed"/>
        <w:tblLook w:firstColumn="1" w:firstRow="1" w:lastColumn="0" w:lastRow="0" w:noHBand="0" w:noVBand="1" w:val="04A0"/>
      </w:tblPr>
      <w:tblGrid>
        <w:gridCol w:w="4493"/>
        <w:gridCol w:w="5674"/>
      </w:tblGrid>
      <w:tr>
        <w:trPr>
          <w:cantSplit/>
          <w:tblHeader/>
        </w:trPr>
        <w:tc>
          <w:tcPr>
            <w:tcW w:type="dxa" w:w="4493"/>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Your preference</w:t>
            </w:r>
          </w:p>
        </w:tc>
        <w:tc>
          <w:tcPr>
            <w:tcW w:type="dxa" w:w="5674"/>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A request you can use</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Teacher preparation only</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“Help me plan and make materials. Students will work on paper and will not use AI.”</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Learn about AI without accounts</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“Create an unplugged activity about checking a generated claim, with examples and an independent check.”</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Teacher demonstration</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“Plan a demonstration I control. Include what students predict, question and verify.”</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Approved student use</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“Use our approved tool and policy. Show what students must think through themselves and how I will assess it.”</w:t>
            </w:r>
          </w:p>
        </w:tc>
      </w:tr>
    </w:tbl>
    <w:p>
      <w:pPr>
        <w:spacing w:after="40" w:before="0" w:line="72" w:lineRule="auto"/>
      </w:pPr>
      <w:r>
        <w:rPr>
          <w:sz w:val="4"/>
        </w:rPr>
      </w:r>
    </w:p>
    <w:p>
      <w:r>
        <w:rPr>
          <w:b w:val="0"/>
          <w:i w:val="0"/>
        </w:rPr>
        <w:t>Choose one approach and change it when you need to. You do not have to try the more technical options to become a proficient Teacher Workbench user.</w:t>
      </w:r>
    </w:p>
    <w:p>
      <w:pPr>
        <w:pStyle w:val="Heading2"/>
      </w:pPr>
      <w:r>
        <w:rPr>
          <w:b w:val="0"/>
          <w:i w:val="0"/>
        </w:rPr>
        <w:t>Make the learning purpose clear</w:t>
      </w:r>
    </w:p>
    <w:p>
      <w:pPr>
        <w:spacing w:before="40" w:after="200"/>
        <w:ind w:left="317" w:right="173"/>
      </w:pPr>
      <w:r>
        <w:rPr>
          <w:b w:val="0"/>
          <w:i w:val="0"/>
        </w:rPr>
        <w:t>Compare a paper version and a digital version of this activity. What would the technology help students do? What new barriers might it introduce? Give me a practical choice for our available devices and time.</w:t>
      </w:r>
    </w:p>
    <w:p>
      <w:r>
        <w:rPr>
          <w:b w:val="0"/>
          <w:i w:val="0"/>
        </w:rPr>
        <w:t xml:space="preserve">The suite can use ISTE standards and frameworks such as </w:t>
      </w:r>
      <w:hyperlink r:id="rId26">
        <w:r>
          <w:rPr>
            <w:color w:val="1C5364"/>
            <w:u w:val="single"/>
          </w:rPr>
          <w:t xml:space="preserve">TPACK</w:t>
        </w:r>
      </w:hyperlink>
      <w:r>
        <w:rPr>
          <w:b w:val="0"/>
          <w:i w:val="0"/>
        </w:rPr>
        <w:t xml:space="preserve"> and </w:t>
      </w:r>
      <w:hyperlink r:id="rId27">
        <w:r>
          <w:rPr>
            <w:color w:val="1C5364"/>
            <w:u w:val="single"/>
          </w:rPr>
          <w:t xml:space="preserve">Triple E</w:t>
        </w:r>
      </w:hyperlink>
      <w:r>
        <w:rPr>
          <w:b w:val="0"/>
          <w:i w:val="0"/>
        </w:rPr>
        <w:t xml:space="preserve"> to examine the relationship among the learning goal, teaching approach and technology. You can ask for the explanation in everyday language. </w:t>
      </w:r>
      <w:hyperlink r:id="rId28">
        <w:r>
          <w:rPr>
            <w:color w:val="1C5364"/>
            <w:u w:val="single"/>
          </w:rPr>
          <w:t xml:space="preserve">ISTE's educator standards</w:t>
        </w:r>
      </w:hyperlink>
      <w:r>
        <w:rPr>
          <w:b w:val="0"/>
          <w:i w:val="0"/>
        </w:rPr>
        <w:t xml:space="preserve"> provide one starting point.</w:t>
      </w:r>
    </w:p>
    <w:p>
      <w:r>
        <w:rPr>
          <w:b w:val="0"/>
          <w:i w:val="0"/>
        </w:rPr>
        <w:t xml:space="preserve">For AI activities, </w:t>
      </w:r>
      <w:hyperlink r:id="rId29">
        <w:r>
          <w:rPr>
            <w:color w:val="1C5364"/>
            <w:u w:val="single"/>
          </w:rPr>
          <w:t xml:space="preserve">UNESCO's teacher AI competency framework</w:t>
        </w:r>
      </w:hyperlink>
      <w:r>
        <w:rPr>
          <w:b w:val="0"/>
          <w:i w:val="0"/>
        </w:rPr>
        <w:t xml:space="preserve"> is another reference you can explore. For claims about new tools or their learning benefits, ask for a current check:</w:t>
      </w:r>
    </w:p>
    <w:p>
      <w:pPr>
        <w:spacing w:before="40" w:after="200"/>
        <w:ind w:left="317" w:right="173"/>
      </w:pPr>
      <w:r>
        <w:rPr>
          <w:b w:val="0"/>
          <w:i w:val="0"/>
        </w:rPr>
        <w:t>Check recent research relevant to this grade and task. Explain what was studied, what remains uncertain and whether the findings apply to this use. Verify the tool conditions and the school policy I supplied.</w:t>
      </w:r>
    </w:p>
    <w:p>
      <w:r>
        <w:rPr>
          <w:b/>
          <w:i w:val="0"/>
        </w:rPr>
        <w:t>Look for:</w:t>
      </w:r>
      <w:r>
        <w:rPr>
          <w:b w:val="0"/>
          <w:i w:val="0"/>
        </w:rPr>
        <w:t xml:space="preserve"> A reason to use the technology, a clear account of the student's contribution, a way to assess learning, and a workable plan if the technology is unavailable. A polished AI-generated product is not enough evidence of what a student independently knows.</w:t>
      </w:r>
    </w:p>
    <w:p>
      <w:r>
        <w:rPr>
          <w:b/>
          <w:i w:val="0"/>
        </w:rPr>
        <w:t>Try it:</w:t>
      </w:r>
      <w:r>
        <w:rPr>
          <w:b w:val="0"/>
          <w:i w:val="0"/>
        </w:rPr>
        <w:t xml:space="preserve"> Keep the learning goal fixed and compare two delivery options. Choose based on the learning and access they support, not how impressive the tool appears.</w:t>
      </w:r>
    </w:p>
    <w:p>
      <w:pPr>
        <w:pStyle w:val="Heading1"/>
        <w:pageBreakBefore/>
      </w:pPr>
      <w:bookmarkStart w:id="17" w:name="chapter_17"/>
      <w:r>
        <w:rPr>
          <w:b w:val="0"/>
          <w:i w:val="0"/>
        </w:rPr>
        <w:t>Turn the work into a usable document</w:t>
      </w:r>
      <w:bookmarkEnd w:id="17"/>
    </w:p>
    <w:p>
      <w:r>
        <w:rPr>
          <w:b w:val="0"/>
          <w:i w:val="0"/>
        </w:rPr>
        <w:t>Once the content works, ask for the form you need. Name the audience, the format and a few practical details such as page size, print limits, writing space or who will edit it.</w:t>
      </w:r>
    </w:p>
    <w:p>
      <w:pPr>
        <w:spacing w:before="40" w:after="200"/>
        <w:ind w:left="317" w:right="173"/>
      </w:pPr>
      <w:r>
        <w:rPr>
          <w:b w:val="0"/>
          <w:i w:val="0"/>
        </w:rPr>
        <w:t>Make this a two-page student handout with large writing spaces and black-and-white printing. Put the answer key and sources in a separate teacher section. Give me an editable file and a printable version if those formats are available.</w:t>
      </w:r>
    </w:p>
    <w:p>
      <w:r>
        <w:rPr>
          <w:b w:val="0"/>
          <w:i w:val="0"/>
        </w:rPr>
        <w:t>Open the resulting file. Check its pages, answers, labels and layout before sharing. A download link is useful only when it leads to the artifact you requested.</w:t>
      </w:r>
    </w:p>
    <w:p>
      <w:pPr>
        <w:pStyle w:val="Heading2"/>
      </w:pPr>
      <w:r>
        <w:rPr>
          <w:b w:val="0"/>
          <w:i w:val="0"/>
        </w:rPr>
        <w:t>Google Sheets</w:t>
      </w:r>
    </w:p>
    <w:p>
      <w:pPr>
        <w:spacing w:before="40" w:after="200"/>
        <w:ind w:left="317" w:right="173"/>
      </w:pPr>
      <w:r>
        <w:rPr>
          <w:b w:val="0"/>
          <w:i w:val="0"/>
        </w:rPr>
        <w:t>Create a private progress tracker with dates, tasks, results, missing-evidence labels and a simple graph. Make a Google Sheet if the available connection supports it; otherwise give me an editable spreadsheet file I can upload.</w:t>
      </w:r>
    </w:p>
    <w:p>
      <w:r>
        <w:rPr>
          <w:b w:val="0"/>
          <w:i w:val="0"/>
        </w:rPr>
        <w:t>A native Google Sheet is a document in Google Sheets with its own link. An XLSX is an editable workbook file; a CSV is a simpler table. If you import a file, check formulas, formatting and charts in the destination. Keep records for different students in appropriately separate files and access arrangements; hidden tabs do not make a shared class workbook private to each student.</w:t>
      </w:r>
    </w:p>
    <w:p>
      <w:pPr>
        <w:pStyle w:val="Heading2"/>
      </w:pPr>
      <w:r>
        <w:rPr>
          <w:b w:val="0"/>
          <w:i w:val="0"/>
        </w:rPr>
        <w:t>Canva</w:t>
      </w:r>
    </w:p>
    <w:p>
      <w:pPr>
        <w:spacing w:before="40" w:after="200"/>
        <w:ind w:left="317" w:right="173"/>
      </w:pPr>
      <w:r>
        <w:rPr>
          <w:b w:val="0"/>
          <w:i w:val="0"/>
        </w:rPr>
        <w:t>Turn this activity into an editable Canva resource with two student pages and a separate key. If a Canva connection cannot create it here, give me a suitable editable file and tell me what I still need to do after importing it.</w:t>
      </w:r>
    </w:p>
    <w:p>
      <w:r>
        <w:rPr>
          <w:b w:val="0"/>
          <w:i w:val="0"/>
        </w:rPr>
        <w:t>A Canva design link and an importable file are different results. After an import, inspect editability, page layout and any diagrams. A PDF can be useful for printing or previewing; it is not evidence that an editable Canva design has been created.</w:t>
      </w:r>
    </w:p>
    <w:p>
      <w:pPr>
        <w:keepNext/>
      </w:pPr>
      <w:r>
        <w:rPr>
          <w:b/>
          <w:i w:val="0"/>
        </w:rPr>
        <w:t>If no file appears, ask:</w:t>
      </w:r>
    </w:p>
    <w:p>
      <w:pPr>
        <w:spacing w:before="40" w:after="200"/>
        <w:ind w:left="317" w:right="173"/>
      </w:pPr>
      <w:r>
        <w:rPr>
          <w:b w:val="0"/>
          <w:i w:val="0"/>
        </w:rPr>
        <w:t>Create the complete file now if file tools are available. If they are not, give me the finished content in a form I can copy and tell me the remaining step.</w:t>
      </w:r>
    </w:p>
    <w:p>
      <w:r>
        <w:rPr>
          <w:b w:val="0"/>
          <w:i w:val="0"/>
        </w:rPr>
        <w:t>Teacher Workbench's ability to create native documents depends on the connected tools and permissions in your app. You can complete the content first and choose the file route afterward.</w:t>
      </w:r>
    </w:p>
    <w:p>
      <w:pPr>
        <w:pStyle w:val="Heading1"/>
        <w:pageBreakBefore/>
      </w:pPr>
      <w:bookmarkStart w:id="18" w:name="chapter_18"/>
      <w:r>
        <w:rPr>
          <w:b w:val="0"/>
          <w:i w:val="0"/>
        </w:rPr>
        <w:t>Set up work that repeats</w:t>
      </w:r>
      <w:bookmarkEnd w:id="18"/>
    </w:p>
    <w:p>
      <w:r>
        <w:rPr>
          <w:b w:val="0"/>
          <w:i w:val="0"/>
        </w:rPr>
        <w:t>Once a routine produces useful results, you may want it repeated: a weekly planning draft, a review of a deidentified progress tracker, or a periodic search for relevant new research. Teacher Workbench can prepare the job and use an available scheduler when you ask it to activate one.</w:t>
      </w:r>
    </w:p>
    <w:p>
      <w:pPr>
        <w:keepNext/>
      </w:pPr>
      <w:r>
        <w:rPr>
          <w:b/>
          <w:i w:val="0"/>
        </w:rPr>
        <w:t>Prepare it first</w:t>
      </w:r>
    </w:p>
    <w:p>
      <w:pPr>
        <w:spacing w:before="40" w:after="200"/>
        <w:ind w:left="317" w:right="173"/>
      </w:pPr>
      <w:r>
        <w:rPr>
          <w:b w:val="0"/>
          <w:i w:val="0"/>
        </w:rPr>
        <w:t>Help me set up a Friday planning routine using this curriculum folder and pacing guide. Each run should draft next week's lessons and identify missing materials. Show me one sample before scheduling it.</w:t>
      </w:r>
    </w:p>
    <w:p>
      <w:r>
        <w:rPr>
          <w:b w:val="0"/>
          <w:i w:val="0"/>
        </w:rPr>
        <w:t>Review that sample as you would any teaching resource. Fix the scope, format or source choices while they are easy to see.</w:t>
      </w:r>
    </w:p>
    <w:p>
      <w:pPr>
        <w:keepNext/>
      </w:pPr>
      <w:r>
        <w:rPr>
          <w:b/>
          <w:i w:val="0"/>
        </w:rPr>
        <w:t>Then give the timing and destination</w:t>
      </w:r>
    </w:p>
    <w:p>
      <w:pPr>
        <w:spacing w:before="40" w:after="200"/>
        <w:ind w:left="317" w:right="173"/>
      </w:pPr>
      <w:r>
        <w:rPr>
          <w:b w:val="0"/>
          <w:i w:val="0"/>
        </w:rPr>
        <w:t>Run it Fridays at 3:30 p.m. in America/Los_Angeles for the next four weeks. Return the draft privately for my review. Use the school calendar I supplied to identify closures.</w:t>
      </w:r>
    </w:p>
    <w:p>
      <w:r>
        <w:rPr>
          <w:b w:val="0"/>
          <w:i w:val="0"/>
        </w:rPr>
        <w:t xml:space="preserve">Teacher Workbench should check that it can read the required services and that future runs can reach the files. It should then report an actual task status and next run. A written plan or calendar draft alone does not mean anything has been scheduled. </w:t>
      </w:r>
      <w:hyperlink r:id="rId30">
        <w:r>
          <w:rPr>
            <w:color w:val="1C5364"/>
            <w:u w:val="single"/>
          </w:rPr>
          <w:t xml:space="preserve">ChatGPT's scheduling options</w:t>
        </w:r>
      </w:hyperlink>
      <w:r>
        <w:rPr>
          <w:b w:val="0"/>
          <w:i w:val="0"/>
        </w:rPr>
        <w:t xml:space="preserve"> vary by app, plan and workspace.</w:t>
      </w:r>
    </w:p>
    <w:p>
      <w:pPr>
        <w:keepNext/>
      </w:pPr>
      <w:r>
        <w:rPr>
          <w:b/>
          <w:i w:val="0"/>
        </w:rPr>
        <w:t>Keep the routine manageable</w:t>
      </w:r>
    </w:p>
    <w:p>
      <w:r>
        <w:rPr>
          <w:b w:val="0"/>
          <w:i w:val="0"/>
        </w:rPr>
        <w:t>Review the first few results. If a source was unavailable or no new evidence arrived, the report should say so. An old result should not be presented as this week's finding. School holidays need your calendar; “every weekday” is not automatically “every school day.”</w:t>
      </w:r>
    </w:p>
    <w:p>
      <w:r>
        <w:rPr>
          <w:b w:val="0"/>
          <w:i w:val="0"/>
        </w:rPr>
        <w:t>You can say “Pause that planning task,” “Change it to Thursday,” or “Stop after this month.” Look for confirmation that the actual task changed. If your system has no scheduler, keep the finished prompt and run it manually.</w:t>
      </w:r>
    </w:p>
    <w:p>
      <w:r>
        <w:rPr>
          <w:b/>
          <w:i w:val="0"/>
        </w:rPr>
        <w:t>Try it:</w:t>
      </w:r>
      <w:r>
        <w:rPr>
          <w:b w:val="0"/>
          <w:i w:val="0"/>
        </w:rPr>
        <w:t xml:space="preserve"> Choose a task you already repeat. Write down the inputs, result, frequency and one condition that should stop the work. Make one good sample before asking to automate the routine. Sharing the Teacher Workbench package does not share your private files, connections or personal schedules.</w:t>
      </w:r>
    </w:p>
    <w:p>
      <w:pPr>
        <w:pStyle w:val="Heading1"/>
        <w:pageBreakBefore/>
      </w:pPr>
      <w:bookmarkStart w:id="19" w:name="chapter_19"/>
      <w:r>
        <w:rPr>
          <w:b w:val="0"/>
          <w:i w:val="0"/>
        </w:rPr>
        <w:t>Know when a result is ready</w:t>
      </w:r>
      <w:bookmarkEnd w:id="19"/>
    </w:p>
    <w:p>
      <w:r>
        <w:rPr>
          <w:b w:val="0"/>
          <w:i w:val="0"/>
        </w:rPr>
        <w:t>A confident tone and a tidy layout do not tell you whether an answer fits. Read the result with your classroom and the intended learning in mind.</w:t>
      </w:r>
    </w:p>
    <w:p>
      <w:r>
        <w:rPr>
          <w:b w:val="0"/>
          <w:i w:val="0"/>
        </w:rPr>
        <w:t>Use these five questions as a quick review:</w:t>
      </w:r>
    </w:p>
    <w:p>
      <w:pPr>
        <w:ind w:left="288" w:hanging="288"/>
      </w:pPr>
      <w:r>
        <w:t xml:space="preserve">1. </w:t>
      </w:r>
      <w:r>
        <w:rPr>
          <w:b/>
          <w:i w:val="0"/>
        </w:rPr>
        <w:t>Does it fit?</w:t>
      </w:r>
      <w:r>
        <w:rPr>
          <w:b w:val="0"/>
          <w:i w:val="0"/>
        </w:rPr>
        <w:t xml:space="preserve"> Check the grade, learning goal, curriculum version, time, materials and required supports.</w:t>
      </w:r>
    </w:p>
    <w:p>
      <w:pPr>
        <w:ind w:left="288" w:hanging="288"/>
      </w:pPr>
      <w:r>
        <w:t xml:space="preserve">2. </w:t>
      </w:r>
      <w:r>
        <w:rPr>
          <w:b/>
          <w:i w:val="0"/>
        </w:rPr>
        <w:t>Is it complete?</w:t>
      </w:r>
      <w:r>
        <w:rPr>
          <w:b w:val="0"/>
          <w:i w:val="0"/>
        </w:rPr>
        <w:t xml:space="preserve"> Look for actual tasks, clear directions, answers or criteria, and the files you requested.</w:t>
      </w:r>
    </w:p>
    <w:p>
      <w:pPr>
        <w:ind w:left="288" w:hanging="288"/>
      </w:pPr>
      <w:r>
        <w:t xml:space="preserve">3. </w:t>
      </w:r>
      <w:r>
        <w:rPr>
          <w:b/>
          <w:i w:val="0"/>
        </w:rPr>
        <w:t>Is it accurate?</w:t>
      </w:r>
      <w:r>
        <w:rPr>
          <w:b w:val="0"/>
          <w:i w:val="0"/>
        </w:rPr>
        <w:t xml:space="preserve"> Work an example, inspect a diagram, and check any calculation that drives a decision.</w:t>
      </w:r>
    </w:p>
    <w:p>
      <w:pPr>
        <w:ind w:left="288" w:hanging="288"/>
      </w:pPr>
      <w:r>
        <w:t xml:space="preserve">4. </w:t>
      </w:r>
      <w:r>
        <w:rPr>
          <w:b/>
          <w:i w:val="0"/>
        </w:rPr>
        <w:t>What supports the advice?</w:t>
      </w:r>
      <w:r>
        <w:rPr>
          <w:b w:val="0"/>
          <w:i w:val="0"/>
        </w:rPr>
        <w:t xml:space="preserve"> Open a key source. Does it support this claim for a relevant population or setting?</w:t>
      </w:r>
    </w:p>
    <w:p>
      <w:pPr>
        <w:ind w:left="288" w:hanging="288"/>
      </w:pPr>
      <w:r>
        <w:t xml:space="preserve">5. </w:t>
      </w:r>
      <w:r>
        <w:rPr>
          <w:b/>
          <w:i w:val="0"/>
        </w:rPr>
        <w:t>What will I look for next?</w:t>
      </w:r>
      <w:r>
        <w:rPr>
          <w:b w:val="0"/>
          <w:i w:val="0"/>
        </w:rPr>
        <w:t xml:space="preserve"> Identify the student response or other evidence that would help you continue or change the plan.</w:t>
      </w:r>
    </w:p>
    <w:p>
      <w:pPr>
        <w:keepNext/>
      </w:pPr>
      <w:r>
        <w:rPr>
          <w:b/>
          <w:i w:val="0"/>
        </w:rPr>
        <w:t>When something is uncertain, ask directly:</w:t>
      </w:r>
    </w:p>
    <w:p>
      <w:pPr>
        <w:spacing w:before="40" w:after="200"/>
        <w:ind w:left="317" w:right="173"/>
      </w:pPr>
      <w:r>
        <w:rPr>
          <w:b w:val="0"/>
          <w:i w:val="0"/>
        </w:rPr>
        <w:t>Check this answer with me. Which statements came from my documents, which came from research, and which are your proposed ideas? Verify the standard and source links. Fix any task or answer that does not match the goal.</w:t>
      </w:r>
    </w:p>
    <w:p>
      <w:pPr>
        <w:pStyle w:val="Heading2"/>
      </w:pPr>
      <w:r>
        <w:rPr>
          <w:b w:val="0"/>
          <w:i w:val="0"/>
        </w:rPr>
        <w:t>Read sources for their purpose</w:t>
      </w:r>
    </w:p>
    <w:p>
      <w:hyperlink r:id="rId13">
        <w:r>
          <w:rPr>
            <w:color w:val="1C5364"/>
            <w:u w:val="single"/>
          </w:rPr>
          <w:t xml:space="preserve">California content standards</w:t>
        </w:r>
      </w:hyperlink>
      <w:r>
        <w:rPr>
          <w:b w:val="0"/>
          <w:i w:val="0"/>
        </w:rPr>
        <w:t xml:space="preserve"> help identify expected learning. Curriculum frameworks offer implementation guidance. </w:t>
      </w:r>
      <w:hyperlink r:id="rId31">
        <w:r>
          <w:rPr>
            <w:color w:val="1C5364"/>
            <w:u w:val="single"/>
          </w:rPr>
          <w:t xml:space="preserve">WWC practice guides</w:t>
        </w:r>
      </w:hyperlink>
      <w:r>
        <w:rPr>
          <w:b w:val="0"/>
          <w:i w:val="0"/>
        </w:rPr>
        <w:t xml:space="preserve"> describe recommendations and their evidence. A citation to one source does not automatically establish all three.</w:t>
      </w:r>
    </w:p>
    <w:p>
      <w:r>
        <w:rPr>
          <w:b w:val="0"/>
          <w:i w:val="0"/>
        </w:rPr>
        <w:t xml:space="preserve">For professional learning, you can ask for a coaching goal or PLC inquiry connected to the </w:t>
      </w:r>
      <w:hyperlink r:id="rId32">
        <w:r>
          <w:rPr>
            <w:color w:val="1C5364"/>
            <w:u w:val="single"/>
          </w:rPr>
          <w:t xml:space="preserve">California Standards for the Teaching Profession</w:t>
        </w:r>
      </w:hyperlink>
      <w:r>
        <w:rPr>
          <w:b w:val="0"/>
          <w:i w:val="0"/>
        </w:rPr>
        <w:t>. For an Education Code question, describe the facts and request the exact current section, any applicable local policy, and the limits of the answer.</w:t>
      </w:r>
    </w:p>
    <w:p>
      <w:r>
        <w:rPr>
          <w:b w:val="0"/>
          <w:i w:val="0"/>
        </w:rPr>
        <w:t>For a closer review, ask: “Review the actual student pages and teacher key using the relevant subject criteria. Show any errors, the exact place you found them and a correction.” Teacher Workbench can return a completed review rubric. Missing pages and unchecked claims should remain visible. A high score should never hide a wrong key or an unsupported conclusion about a learner.</w:t>
      </w:r>
    </w:p>
    <w:p>
      <w:r>
        <w:rPr>
          <w:b w:val="0"/>
          <w:i w:val="0"/>
        </w:rPr>
        <w:t>Research can guide a design without proving that a new resource will work. A completed rubric review checks the material; classroom evidence still matters.</w:t>
      </w:r>
    </w:p>
    <w:p>
      <w:r>
        <w:rPr>
          <w:b/>
          <w:i w:val="0"/>
        </w:rPr>
        <w:t>Try it:</w:t>
      </w:r>
      <w:r>
        <w:rPr>
          <w:b w:val="0"/>
          <w:i w:val="0"/>
        </w:rPr>
        <w:t xml:space="preserve"> Open one important citation in your next response. Ask Teacher Workbench to point to the relevant passage and explain how it informed the proposed action. For fast-moving topics, including AI, ask when the evidence was checked.</w:t>
      </w:r>
    </w:p>
    <w:p>
      <w:pPr>
        <w:pStyle w:val="Heading1"/>
        <w:pageBreakBefore/>
      </w:pPr>
      <w:bookmarkStart w:id="20" w:name="chapter_20"/>
      <w:r>
        <w:rPr>
          <w:b w:val="0"/>
          <w:i w:val="0"/>
        </w:rPr>
        <w:t>Build confidence over five short sessions</w:t>
      </w:r>
      <w:bookmarkEnd w:id="20"/>
    </w:p>
    <w:p>
      <w:r>
        <w:rPr>
          <w:b w:val="0"/>
          <w:i w:val="0"/>
        </w:rPr>
        <w:t>Use these as five visits to Teacher Workbench, at your own pace. A session can be a small part of work you already need to do. The times are suggestions for practice.</w:t>
      </w:r>
    </w:p>
    <w:tbl>
      <w:tblPr>
        <w:tblW w:type="auto" w:w="0"/>
        <w:jc w:val="center"/>
        <w:tblLayout w:type="fixed"/>
        <w:tblLook w:firstColumn="1" w:firstRow="1" w:lastColumn="0" w:lastRow="0" w:noHBand="0" w:noVBand="1" w:val="04A0"/>
      </w:tblPr>
      <w:tblGrid>
        <w:gridCol w:w="2088"/>
        <w:gridCol w:w="3816"/>
        <w:gridCol w:w="4262"/>
      </w:tblGrid>
      <w:tr>
        <w:trPr>
          <w:cantSplit/>
          <w:tblHeader/>
        </w:trPr>
        <w:tc>
          <w:tcPr>
            <w:tcW w:type="dxa" w:w="2088"/>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Session</w:t>
            </w:r>
          </w:p>
        </w:tc>
        <w:tc>
          <w:tcPr>
            <w:tcW w:type="dxa" w:w="3816"/>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Your task</w:t>
            </w:r>
          </w:p>
        </w:tc>
        <w:tc>
          <w:tcPr>
            <w:tcW w:type="dxa" w:w="4262"/>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Save as evidence of your progress</w:t>
            </w:r>
          </w:p>
        </w:tc>
      </w:tr>
      <w:tr>
        <w:trPr>
          <w:cantSplit/>
        </w:trPr>
        <w:tc>
          <w:tcPr>
            <w:tcW w:type="dxa" w:w="2088"/>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1 — about 10 minutes</w:t>
            </w:r>
          </w:p>
        </w:tc>
        <w:tc>
          <w:tcPr>
            <w:tcW w:type="dxa" w:w="3816"/>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Create one short activity and check its answers.</w:t>
            </w:r>
          </w:p>
        </w:tc>
        <w:tc>
          <w:tcPr>
            <w:tcW w:type="dxa" w:w="4262"/>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A usable activity and one correction you made.</w:t>
            </w:r>
          </w:p>
        </w:tc>
      </w:tr>
      <w:tr>
        <w:trPr>
          <w:cantSplit/>
        </w:trPr>
        <w:tc>
          <w:tcPr>
            <w:tcW w:type="dxa" w:w="2088"/>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2 — about 15 minutes</w:t>
            </w:r>
          </w:p>
        </w:tc>
        <w:tc>
          <w:tcPr>
            <w:tcW w:type="dxa" w:w="3816"/>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Attach a familiar lesson and revise it for a real constraint.</w:t>
            </w:r>
          </w:p>
        </w:tc>
        <w:tc>
          <w:tcPr>
            <w:tcW w:type="dxa" w:w="4262"/>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The revised plan and a note explaining the change.</w:t>
            </w:r>
          </w:p>
        </w:tc>
      </w:tr>
      <w:tr>
        <w:trPr>
          <w:cantSplit/>
        </w:trPr>
        <w:tc>
          <w:tcPr>
            <w:tcW w:type="dxa" w:w="2088"/>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3 — about 15 minutes</w:t>
            </w:r>
          </w:p>
        </w:tc>
        <w:tc>
          <w:tcPr>
            <w:tcW w:type="dxa" w:w="3816"/>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Add an access or language support while keeping the goal.</w:t>
            </w:r>
          </w:p>
        </w:tc>
        <w:tc>
          <w:tcPr>
            <w:tcW w:type="dxa" w:w="4262"/>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The actual scaffold and how you will check its usefulness.</w:t>
            </w:r>
          </w:p>
        </w:tc>
      </w:tr>
      <w:tr>
        <w:trPr>
          <w:cantSplit/>
        </w:trPr>
        <w:tc>
          <w:tcPr>
            <w:tcW w:type="dxa" w:w="2088"/>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4 — about 20 minutes</w:t>
            </w:r>
          </w:p>
        </w:tc>
        <w:tc>
          <w:tcPr>
            <w:tcW w:type="dxa" w:w="3816"/>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Use coded student work to propose feedback, a group or next instruction.</w:t>
            </w:r>
          </w:p>
        </w:tc>
        <w:tc>
          <w:tcPr>
            <w:tcW w:type="dxa" w:w="4262"/>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The evidence, your interpretation and a review question.</w:t>
            </w:r>
          </w:p>
        </w:tc>
      </w:tr>
      <w:tr>
        <w:trPr>
          <w:cantSplit/>
        </w:trPr>
        <w:tc>
          <w:tcPr>
            <w:tcW w:type="dxa" w:w="2088"/>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5 — about 15 minutes</w:t>
            </w:r>
          </w:p>
        </w:tc>
        <w:tc>
          <w:tcPr>
            <w:tcW w:type="dxa" w:w="3816"/>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Prepare a complete resource for another adult or a future lesson.</w:t>
            </w:r>
          </w:p>
        </w:tc>
        <w:tc>
          <w:tcPr>
            <w:tcW w:type="dxa" w:w="4262"/>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The finished file, your quality check and a short reusable request.</w:t>
            </w:r>
          </w:p>
        </w:tc>
      </w:tr>
    </w:tbl>
    <w:p>
      <w:pPr>
        <w:spacing w:after="40" w:before="0" w:line="72" w:lineRule="auto"/>
      </w:pPr>
      <w:r>
        <w:rPr>
          <w:sz w:val="4"/>
        </w:rPr>
      </w:r>
    </w:p>
    <w:p>
      <w:pPr>
        <w:pStyle w:val="Heading2"/>
      </w:pPr>
      <w:r>
        <w:rPr>
          <w:b w:val="0"/>
          <w:i w:val="0"/>
        </w:rPr>
        <w:t>Notice the skills you are building</w:t>
      </w:r>
    </w:p>
    <w:p>
      <w:r>
        <w:rPr>
          <w:b w:val="0"/>
          <w:i w:val="0"/>
        </w:rPr>
        <w:t>You are becoming proficient when you can describe a teaching need, supply the relevant context, recognize an incomplete or unsuitable answer, request a focused revision, check a source or calculation, and decide what to use.</w:t>
      </w:r>
    </w:p>
    <w:p>
      <w:r>
        <w:rPr>
          <w:b w:val="0"/>
          <w:i w:val="0"/>
        </w:rPr>
        <w:t>For a final practice, choose a new topic. Ask for a lesson or activity, revise one part, create the student material and check the result. If you can explain why you kept or changed the important pieces, you have a useful working routine.</w:t>
      </w:r>
    </w:p>
    <w:p>
      <w:pPr>
        <w:pStyle w:val="Heading2"/>
      </w:pPr>
      <w:r>
        <w:rPr>
          <w:b w:val="0"/>
          <w:i w:val="0"/>
        </w:rPr>
        <w:t>Make next week easier</w:t>
      </w:r>
    </w:p>
    <w:p>
      <w:r>
        <w:rPr>
          <w:b w:val="0"/>
          <w:i w:val="0"/>
        </w:rPr>
        <w:t>At the end of a successful conversation, ask:</w:t>
      </w:r>
    </w:p>
    <w:p>
      <w:pPr>
        <w:spacing w:before="40" w:after="200"/>
        <w:ind w:left="317" w:right="173"/>
      </w:pPr>
      <w:r>
        <w:rPr>
          <w:b w:val="0"/>
          <w:i w:val="0"/>
        </w:rPr>
        <w:t>Write a short setup note I can reuse. Include the curriculum version, planning template, usual time limits, resource constraints and technology preferences we settled on. Leave out private student information.</w:t>
      </w:r>
    </w:p>
    <w:p>
      <w:r>
        <w:rPr>
          <w:b w:val="0"/>
          <w:i w:val="0"/>
        </w:rPr>
        <w:t>Save the note and the final resource somewhere you can find them. Bring the note into a later conversation when needed; do not assume every system remembers past sessions or retains access to an earlier file.</w:t>
      </w:r>
    </w:p>
    <w:p>
      <w:r>
        <w:rPr>
          <w:b w:val="0"/>
          <w:i w:val="0"/>
        </w:rPr>
        <w:t>You can also ask Teacher Workbench to give you a short reusable request based on work that went well. Keep it flexible enough to change the goal, evidence or class conditions next time.</w:t>
      </w:r>
    </w:p>
    <w:p>
      <w:pPr>
        <w:pStyle w:val="Heading1"/>
        <w:pageBreakBefore/>
      </w:pPr>
      <w:bookmarkStart w:id="21" w:name="chapter_21"/>
      <w:r>
        <w:rPr>
          <w:b w:val="0"/>
          <w:i w:val="0"/>
        </w:rPr>
        <w:t>Get unstuck</w:t>
      </w:r>
      <w:bookmarkEnd w:id="21"/>
    </w:p>
    <w:p>
      <w:r>
        <w:rPr>
          <w:b w:val="0"/>
          <w:i w:val="0"/>
        </w:rPr>
        <w:t>You can correct Teacher Workbench plainly. You do not need technical language or a new conversation every time a response misses the mark.</w:t>
      </w:r>
    </w:p>
    <w:tbl>
      <w:tblPr>
        <w:tblW w:type="auto" w:w="0"/>
        <w:jc w:val="center"/>
        <w:tblLayout w:type="fixed"/>
        <w:tblLook w:firstColumn="1" w:firstRow="1" w:lastColumn="0" w:lastRow="0" w:noHBand="0" w:noVBand="1" w:val="04A0"/>
      </w:tblPr>
      <w:tblGrid>
        <w:gridCol w:w="4493"/>
        <w:gridCol w:w="5674"/>
      </w:tblGrid>
      <w:tr>
        <w:trPr>
          <w:cantSplit/>
          <w:tblHeader/>
        </w:trPr>
        <w:tc>
          <w:tcPr>
            <w:tcW w:type="dxa" w:w="4493"/>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What happened</w:t>
            </w:r>
          </w:p>
        </w:tc>
        <w:tc>
          <w:tcPr>
            <w:tcW w:type="dxa" w:w="5674"/>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1"/>
              </w:rPr>
              <w:t>Try saying</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The answer is overwhelming</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“Give me the next useful step and the materials for it. Put background notes at the end.”</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It gives advice about a worksheet</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“Write the actual student questions, response spaces and separate key.”</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It ignores a constraint</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“We have no printer. Revise the activity for the board and notebooks.”</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It misunderstands a document</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“Page 6 is a review, not a new topic. Correct the summary and the affected plan.”</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It asks too many questions</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“Make a provisional draft from what I have given you. State assumptions and ask only what changes the plan.”</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An answer looks wrong</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“Recheck this step from the original source or calculation. Show the correction and what else it affects.”</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A link cannot be opened</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“Tell me exactly what was inaccessible. Can we continue from this permitted file or excerpt?”</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A file is hard to use</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“Increase the writing space, simplify the directions and check every page for clipping.”</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A grade seems surprising</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“Show the included scores, missing-work rule, weights, retakes and rounding for this learner.”</w:t>
            </w:r>
          </w:p>
        </w:tc>
      </w:tr>
      <w:tr>
        <w:trPr>
          <w:cantSplit/>
        </w:trPr>
        <w:tc>
          <w:tcPr>
            <w:tcW w:type="dxa" w:w="4493"/>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It introduces an unfamiliar term</w:t>
            </w:r>
          </w:p>
        </w:tc>
        <w:tc>
          <w:tcPr>
            <w:tcW w:type="dxa" w:w="56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1"/>
              </w:rPr>
              <w:t>“Explain that in teacher language and give me one classroom example.”</w:t>
            </w:r>
          </w:p>
        </w:tc>
      </w:tr>
    </w:tbl>
    <w:p>
      <w:pPr>
        <w:spacing w:after="40" w:before="0" w:line="72" w:lineRule="auto"/>
      </w:pPr>
      <w:r>
        <w:rPr>
          <w:sz w:val="4"/>
        </w:rPr>
      </w:r>
    </w:p>
    <w:p>
      <w:r>
        <w:rPr>
          <w:b/>
          <w:i w:val="0"/>
        </w:rPr>
        <w:t>When a response still does not fit:</w:t>
      </w:r>
      <w:r>
        <w:rPr>
          <w:b w:val="0"/>
          <w:i w:val="0"/>
        </w:rPr>
        <w:t xml:space="preserve"> Restate the goal in one sentence, identify the specific part that is wrong, and ask for a focused correction. If the missing piece is access to a service, an unavailable file tool or a school decision, ask what useful work can be completed now and what remains for you.</w:t>
      </w:r>
    </w:p>
    <w:p>
      <w:r>
        <w:rPr>
          <w:b/>
          <w:i w:val="0"/>
        </w:rPr>
        <w:t>Before you share:</w:t>
      </w:r>
      <w:r>
        <w:rPr>
          <w:b w:val="0"/>
          <w:i w:val="0"/>
        </w:rPr>
        <w:t xml:space="preserve"> Read the final version once as its audience. A student needs clear directions and usable space. A substitute needs enough information to run the day. A colleague needs the context behind a proposed change. Ask for the version that serves that reader.</w:t>
      </w:r>
    </w:p>
    <w:p>
      <w:pPr>
        <w:pStyle w:val="Heading1"/>
        <w:pageBreakBefore/>
      </w:pPr>
      <w:bookmarkStart w:id="22" w:name="chapter_22"/>
      <w:r>
        <w:rPr>
          <w:b w:val="0"/>
          <w:i w:val="0"/>
        </w:rPr>
        <w:t>Optional directory of all 45 skills</w:t>
      </w:r>
      <w:bookmarkEnd w:id="22"/>
    </w:p>
    <w:p>
      <w:r>
        <w:rPr>
          <w:b w:val="0"/>
          <w:i w:val="0"/>
        </w:rPr>
        <w:t>You can keep asking in everyday language. Use this directory when you want to request one area of expertise directly, or when you are curious about what else is available.</w:t>
      </w:r>
    </w:p>
    <w:p>
      <w:r>
        <w:rPr>
          <w:b w:val="0"/>
          <w:i w:val="0"/>
        </w:rPr>
        <w:t>For example: “Use tw-substitute-planning with the lesson I attached.” The long names are labels you can copy, not vocabulary you need to memorize.</w:t>
      </w:r>
    </w:p>
    <w:tbl>
      <w:tblPr>
        <w:tblW w:type="auto" w:w="0"/>
        <w:jc w:val="center"/>
        <w:tblLayout w:type="fixed"/>
        <w:tblLook w:firstColumn="1" w:firstRow="1" w:lastColumn="0" w:lastRow="0" w:noHBand="0" w:noVBand="1" w:val="04A0"/>
      </w:tblPr>
      <w:tblGrid>
        <w:gridCol w:w="6192"/>
        <w:gridCol w:w="3974"/>
      </w:tblGrid>
      <w:tr>
        <w:trPr>
          <w:cantSplit/>
          <w:tblHeader/>
        </w:trPr>
        <w:tc>
          <w:tcPr>
            <w:tcW w:type="dxa" w:w="6192"/>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0"/>
              </w:rPr>
              <w:t>Skill name</w:t>
            </w:r>
          </w:p>
        </w:tc>
        <w:tc>
          <w:tcPr>
            <w:tcW w:type="dxa" w:w="3974"/>
            <w:vAlign w:val="center"/>
            <w:tcMar>
              <w:top w:w="85" w:type="dxa"/>
              <w:left w:w="85" w:type="dxa"/>
              <w:bottom w:w="85" w:type="dxa"/>
              <w:right w:w="85" w:type="dxa"/>
            </w:tcMar>
            <w:shd w:fill="E8EEF0"/>
            <w:tcBorders>
              <w:bottom w:val="single" w:sz="3" w:color="CFD8DB"/>
            </w:tcBorders>
          </w:tcPr>
          <w:p>
            <w:pPr>
              <w:keepNext/>
              <w:spacing w:after="0" w:before="0" w:line="247" w:lineRule="auto"/>
            </w:pPr>
            <w:r>
              <w:rPr>
                <w:b/>
                <w:i w:val="0"/>
                <w:color w:val="000000"/>
                <w:sz w:val="20"/>
              </w:rPr>
              <w:t>Ask for help with</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tw-orchestrator</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Bring several kinds of help together.</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tw-ai-curriculum-integration</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Plan optional AI learning and use.</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tw-assessment-design</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Create tasks, tests, keys and rubrics.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tw-behavior-pbis</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Teach routines and positive behavior supports.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tw-blooms-taxonomy</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Examine and develop cognitive demand.</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tw-california-curriculum-alignment</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Check California learning expectations.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tw-california-edcode-policy</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Research an education law or policy question.</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tw-canva-production</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Make an editable design or importable file.</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tw-classical-test-theory</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Examine quiz items and test scores.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tw-classroom-culture</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Strengthen participation and belonging.</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tw-cross-curricular-assessment</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Assess learning across subjects.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tw-cstp-coaching-plc</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Plan coaching and team inquiry.</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tw-curriculum-document-intake</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Make sense of existing plans and maps.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tw-curriculum-search</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Find and read your curriculum.</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tw-differentiation-accessibility</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Address barriers and vary support.</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tw-edtech-integration</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Choose technology for a learning purpose.</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tw-enrichment-extension</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Deepen learning beyond demonstrated mastery.</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tw-family-partnership</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Draft family communication and conferences.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tw-google-sheets</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Make a Sheet or editable workbook.</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tw-grade-calculations</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Check weights, retakes and grade formulas.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tw-humanities-inquiry</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Build inquiry using sources and evidence.</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tw-instructional-assistant-small-groups</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Prepare an assistant to lead a group.</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tw-intervention-activities</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Create activities for Tiers 1, 2 and 3.</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tw-intervention-grouping</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Plan temporary groups and schedules.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tw-intervention-progress</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Review learning over an intervention cycle.</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tw-item-response-theory</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Explore IRT readiness and analysis.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tw-lesson-unit-planning</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Create lessons and connected units.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tw-literacy-instruction</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Plan reading, writing and discussion.</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tw-marzano-grading-rubrics</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Clarify proficiency and score examples.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tw-mathematics-instruction</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Develop mathematical understanding.</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tw-multilingual-instruction</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Support language development and ELD.</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tw-pre-post-growth-analysis</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Compare matched pre and post results.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tw-research-evidence-review</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Examine the evidence for a practice.</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tw-science-instruction</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Plan science investigations and explanations.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tw-standards-based-grading</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Examine standards grading policies.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tw-standards-progress-analysis</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Follow standards evidence and rollups.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tw-student-reflection-tracking</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Make reflection and progress tools.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tw-student-work-analysis</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Interpret work and plan feedback.</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tw-substitute-planning</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Prepare a complete substitute packet.</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tw-teaching-aids</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Create actual teaching and student materials.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tw-learning-commons</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Explore standards and prerequisite connections.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tw-lesson-rehearsal</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Practice explanations and responses before teaching.</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tw-formative-checks</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Create short checks and next teaching moves.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tw-recurring-workflows</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Prepare and schedule repeatable teaching routines.</w:t>
            </w:r>
          </w:p>
        </w:tc>
      </w:tr>
      <w:tr>
        <w:trPr>
          <w:cantSplit/>
        </w:trPr>
        <w:tc>
          <w:tcPr>
            <w:tcW w:type="dxa" w:w="6192"/>
            <w:vAlign w:val="center"/>
            <w:tcMar>
              <w:top w:w="85" w:type="dxa"/>
              <w:left w:w="85" w:type="dxa"/>
              <w:bottom w:w="85" w:type="dxa"/>
              <w:right w:w="85" w:type="dxa"/>
            </w:tcMar>
            <w:tcBorders>
              <w:bottom w:val="single" w:sz="3" w:color="CFD8DB"/>
            </w:tcBorders>
          </w:tcPr>
          <w:p>
            <w:pPr>
              <w:spacing w:after="0" w:before="0" w:line="247" w:lineRule="auto"/>
            </w:pPr>
            <w:r>
              <w:rPr>
                <w:rFonts w:ascii="Consolas" w:hAnsi="Consolas"/>
                <w:b w:val="0"/>
                <w:i w:val="0"/>
                <w:color w:val="000000"/>
                <w:sz w:val="20"/>
              </w:rPr>
              <w:t>tw-pedagogical-review</w:t>
            </w:r>
          </w:p>
        </w:tc>
        <w:tc>
          <w:tcPr>
            <w:tcW w:type="dxa" w:w="3974"/>
            <w:vAlign w:val="center"/>
            <w:tcMar>
              <w:top w:w="85" w:type="dxa"/>
              <w:left w:w="85" w:type="dxa"/>
              <w:bottom w:w="85" w:type="dxa"/>
              <w:right w:w="85" w:type="dxa"/>
            </w:tcMar>
            <w:tcBorders>
              <w:bottom w:val="single" w:sz="3" w:color="CFD8DB"/>
            </w:tcBorders>
          </w:tcPr>
          <w:p>
            <w:pPr>
              <w:spacing w:after="0" w:before="0" w:line="247" w:lineRule="auto"/>
            </w:pPr>
            <w:r>
              <w:rPr>
                <w:b w:val="0"/>
                <w:i w:val="0"/>
                <w:color w:val="000000"/>
                <w:sz w:val="20"/>
              </w:rPr>
              <w:t>Review actual materials and fix important problems.</w:t>
            </w:r>
          </w:p>
        </w:tc>
      </w:tr>
    </w:tbl>
    <w:p>
      <w:pPr>
        <w:spacing w:after="40" w:before="0" w:line="72" w:lineRule="auto"/>
      </w:pPr>
      <w:r>
        <w:rPr>
          <w:sz w:val="4"/>
        </w:rPr>
      </w:r>
    </w:p>
    <w:p>
      <w:pPr>
        <w:pStyle w:val="Heading1"/>
        <w:pageBreakBefore/>
      </w:pPr>
      <w:bookmarkStart w:id="23" w:name="chapter_23"/>
      <w:r>
        <w:rPr>
          <w:b w:val="0"/>
          <w:i w:val="0"/>
        </w:rPr>
        <w:t>About this guide and its sources</w:t>
      </w:r>
      <w:bookmarkEnd w:id="23"/>
    </w:p>
    <w:p>
      <w:r>
        <w:rPr>
          <w:b w:val="0"/>
          <w:i w:val="0"/>
        </w:rPr>
        <w:t>This is the teacher learning edition of the Teacher Workbench user guide, included with release 2.0.0. It covers the 45 skills delivered in the suite. The examples are original illustrations for practicing how to ask, refine and review; they are not prescribed lessons or claims of classroom effectiveness.</w:t>
      </w:r>
    </w:p>
    <w:p>
      <w:r>
        <w:rPr>
          <w:b w:val="0"/>
          <w:i w:val="0"/>
        </w:rPr>
        <w:t>The capability descriptions were checked against the package's skill definitions, resource templates and validation records. The five-session learning path is a suggested practice sequence for this guide. You can adapt its pace and examples to your work.</w:t>
      </w:r>
    </w:p>
    <w:p>
      <w:pPr>
        <w:pStyle w:val="Heading2"/>
      </w:pPr>
      <w:r>
        <w:rPr>
          <w:b w:val="0"/>
          <w:i w:val="0"/>
        </w:rPr>
        <w:t>Following the evidence</w:t>
      </w:r>
    </w:p>
    <w:p>
      <w:r>
        <w:rPr>
          <w:b w:val="0"/>
          <w:i w:val="0"/>
        </w:rPr>
        <w:t>The links beside the relevant explanations take you to California content standards, CSTP, Education Code, WWC, CAST, PBIS, NCII, ISTE and other named primary or official sources. Source destinations were checked on September 29, 2026. The package also contains detailed source and validation records. Current legal requirements, research and changing technology conditions should be checked for the actual question when you use Teacher Workbench.</w:t>
      </w:r>
    </w:p>
    <w:p>
      <w:r>
        <w:rPr>
          <w:b w:val="0"/>
          <w:i w:val="0"/>
        </w:rPr>
        <w:t>A teaching framework helps organize thinking; a study examines particular people, practices and outcomes; a statute establishes a legal rule within its scope. Ask Teacher Workbench which kind of support it is using and how it applies. A newly authored resource does not inherit a research rating simply because its design cites a study or practice guide.</w:t>
      </w:r>
    </w:p>
    <w:p>
      <w:pPr>
        <w:pStyle w:val="Heading2"/>
      </w:pPr>
      <w:r>
        <w:rPr>
          <w:b w:val="0"/>
          <w:i w:val="0"/>
        </w:rPr>
        <w:t>What depends on your system</w:t>
      </w:r>
    </w:p>
    <w:p>
      <w:r>
        <w:rPr>
          <w:b w:val="0"/>
          <w:i w:val="0"/>
        </w:rPr>
        <w:t>The suite provides the teaching workflows and reusable resources. Reading websites, opening private files, using Learning Commons, scheduling work, making native Google Sheets or Canva designs, and running calculations depend on your app's available tools and your authorized access. Teacher Workbench should tell you when it cannot complete one of those steps and help with the work it can do.</w:t>
      </w:r>
    </w:p>
    <w:p>
      <w:r>
        <w:rPr>
          <w:b w:val="0"/>
          <w:i w:val="0"/>
        </w:rPr>
        <w:t>The supplied numerical tools have synthetic examples and recorded checks. The IRT illustration uses known example parameters; full calibration is a separate analysis. The package records 35 numerical checks for the preceding 1.4.0 skill release. Release 1.5.0 adds five skills and helper tools for structured retrieval, scheduling drafts and rubric reports. Those numerical calculators remain unchanged. New validation records distinguish offline checks from live connections. No live classroom effectiveness trial or public plugin publication is claimed by this guide.</w:t>
      </w:r>
    </w:p>
    <w:p>
      <w:r>
        <w:rPr>
          <w:b/>
          <w:i w:val="0"/>
        </w:rPr>
        <w:t>Keep this request handy:</w:t>
      </w:r>
      <w:r>
        <w:rPr>
          <w:b w:val="0"/>
          <w:i w:val="0"/>
        </w:rPr>
        <w:t xml:space="preserve"> “Help me make this useful for my classroom. Show the actual resource, explain the important choices, and help me check it before I use it.”</w:t>
      </w:r>
    </w:p>
    <w:sectPr w:rsidR="00FC693F" w:rsidRPr="0006063C" w:rsidSect="00034616">
      <w:headerReference w:type="default" r:id="rId9"/>
      <w:footerReference w:type="default" r:id="rId10"/>
      <w:pgSz w:w="12240" w:h="15840"/>
      <w:pgMar w:top="1008" w:right="1037" w:bottom="936" w:left="1037" w:header="360" w:footer="36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sz w:val="18"/>
      </w:rPr>
      <w:t>Teacher Workbench teacher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9" w:lineRule="auto"/>
    </w:pPr>
    <w:rPr>
      <w:rFonts w:ascii="Calibri" w:hAnsi="Calibri"/>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00" w:after="180"/>
      <w:outlineLvl w:val="0"/>
    </w:pPr>
    <w:rPr>
      <w:rFonts w:asciiTheme="majorHAnsi" w:eastAsiaTheme="majorEastAsia" w:hAnsiTheme="majorHAnsi" w:cstheme="majorBidi" w:ascii="Calibri" w:hAnsi="Calibri"/>
      <w:b/>
      <w:bCs/>
      <w:color w:val="000000"/>
      <w:sz w:val="40"/>
      <w:szCs w:val="28"/>
    </w:rPr>
  </w:style>
  <w:style w:type="paragraph" w:styleId="Heading2">
    <w:name w:val="heading 2"/>
    <w:basedOn w:val="Normal"/>
    <w:next w:val="Normal"/>
    <w:link w:val="Heading2Char"/>
    <w:uiPriority w:val="9"/>
    <w:unhideWhenUsed/>
    <w:qFormat/>
    <w:rsid w:val="00FC693F"/>
    <w:pPr>
      <w:keepNext/>
      <w:keepLines/>
      <w:widowControl/>
      <w:spacing w:before="300" w:after="18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spacing w:after="180" w:line="240" w:lineRule="auto" w:before="0"/>
      <w:contextualSpacing/>
    </w:pPr>
    <w:rPr>
      <w:rFonts w:asciiTheme="majorHAnsi" w:eastAsiaTheme="majorEastAsia" w:hAnsiTheme="majorHAnsi" w:cstheme="majorBidi" w:ascii="Calibri" w:hAnsi="Calibri"/>
      <w:b/>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180"/>
    </w:pPr>
    <w:rPr>
      <w:rFonts w:asciiTheme="majorHAnsi" w:eastAsiaTheme="majorEastAsia" w:hAnsiTheme="majorHAnsi" w:cstheme="majorBidi" w:ascii="Calibri" w:hAnsi="Calibri"/>
      <w:b w:val="0"/>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widowControl/>
      <w:spacing w:after="140" w:line="259" w:lineRule="auto"/>
    </w:pPr>
    <w:rPr>
      <w:rFonts w:ascii="Calibri" w:hAnsi="Calibri"/>
      <w:color w:val="000000"/>
      <w:sz w:val="23"/>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140" w:line="259" w:lineRule="auto"/>
      <w:contextualSpacing/>
    </w:pPr>
    <w:rPr>
      <w:rFonts w:ascii="Calibri" w:hAnsi="Calibri"/>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140" w:line="259" w:lineRule="auto"/>
      <w:contextualSpacing/>
    </w:pPr>
    <w:rPr>
      <w:rFonts w:ascii="Calibri" w:hAnsi="Calibri"/>
      <w:color w:val="000000"/>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pPr>
      <w:widowControl/>
      <w:spacing w:after="140" w:line="259" w:lineRule="auto"/>
    </w:pPr>
    <w:rPr>
      <w:rFonts w:ascii="Calibri" w:hAnsi="Calibri"/>
      <w:i/>
      <w:iCs/>
      <w:color w:val="000000"/>
      <w:sz w:val="23"/>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2.cde.ca.gov/cacs/id/web/331" TargetMode="External"/><Relationship Id="rId12" Type="http://schemas.openxmlformats.org/officeDocument/2006/relationships/hyperlink" Target="https://docs.learningcommons.org/knowledge-graph/using-knowledge-graph/agent-plugins" TargetMode="External"/><Relationship Id="rId13" Type="http://schemas.openxmlformats.org/officeDocument/2006/relationships/hyperlink" Target="https://www2.cde.ca.gov/cacs/" TargetMode="External"/><Relationship Id="rId14" Type="http://schemas.openxmlformats.org/officeDocument/2006/relationships/hyperlink" Target="https://www.cde.ca.gov/ci/rl/" TargetMode="External"/><Relationship Id="rId15" Type="http://schemas.openxmlformats.org/officeDocument/2006/relationships/hyperlink" Target="https://udlguidelines.cast.org/" TargetMode="External"/><Relationship Id="rId16" Type="http://schemas.openxmlformats.org/officeDocument/2006/relationships/hyperlink" Target="https://educationendowmentfoundation.org.uk/education-evidence/guidance-reports/teaching-assistants" TargetMode="External"/><Relationship Id="rId17" Type="http://schemas.openxmlformats.org/officeDocument/2006/relationships/hyperlink" Target="https://leginfo.legislature.ca.gov/faces/codes_displaySection.xhtml?lawCode=EDC&amp;sectionNum=45344" TargetMode="External"/><Relationship Id="rId18" Type="http://schemas.openxmlformats.org/officeDocument/2006/relationships/hyperlink" Target="https://www.cde.ca.gov/ci/cr/ri/mtsscomprti2.asp" TargetMode="External"/><Relationship Id="rId19" Type="http://schemas.openxmlformats.org/officeDocument/2006/relationships/hyperlink" Target="https://intensiveintervention.org/data-based-individualization" TargetMode="External"/><Relationship Id="rId20" Type="http://schemas.openxmlformats.org/officeDocument/2006/relationships/hyperlink" Target="https://ies.ed.gov/ncee/wwc/PracticeGuide/12" TargetMode="External"/><Relationship Id="rId21" Type="http://schemas.openxmlformats.org/officeDocument/2006/relationships/hyperlink" Target="https://www.chemnet.edu.au/sites/default/files/files/Blooms_taxonomy_2002_Krathwohl.pdf" TargetMode="External"/><Relationship Id="rId22" Type="http://schemas.openxmlformats.org/officeDocument/2006/relationships/hyperlink" Target="https://soltreemrls3.s3-us-west-2.amazonaws.com/marzanoresources.com/media/documents/reproducibles/HDUPSC/proficiencyscalewithsampleactivities.pdf" TargetMode="External"/><Relationship Id="rId23" Type="http://schemas.openxmlformats.org/officeDocument/2006/relationships/hyperlink" Target="https://leginfo.legislature.ca.gov/faces/codes_displaySection.xhtml?lawCode=EDC&amp;sectionNum=49066" TargetMode="External"/><Relationship Id="rId24" Type="http://schemas.openxmlformats.org/officeDocument/2006/relationships/hyperlink" Target="https://www.testingstandards.net/open-access-files.html" TargetMode="External"/><Relationship Id="rId25" Type="http://schemas.openxmlformats.org/officeDocument/2006/relationships/hyperlink" Target="https://www.pbis.org/classroom-pbis" TargetMode="External"/><Relationship Id="rId26" Type="http://schemas.openxmlformats.org/officeDocument/2006/relationships/hyperlink" Target="https://tpack.org/tpackrefs/archives/7661" TargetMode="External"/><Relationship Id="rId27" Type="http://schemas.openxmlformats.org/officeDocument/2006/relationships/hyperlink" Target="https://www.tripleeframework.com/about.html" TargetMode="External"/><Relationship Id="rId28" Type="http://schemas.openxmlformats.org/officeDocument/2006/relationships/hyperlink" Target="https://iste.org/standards/educators" TargetMode="External"/><Relationship Id="rId29" Type="http://schemas.openxmlformats.org/officeDocument/2006/relationships/hyperlink" Target="https://www.unesco.org/en/articles/ai-competency-framework-teachers" TargetMode="External"/><Relationship Id="rId30" Type="http://schemas.openxmlformats.org/officeDocument/2006/relationships/hyperlink" Target="https://learn.chatgpt.com/docs/automations" TargetMode="External"/><Relationship Id="rId31" Type="http://schemas.openxmlformats.org/officeDocument/2006/relationships/hyperlink" Target="https://ies.ed.gov/ncee/wwc/practiceguides" TargetMode="External"/><Relationship Id="rId32" Type="http://schemas.openxmlformats.org/officeDocument/2006/relationships/hyperlink" Target="https://docs.ctc.ca.gov/Document/Download/303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Getting comfortable with Teacher Workbench</dc:title>
  <dc:subject>A practical guide for teachers</dc:subject>
  <dc:creator>Teacher Workbench</dc:creator>
  <cp:keywords>teacher guide learning planning assessment intervention</cp:keywords>
  <dc:description/>
  <cp:lastModifiedBy/>
  <cp:revision>1</cp:revision>
  <dcterms:created xsi:type="dcterms:W3CDTF">2013-12-23T23:15:00Z</dcterms:created>
  <dcterms:modified xsi:type="dcterms:W3CDTF">2013-12-23T23:15:00Z</dcterms:modified>
  <cp:category/>
</cp:coreProperties>
</file>