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8"/>
                <w:rFonts w:eastAsia="Noto Serif TC" w:ascii="Calibri" w:hAnsi="Calibri"/>
              </w:rPr>
              <w:t>龍雲數位 / 銓幻元科技</w:t>
            </w:r>
          </w:p>
        </w:tc>
      </w:tr>
    </w:tbl>
    <w:p/>
    <w:p>
      <w:pPr>
        <w:jc w:val="center"/>
      </w:pPr>
      <w:r>
        <w:rPr>
          <w:b/>
          <w:color w:val="1F4E79"/>
          <w:sz w:val="40"/>
          <w:rFonts w:eastAsia="Noto Serif TC" w:ascii="Calibri" w:hAnsi="Calibri"/>
        </w:rPr>
        <w:t>販賣機加盟／通路夥伴</w:t>
        <w:br/>
        <w:t>「打群架聯盟」SEO打法</w:t>
        <w:br/>
        <w:t>可行性評估</w:t>
      </w:r>
    </w:p>
    <w:p>
      <w:pPr>
        <w:jc w:val="center"/>
      </w:pPr>
      <w:r>
        <w:rPr>
          <w:b/>
          <w:color w:val="B8680A"/>
          <w:sz w:val="26"/>
          <w:rFonts w:eastAsia="Noto Sans TC" w:ascii="Calibri" w:hAnsi="Calibri"/>
        </w:rPr>
        <w:t>撰寫者：AI CMO</w:t>
      </w:r>
    </w:p>
    <w:p>
      <w:pPr>
        <w:jc w:val="center"/>
      </w:pPr>
      <w:r>
        <w:rPr>
          <w:b w:val="0"/>
          <w:color w:val="555555"/>
          <w:sz w:val="22"/>
          <w:rFonts w:eastAsia="Noto Sans TC" w:ascii="Calibri" w:hAnsi="Calibri"/>
        </w:rPr>
        <w:t>2026-07-18</w:t>
      </w:r>
    </w:p>
    <w:p/>
    <w:p>
      <w:pPr>
        <w:jc w:val="center"/>
      </w:pPr>
      <w:r>
        <w:rPr>
          <w:b w:val="0"/>
          <w:color w:val="555555"/>
          <w:sz w:val="20"/>
          <w:rFonts w:eastAsia="Noto Sans TC" w:ascii="Calibri" w:hAnsi="Calibri"/>
        </w:rPr>
        <w:t>緣起：Jason提問「販賣機加盟是否可套用黃維德/森林藥局聯盟的SEO打法？」</w:t>
        <w:br/>
        <w:t>本文為該想法的具體可行性評估，尚未實作，待Jason裁示是否啟動</w:t>
      </w:r>
    </w:p>
    <w:p>
      <w:r>
        <w:br w:type="page"/>
      </w:r>
    </w:p>
    <w:p>
      <w:pPr>
        <w:spacing w:before="280" w:after="160"/>
        <w:pBdr>
          <w:left w:val="single" w:sz="24" w:space="4" w:color="1F4E79"/>
        </w:pBdr>
      </w:pPr>
      <w:r>
        <w:rPr>
          <w:b/>
          <w:color w:val="1F4E79"/>
          <w:sz w:val="30"/>
          <w:rFonts w:eastAsia="Noto Serif TC" w:ascii="Calibri" w:hAnsi="Calibri"/>
        </w:rPr>
        <w:t>一、結論摘要</w:t>
      </w:r>
    </w:p>
    <w:p>
      <w:pPr>
        <w:spacing w:after="120"/>
      </w:pPr>
      <w:r>
        <w:rPr>
          <w:b/>
          <w:color w:val="222222"/>
          <w:sz w:val="24"/>
          <w:rFonts w:eastAsia="Noto Sans TC" w:ascii="Calibri" w:hAnsi="Calibri"/>
        </w:rPr>
        <w:t>**可行，但不是原樣搬過去，要換一個核心假設。**藥局聯盟的引擎是「消費者主動搜尋『住家附近的藥局』」這種強烈B2C在地搜尋意圖；販賣機加盟主的客戶是決定要不要在自己場域放機台的**物業管理方/企業採購**，是B2B決策者搜尋，不是消費者。架構骨架（Hub權威內容＋各加盟個體共用平台各自轉換）可以照搬，但內容策略要整套換成B2B場域決策者語言。</w:t>
      </w:r>
    </w:p>
    <w:p>
      <w:pPr>
        <w:spacing w:after="120"/>
      </w:pPr>
      <w:r>
        <w:rPr>
          <w:b w:val="0"/>
          <w:color w:val="222222"/>
          <w:sz w:val="24"/>
          <w:rFonts w:eastAsia="Noto Sans TC" w:ascii="Calibri" w:hAnsi="Calibri"/>
        </w:rPr>
        <w:t>這個評估同時發現：這套打法剛好可以跟你已經在推進的「MCS分配中心＋Ardy執行層」通路架構、XMART/小七東南亞宿舍案接上——不是憑空多一件事，是幫既有通路案多長出一條「被動獲客」的腿。</w:t>
      </w:r>
    </w:p>
    <w:p>
      <w:pPr>
        <w:spacing w:before="280" w:after="160"/>
        <w:pBdr>
          <w:left w:val="single" w:sz="24" w:space="4" w:color="1F4E79"/>
        </w:pBdr>
      </w:pPr>
      <w:r>
        <w:rPr>
          <w:b/>
          <w:color w:val="1F4E79"/>
          <w:sz w:val="30"/>
          <w:rFonts w:eastAsia="Noto Serif TC" w:ascii="Calibri" w:hAnsi="Calibri"/>
        </w:rPr>
        <w:t>二、概念對照：藥局聯盟 vs 販賣機加盟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</w:tcPr>
          <w:p>
            <w:r/>
            <w:r>
              <w:rPr>
                <w:b/>
                <w:color w:val="FFFFFF"/>
                <w:sz w:val="22"/>
                <w:rFonts w:eastAsia="Noto Sans TC" w:ascii="Calibri" w:hAnsi="Calibri"/>
              </w:rPr>
              <w:t>對照項目</w:t>
            </w:r>
          </w:p>
        </w:tc>
        <w:tc>
          <w:tcPr>
            <w:tcW w:type="dxa" w:w="3249"/>
            <w:shd w:val="clear" w:color="auto" w:fill="1F4E79"/>
          </w:tcPr>
          <w:p>
            <w:r/>
            <w:r>
              <w:rPr>
                <w:b/>
                <w:color w:val="FFFFFF"/>
                <w:sz w:val="22"/>
                <w:rFonts w:eastAsia="Noto Sans TC" w:ascii="Calibri" w:hAnsi="Calibri"/>
              </w:rPr>
              <w:t>黃維德/森林藥局聯盟（已驗證）</w:t>
            </w:r>
          </w:p>
        </w:tc>
        <w:tc>
          <w:tcPr>
            <w:tcW w:type="dxa" w:w="3249"/>
            <w:shd w:val="clear" w:color="auto" w:fill="1F4E79"/>
          </w:tcPr>
          <w:p>
            <w:r/>
            <w:r>
              <w:rPr>
                <w:b/>
                <w:color w:val="FFFFFF"/>
                <w:sz w:val="22"/>
                <w:rFonts w:eastAsia="Noto Sans TC" w:ascii="Calibri" w:hAnsi="Calibri"/>
              </w:rPr>
              <w:t>販賣機加盟／通路夥伴（本次評估）</w:t>
            </w:r>
          </w:p>
        </w:tc>
      </w:tr>
      <w:tr>
        <w:tc>
          <w:tcPr>
            <w:tcW w:type="dxa" w:w="3249"/>
            <w:shd w:val="clear" w:color="auto" w:fill="EBF3FB"/>
          </w:tcPr>
          <w:p>
            <w:r/>
            <w:r>
              <w:rPr>
                <w:b w:val="0"/>
                <w:sz w:val="21"/>
                <w:rFonts w:eastAsia="Noto Sans TC" w:ascii="Calibri" w:hAnsi="Calibri"/>
              </w:rPr>
              <w:t>終端客戶是誰</w:t>
            </w:r>
          </w:p>
        </w:tc>
        <w:tc>
          <w:tcPr>
            <w:tcW w:type="dxa" w:w="3249"/>
            <w:shd w:val="clear" w:color="auto" w:fill="EBF3FB"/>
          </w:tcPr>
          <w:p>
            <w:r/>
            <w:r>
              <w:rPr>
                <w:b w:val="0"/>
                <w:sz w:val="21"/>
                <w:rFonts w:eastAsia="Noto Sans TC" w:ascii="Calibri" w:hAnsi="Calibri"/>
              </w:rPr>
              <w:t>消費者本人（要買藥/諮詢的人）</w:t>
            </w:r>
          </w:p>
        </w:tc>
        <w:tc>
          <w:tcPr>
            <w:tcW w:type="dxa" w:w="3249"/>
            <w:shd w:val="clear" w:color="auto" w:fill="EBF3FB"/>
          </w:tcPr>
          <w:p>
            <w:r/>
            <w:r>
              <w:rPr>
                <w:b w:val="0"/>
                <w:sz w:val="21"/>
                <w:rFonts w:eastAsia="Noto Sans TC" w:ascii="Calibri" w:hAnsi="Calibri"/>
              </w:rPr>
              <w:t>場域決策者（物業經理/廠務/採購，不是機台前的路人）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21"/>
                <w:rFonts w:eastAsia="Noto Sans TC" w:ascii="Calibri" w:hAnsi="Calibri"/>
              </w:rPr>
              <w:t>搜尋意圖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1"/>
                <w:rFonts w:eastAsia="Noto Sans TC" w:ascii="Calibri" w:hAnsi="Calibri"/>
              </w:rPr>
              <w:t>「住家附近的藥局」「OO藥局 營業時間」強烈在地+即時需求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1"/>
                <w:rFonts w:eastAsia="Noto Sans TC" w:ascii="Calibri" w:hAnsi="Calibri"/>
              </w:rPr>
              <w:t>「OO園區 販賣機廠商」「自動販賣機 廠商比較」規劃型/評估型需求</w:t>
            </w:r>
          </w:p>
        </w:tc>
      </w:tr>
      <w:tr>
        <w:tc>
          <w:tcPr>
            <w:tcW w:type="dxa" w:w="3249"/>
            <w:shd w:val="clear" w:color="auto" w:fill="EBF3FB"/>
          </w:tcPr>
          <w:p>
            <w:r/>
            <w:r>
              <w:rPr>
                <w:b w:val="0"/>
                <w:sz w:val="21"/>
                <w:rFonts w:eastAsia="Noto Sans TC" w:ascii="Calibri" w:hAnsi="Calibri"/>
              </w:rPr>
              <w:t>轉換動作</w:t>
            </w:r>
          </w:p>
        </w:tc>
        <w:tc>
          <w:tcPr>
            <w:tcW w:type="dxa" w:w="3249"/>
            <w:shd w:val="clear" w:color="auto" w:fill="EBF3FB"/>
          </w:tcPr>
          <w:p>
            <w:r/>
            <w:r>
              <w:rPr>
                <w:b w:val="0"/>
                <w:sz w:val="21"/>
                <w:rFonts w:eastAsia="Noto Sans TC" w:ascii="Calibri" w:hAnsi="Calibri"/>
              </w:rPr>
              <w:t>加LINE OA問診/諮詢，當下就想要答案</w:t>
            </w:r>
          </w:p>
        </w:tc>
        <w:tc>
          <w:tcPr>
            <w:tcW w:type="dxa" w:w="3249"/>
            <w:shd w:val="clear" w:color="auto" w:fill="EBF3FB"/>
          </w:tcPr>
          <w:p>
            <w:r/>
            <w:r>
              <w:rPr>
                <w:b w:val="0"/>
                <w:sz w:val="21"/>
                <w:rFonts w:eastAsia="Noto Sans TC" w:ascii="Calibri" w:hAnsi="Calibri"/>
              </w:rPr>
              <w:t>留資詢問+等業務聯繫，決策週期較長（要跟其他廠商比、跑簽約流程）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21"/>
                <w:rFonts w:eastAsia="Noto Sans TC" w:ascii="Calibri" w:hAnsi="Calibri"/>
              </w:rPr>
              <w:t>Hub角色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1"/>
                <w:rFonts w:eastAsia="Noto Sans TC" w:ascii="Calibri" w:hAnsi="Calibri"/>
              </w:rPr>
              <w:t>黃維德本人（藥師/普健董事長）個人權威站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1"/>
                <w:rFonts w:eastAsia="Noto Sans TC" w:ascii="Calibri" w:hAnsi="Calibri"/>
              </w:rPr>
              <w:t>MCS/龍雲技術權威站（已存在：transtep.com/mcstation.ai）</w:t>
            </w:r>
          </w:p>
        </w:tc>
      </w:tr>
      <w:tr>
        <w:tc>
          <w:tcPr>
            <w:tcW w:type="dxa" w:w="3249"/>
            <w:shd w:val="clear" w:color="auto" w:fill="EBF3FB"/>
          </w:tcPr>
          <w:p>
            <w:r/>
            <w:r>
              <w:rPr>
                <w:b w:val="0"/>
                <w:sz w:val="21"/>
                <w:rFonts w:eastAsia="Noto Sans TC" w:ascii="Calibri" w:hAnsi="Calibri"/>
              </w:rPr>
              <w:t>加盟個體角色</w:t>
            </w:r>
          </w:p>
        </w:tc>
        <w:tc>
          <w:tcPr>
            <w:tcW w:type="dxa" w:w="3249"/>
            <w:shd w:val="clear" w:color="auto" w:fill="EBF3FB"/>
          </w:tcPr>
          <w:p>
            <w:r/>
            <w:r>
              <w:rPr>
                <w:b w:val="0"/>
                <w:sz w:val="21"/>
                <w:rFonts w:eastAsia="Noto Sans TC" w:ascii="Calibri" w:hAnsi="Calibri"/>
              </w:rPr>
              <w:t>各加盟藥局，各自在地商圈</w:t>
            </w:r>
          </w:p>
        </w:tc>
        <w:tc>
          <w:tcPr>
            <w:tcW w:type="dxa" w:w="3249"/>
            <w:shd w:val="clear" w:color="auto" w:fill="EBF3FB"/>
          </w:tcPr>
          <w:p>
            <w:r/>
            <w:r>
              <w:rPr>
                <w:b w:val="0"/>
                <w:sz w:val="21"/>
                <w:rFonts w:eastAsia="Noto Sans TC" w:ascii="Calibri" w:hAnsi="Calibri"/>
              </w:rPr>
              <w:t>各通路夥伴/加盟主，各自負責的場域類型或地理區域（比照Ardy/XMART模式）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21"/>
                <w:rFonts w:eastAsia="Noto Sans TC" w:ascii="Calibri" w:hAnsi="Calibri"/>
              </w:rPr>
              <w:t>內容主軸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1"/>
                <w:rFonts w:eastAsia="Noto Sans TC" w:ascii="Calibri" w:hAnsi="Calibri"/>
              </w:rPr>
              <w:t>症狀衛教+技術科普（DP2受體等）＋品牌詞低調帶入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1"/>
                <w:rFonts w:eastAsia="Noto Sans TC" w:ascii="Calibri" w:hAnsi="Calibri"/>
              </w:rPr>
              <w:t>場域決策指南+法規合規+ROI試算方法論（不編具體數字）＋通路夥伴低調帶入</w:t>
            </w:r>
          </w:p>
        </w:tc>
      </w:tr>
    </w:tbl>
    <w:p/>
    <w:p>
      <w:pPr>
        <w:spacing w:before="280" w:after="160"/>
        <w:pBdr>
          <w:left w:val="single" w:sz="24" w:space="4" w:color="1F4E79"/>
        </w:pBdr>
      </w:pPr>
      <w:r>
        <w:rPr>
          <w:b/>
          <w:color w:val="1F4E79"/>
          <w:sz w:val="30"/>
          <w:rFonts w:eastAsia="Noto Serif TC" w:ascii="Calibri" w:hAnsi="Calibri"/>
        </w:rPr>
        <w:t>三、關鍵結構差異對打法的影響</w:t>
      </w:r>
    </w:p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差異1：內容不能複製症狀衛教邏輯</w:t>
      </w:r>
    </w:p>
    <w:p>
      <w:pPr>
        <w:spacing w:after="120"/>
      </w:pPr>
      <w:r>
        <w:rPr>
          <w:b w:val="0"/>
          <w:color w:val="222222"/>
          <w:sz w:val="24"/>
          <w:rFonts w:eastAsia="Noto Sans TC" w:ascii="Calibri" w:hAnsi="Calibri"/>
        </w:rPr>
        <w:t>藥局聯盟能寫「半夜牙痛怎麼辦」這種情境代入文章，因為消費者真的會在那個當下搜尋、當下就想找到藥局。販賣機加盟沒有對應的「當下急迫情境」——沒有人會在半夜緊急搜尋「哪裡可以加盟販賣機」。內容要換成**規劃型內容**：法規合規指南、場域評估checklist、ROI試算方法論、廠商比較框架——這些是jason-seo/transtep.com/mcstation.ai三站現有內容庫已經在做的方向（剛跑完的三個SEO agent就是這個路數），不是新發明，只是還沒有「加盟主分流頁面」這層。</w:t>
      </w:r>
    </w:p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差異2：轉換出口不是LINE OA問診，是「留資給對應的通路夥伴」</w:t>
      </w:r>
    </w:p>
    <w:p>
      <w:pPr>
        <w:spacing w:after="120"/>
      </w:pPr>
      <w:r>
        <w:rPr>
          <w:b w:val="0"/>
          <w:color w:val="222222"/>
          <w:sz w:val="24"/>
          <w:rFonts w:eastAsia="Noto Sans TC" w:ascii="Calibri" w:hAnsi="Calibri"/>
        </w:rPr>
        <w:t>藥局聯盟每個加盟個體有自己的LINE OA，消費者加了就直接找到那家藥局。販賣機加盟的每個「通路夥伴頁面」轉換出口應該是：訪客填寫「我的場域在OO」，系統依地理位置/場域類型自動分派給對應的通路夥伴（就是現有小龍AI顧問「網羅→轉換」機制裡的場域分類邏輯，可以直接複用）。</w:t>
      </w:r>
    </w:p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差異3：Hub已經存在，不用重建</w:t>
      </w:r>
    </w:p>
    <w:p>
      <w:pPr>
        <w:spacing w:after="120"/>
      </w:pPr>
      <w:r>
        <w:rPr>
          <w:b w:val="0"/>
          <w:color w:val="222222"/>
          <w:sz w:val="24"/>
          <w:rFonts w:eastAsia="Noto Sans TC" w:ascii="Calibri" w:hAnsi="Calibri"/>
        </w:rPr>
        <w:t>藥局聯盟案是從零開始建黃維德.com這個Hub。這次不用——transtep.com/mcstation.ai本身就是技術權威Hub，剛跑完的SEO衝刺已經在強化這件事。真正要新建的只有「加盟個體分流層」這一塊。</w:t>
      </w:r>
    </w:p>
    <w:p>
      <w:pPr>
        <w:spacing w:before="280" w:after="160"/>
        <w:pBdr>
          <w:left w:val="single" w:sz="24" w:space="4" w:color="1F4E79"/>
        </w:pBdr>
      </w:pPr>
      <w:r>
        <w:rPr>
          <w:b/>
          <w:color w:val="1F4E79"/>
          <w:sz w:val="30"/>
          <w:rFonts w:eastAsia="Noto Serif TC" w:ascii="Calibri" w:hAnsi="Calibri"/>
        </w:rPr>
        <w:t>四、建議架構</w:t>
      </w:r>
    </w:p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三層結構（比照聯盟模式，套上販賣機語境）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**Hub（已存在）**：transtep.com + mcstation.ai，技術權威內容+小龍AI顧問，不用新建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**通路夥伴分流層（新建，技術債）**：比照pharmacy-blogs的路徑分流模式（`/通路代號`），每個通路夥伴一頁，內容用樣板變數（{{通路夥伴名}}/{{負責區域}}/{{擅長場域類型}}）動態產生，SEO鎖定該通路夥伴實際負責的地理區域+場域類型組合關鍵字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**通路夥伴（對應加盟個體）**：目前現實中最接近的是Ardy（執行層，可能負責特定區域點位）、XMART/小七（負責東南亞宿舍場域這條線）、維康即食站（賴調元，醫院場域），這些都已經是「有負責範圍」的通路夥伴，不用重新招募就有第一批可以掛的內容</w:t>
      </w:r>
    </w:p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與現有架構的銜接</w:t>
      </w:r>
    </w:p>
    <w:p>
      <w:pPr>
        <w:spacing w:after="120"/>
      </w:pPr>
      <w:r>
        <w:rPr>
          <w:b w:val="0"/>
          <w:color w:val="222222"/>
          <w:sz w:val="24"/>
          <w:rFonts w:eastAsia="Noto Sans TC" w:ascii="Calibri" w:hAnsi="Calibri"/>
        </w:rPr>
        <w:t>這剛好補上「MCS分配中心＋Ardy執行層」模式目前缺的一塊——現有架構定義了物流/執行怎麼分工，但沒有「怎麼讓場域方主動找上門」這一段。加上通路夥伴SEO分流頁後，流程會變成：場域方Google搜尋→找到對應通路夥伴頁面→留資→依現有分派邏輯（MCS=資訊窗口，Ardy=執行）派給對的人跟進——不用改變現有分工，只是多一個「被動獲客」的入口。</w:t>
      </w:r>
    </w:p>
    <w:p>
      <w:pPr>
        <w:spacing w:before="280" w:after="160"/>
        <w:pBdr>
          <w:left w:val="single" w:sz="24" w:space="4" w:color="1F4E79"/>
        </w:pBdr>
      </w:pPr>
      <w:r>
        <w:rPr>
          <w:b/>
          <w:color w:val="1F4E79"/>
          <w:sz w:val="30"/>
          <w:rFonts w:eastAsia="Noto Serif TC" w:ascii="Calibri" w:hAnsi="Calibri"/>
        </w:rPr>
        <w:t>五、啟動前需要收集的資料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</w:tcPr>
          <w:p>
            <w:r/>
            <w:r>
              <w:rPr>
                <w:b/>
                <w:color w:val="FFFFFF"/>
                <w:sz w:val="22"/>
                <w:rFonts w:eastAsia="Noto Sans TC" w:ascii="Calibri" w:hAnsi="Calibri"/>
              </w:rPr>
              <w:t>資料項目</w:t>
            </w:r>
          </w:p>
        </w:tc>
        <w:tc>
          <w:tcPr>
            <w:tcW w:type="dxa" w:w="3249"/>
            <w:shd w:val="clear" w:color="auto" w:fill="1F4E79"/>
          </w:tcPr>
          <w:p>
            <w:r/>
            <w:r>
              <w:rPr>
                <w:b/>
                <w:color w:val="FFFFFF"/>
                <w:sz w:val="22"/>
                <w:rFonts w:eastAsia="Noto Sans TC" w:ascii="Calibri" w:hAnsi="Calibri"/>
              </w:rPr>
              <w:t>用途</w:t>
            </w:r>
          </w:p>
        </w:tc>
        <w:tc>
          <w:tcPr>
            <w:tcW w:type="dxa" w:w="3249"/>
            <w:shd w:val="clear" w:color="auto" w:fill="1F4E79"/>
          </w:tcPr>
          <w:p>
            <w:r/>
            <w:r>
              <w:rPr>
                <w:b/>
                <w:color w:val="FFFFFF"/>
                <w:sz w:val="22"/>
                <w:rFonts w:eastAsia="Noto Sans TC" w:ascii="Calibri" w:hAnsi="Calibri"/>
              </w:rPr>
              <w:t>目前狀態</w:t>
            </w:r>
          </w:p>
        </w:tc>
      </w:tr>
      <w:tr>
        <w:tc>
          <w:tcPr>
            <w:tcW w:type="dxa" w:w="3249"/>
            <w:shd w:val="clear" w:color="auto" w:fill="EBF3FB"/>
          </w:tcPr>
          <w:p>
            <w:r/>
            <w:r>
              <w:rPr>
                <w:b w:val="0"/>
                <w:sz w:val="21"/>
                <w:rFonts w:eastAsia="Noto Sans TC" w:ascii="Calibri" w:hAnsi="Calibri"/>
              </w:rPr>
              <w:t>每個通路夥伴的負責區域/場域類型</w:t>
            </w:r>
          </w:p>
        </w:tc>
        <w:tc>
          <w:tcPr>
            <w:tcW w:type="dxa" w:w="3249"/>
            <w:shd w:val="clear" w:color="auto" w:fill="EBF3FB"/>
          </w:tcPr>
          <w:p>
            <w:r/>
            <w:r>
              <w:rPr>
                <w:b w:val="0"/>
                <w:sz w:val="21"/>
                <w:rFonts w:eastAsia="Noto Sans TC" w:ascii="Calibri" w:hAnsi="Calibri"/>
              </w:rPr>
              <w:t>決定SEO頁面鎖定哪些「地區+場域」組合關鍵字</w:t>
            </w:r>
          </w:p>
        </w:tc>
        <w:tc>
          <w:tcPr>
            <w:tcW w:type="dxa" w:w="3249"/>
            <w:shd w:val="clear" w:color="auto" w:fill="EBF3FB"/>
          </w:tcPr>
          <w:p>
            <w:r/>
            <w:r>
              <w:rPr>
                <w:b w:val="0"/>
                <w:sz w:val="21"/>
                <w:rFonts w:eastAsia="Noto Sans TC" w:ascii="Calibri" w:hAnsi="Calibri"/>
              </w:rPr>
              <w:t>部分已知（Ardy點位、XMART東南亞宿舍、維康醫院場域），需要正式盤點成清單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21"/>
                <w:rFonts w:eastAsia="Noto Sans TC" w:ascii="Calibri" w:hAnsi="Calibri"/>
              </w:rPr>
              <w:t>通路夥伴的轉換出口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1"/>
                <w:rFonts w:eastAsia="Noto Sans TC" w:ascii="Calibri" w:hAnsi="Calibri"/>
              </w:rPr>
              <w:t>LINE OA連結或聯絡方式，沒有的話先用留資表單過渡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1"/>
                <w:rFonts w:eastAsia="Noto Sans TC" w:ascii="Calibri" w:hAnsi="Calibri"/>
              </w:rPr>
              <w:t>目前不確定各通路夥伴是否都有自己的LINE OA，需要逐一確認</w:t>
            </w:r>
          </w:p>
        </w:tc>
      </w:tr>
      <w:tr>
        <w:tc>
          <w:tcPr>
            <w:tcW w:type="dxa" w:w="3249"/>
            <w:shd w:val="clear" w:color="auto" w:fill="EBF3FB"/>
          </w:tcPr>
          <w:p>
            <w:r/>
            <w:r>
              <w:rPr>
                <w:b w:val="0"/>
                <w:sz w:val="21"/>
                <w:rFonts w:eastAsia="Noto Sans TC" w:ascii="Calibri" w:hAnsi="Calibri"/>
              </w:rPr>
              <w:t>通路夥伴品牌識別授權範圍</w:t>
            </w:r>
          </w:p>
        </w:tc>
        <w:tc>
          <w:tcPr>
            <w:tcW w:type="dxa" w:w="3249"/>
            <w:shd w:val="clear" w:color="auto" w:fill="EBF3FB"/>
          </w:tcPr>
          <w:p>
            <w:r/>
            <w:r>
              <w:rPr>
                <w:b w:val="0"/>
                <w:sz w:val="21"/>
                <w:rFonts w:eastAsia="Noto Sans TC" w:ascii="Calibri" w:hAnsi="Calibri"/>
              </w:rPr>
              <w:t>決定頁面上能不能用通路夥伴的名字/logo，還是要匿名處理成「合作夥伴」</w:t>
            </w:r>
          </w:p>
        </w:tc>
        <w:tc>
          <w:tcPr>
            <w:tcW w:type="dxa" w:w="3249"/>
            <w:shd w:val="clear" w:color="auto" w:fill="EBF3FB"/>
          </w:tcPr>
          <w:p>
            <w:r/>
            <w:r>
              <w:rPr>
                <w:b w:val="0"/>
                <w:sz w:val="21"/>
                <w:rFonts w:eastAsia="Noto Sans TC" w:ascii="Calibri" w:hAnsi="Calibri"/>
              </w:rPr>
              <w:t>未確認，涉及對外揭露程度，建議先問Jason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21"/>
                <w:rFonts w:eastAsia="Noto Sans TC" w:ascii="Calibri" w:hAnsi="Calibri"/>
              </w:rPr>
              <w:t>既有場域案例可否公開引用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1"/>
                <w:rFonts w:eastAsia="Noto Sans TC" w:ascii="Calibri" w:hAnsi="Calibri"/>
              </w:rPr>
              <w:t>內容需要具體場域類型佐證時，哪些案例可以寫、哪些要匿名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1"/>
                <w:rFonts w:eastAsia="Noto Sans TC" w:ascii="Calibri" w:hAnsi="Calibri"/>
              </w:rPr>
              <w:t>需要逐案確認，比照藥局聯盟的「已驗證資料庫」做法</w:t>
            </w:r>
          </w:p>
        </w:tc>
      </w:tr>
    </w:tbl>
    <w:p/>
    <w:p>
      <w:pPr>
        <w:spacing w:before="280" w:after="160"/>
        <w:pBdr>
          <w:left w:val="single" w:sz="24" w:space="4" w:color="1F4E79"/>
        </w:pBdr>
      </w:pPr>
      <w:r>
        <w:rPr>
          <w:b/>
          <w:color w:val="1F4E79"/>
          <w:sz w:val="30"/>
          <w:rFonts w:eastAsia="Noto Serif TC" w:ascii="Calibri" w:hAnsi="Calibri"/>
        </w:rPr>
        <w:t>六、技術實作方向（先看藥局聯盟踩過的坑）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優先用路徑分流（`transtep.com/通路代號`），不要一開始就做多domain——藥局聯盟案的教訓是domain管理本身就有一堆坑（Vercel Connect to project vs 手動alias漂移、.com.tw類本地網域Vercel買不了、跨團隊DNS管理權沒跟著轉移），先驗證內容策略有沒有效，域名的事晚一點再說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技術/品牌詞分寸原則直接沿用：場域決策方法論/法規知識可以寫深（這是科普權威），通路夥伴名字低調帶入（不要每頁都在打通路夥伴的品牌，避免變成業配文既視感）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轉換機制直接接現有小龍AI顧問的場域分類邏輯（`mapVenueSelect`那套），不用另外做一套</w:t>
      </w:r>
    </w:p>
    <w:p>
      <w:pPr>
        <w:spacing w:before="280" w:after="160"/>
        <w:pBdr>
          <w:left w:val="single" w:sz="24" w:space="4" w:color="1F4E79"/>
        </w:pBdr>
      </w:pPr>
      <w:r>
        <w:rPr>
          <w:b/>
          <w:color w:val="1F4E79"/>
          <w:sz w:val="30"/>
          <w:rFonts w:eastAsia="Noto Serif TC" w:ascii="Calibri" w:hAnsi="Calibri"/>
        </w:rPr>
        <w:t>七、風險與限制</w:t>
      </w:r>
    </w:p>
    <w:p>
      <w:pPr>
        <w:spacing w:after="120"/>
      </w:pPr>
      <w:r>
        <w:rPr>
          <w:b/>
          <w:color w:val="222222"/>
          <w:sz w:val="24"/>
          <w:rFonts w:eastAsia="Noto Sans TC" w:ascii="Calibri" w:hAnsi="Calibri"/>
        </w:rPr>
        <w:t>這不是穩贏的複製貼上，有幾個要注意：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B2B決策週期長，轉換率/見效速度不會像藥局聯盟那樣快看到留資數字，要有心理準備這是中長期佈局，不是這次SEO衝刺那種立即見效的內容量產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通路夥伴品牌授權沒談清楚就上線，可能引發跟藥局聯盟一樣的「加盟個體不想幫Hub打廣告」人性問題，甚至更敏感——因為XMART/小七等是商業合作關係，不是加盟契約關係，對外露出的分寸要先談好，不能自己單方面決定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目前多數通路案（維康即食站等）業務面都還在「架構定案、實際業務尚未開始」階段（見[[project_mcs_distribution_hub_ardy_model]]），SEO內容如果跑在商業合作條件敲定前面，可能出現「頁面寫了但通路夥伴根本還沒簽約」的空頭支票風險</w:t>
      </w:r>
    </w:p>
    <w:p>
      <w:pPr>
        <w:spacing w:before="280" w:after="160"/>
        <w:pBdr>
          <w:left w:val="single" w:sz="24" w:space="4" w:color="1F4E79"/>
        </w:pBdr>
      </w:pPr>
      <w:r>
        <w:rPr>
          <w:b/>
          <w:color w:val="1F4E79"/>
          <w:sz w:val="30"/>
          <w:rFonts w:eastAsia="Noto Serif TC" w:ascii="Calibri" w:hAnsi="Calibri"/>
        </w:rPr>
        <w:t>八、建議下一步（不建議現在直接動工）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第一步：Jason確認要不要啟動，以及先從哪個通路案試點（建議從業務關係最明確的XMART/小七東南亞宿舍案開始，因為分潤模型已經談定，不像維康案還卡在引薦階段）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第二步：跟試點通路夥伴確認品牌露出授權範圍+轉換出口（LINE OA或留資表單）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第三步：盤點試點通路夥伴的負責區域/場域類型，開始寫第一批B2B決策者導向內容（法規/ROI方法論/場域評估類，不是症狀衛教類）</w:t>
      </w:r>
    </w:p>
    <w:p>
      <w:pPr>
        <w:pStyle w:val="ListBullet"/>
        <w:ind w:left="340"/>
      </w:pPr>
      <w:r>
        <w:rPr>
          <w:b w:val="0"/>
          <w:sz w:val="23"/>
          <w:rFonts w:eastAsia="Noto Sans TC" w:ascii="Calibri" w:hAnsi="Calibri"/>
        </w:rPr>
        <w:t>第四步：技術上先做路徑分流頁面雛形，接上現有小龍場域分類轉換邏輯，跑一輪看留資數字再決定要不要擴大到其他通路夥伴</w:t>
      </w:r>
    </w:p>
    <w:p/>
    <w:p>
      <w:pPr>
        <w:jc w:val="center"/>
      </w:pPr>
      <w:r>
        <w:rPr>
          <w:b w:val="0"/>
          <w:color w:val="555555"/>
          <w:sz w:val="19"/>
          <w:rFonts w:eastAsia="Noto Sans TC" w:ascii="Calibri" w:hAnsi="Calibri"/>
        </w:rPr>
        <w:t>— AI CMO 產出 · 2026-07-18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