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117" w:rsidRPr="00705E0D" w:rsidRDefault="00E03B47">
      <w:pPr>
        <w:rPr>
          <w:rFonts w:ascii="Arial" w:hAnsi="Arial" w:cs="Arial"/>
          <w:b/>
          <w:sz w:val="32"/>
          <w:szCs w:val="32"/>
          <w:lang w:eastAsia="zh-HK"/>
        </w:rPr>
      </w:pPr>
      <w:r w:rsidRPr="00705E0D">
        <w:rPr>
          <w:rFonts w:ascii="Arial" w:hAnsi="Arial" w:cs="Arial"/>
          <w:b/>
          <w:sz w:val="32"/>
          <w:szCs w:val="32"/>
          <w:lang w:eastAsia="zh-HK"/>
        </w:rPr>
        <w:t>5.0 Financial Analysis &amp; Comparison</w:t>
      </w:r>
    </w:p>
    <w:p w:rsidR="00E03B47" w:rsidRPr="00E03B47" w:rsidRDefault="00E03B47">
      <w:pPr>
        <w:rPr>
          <w:rFonts w:ascii="Arial" w:hAnsi="Arial" w:cs="Arial"/>
          <w:lang w:eastAsia="zh-HK"/>
        </w:rPr>
      </w:pPr>
    </w:p>
    <w:p w:rsidR="00E03B47" w:rsidRPr="00705E0D" w:rsidRDefault="007B7260">
      <w:pPr>
        <w:rPr>
          <w:rFonts w:ascii="Arial" w:hAnsi="Arial" w:cs="Arial"/>
          <w:b/>
          <w:sz w:val="28"/>
          <w:szCs w:val="28"/>
          <w:lang w:eastAsia="zh-HK"/>
        </w:rPr>
      </w:pPr>
      <w:r>
        <w:rPr>
          <w:rFonts w:ascii="Arial" w:hAnsi="Arial" w:cs="Arial" w:hint="eastAsia"/>
          <w:b/>
          <w:sz w:val="28"/>
          <w:szCs w:val="28"/>
          <w:lang w:eastAsia="zh-HK"/>
        </w:rPr>
        <w:tab/>
      </w:r>
      <w:r w:rsidR="00E03B47" w:rsidRPr="00705E0D">
        <w:rPr>
          <w:rFonts w:ascii="Arial" w:hAnsi="Arial" w:cs="Arial"/>
          <w:b/>
          <w:sz w:val="28"/>
          <w:szCs w:val="28"/>
          <w:lang w:eastAsia="zh-HK"/>
        </w:rPr>
        <w:t xml:space="preserve">5.1 Overview Summary of Financial Statements </w:t>
      </w:r>
    </w:p>
    <w:p w:rsidR="00206A38" w:rsidRPr="00E03B47" w:rsidRDefault="00206A38">
      <w:pPr>
        <w:rPr>
          <w:rFonts w:ascii="Arial" w:hAnsi="Arial" w:cs="Arial"/>
          <w:lang w:eastAsia="zh-HK"/>
        </w:rPr>
      </w:pPr>
    </w:p>
    <w:p w:rsidR="00E03B47" w:rsidRPr="00FE1697" w:rsidRDefault="00E03B47">
      <w:pPr>
        <w:rPr>
          <w:rFonts w:ascii="Arial" w:hAnsi="Arial" w:cs="Arial"/>
          <w:sz w:val="22"/>
          <w:lang w:eastAsia="zh-HK"/>
        </w:rPr>
      </w:pPr>
      <w:r w:rsidRPr="00FE1697">
        <w:rPr>
          <w:rFonts w:ascii="Arial" w:hAnsi="Arial" w:cs="Arial"/>
          <w:sz w:val="22"/>
          <w:lang w:eastAsia="zh-HK"/>
        </w:rPr>
        <w:t xml:space="preserve">This section gives an overview analysis of the </w:t>
      </w:r>
      <w:r w:rsidR="002716C3" w:rsidRPr="00FE1697">
        <w:rPr>
          <w:rFonts w:ascii="Arial" w:hAnsi="Arial" w:cs="Arial" w:hint="eastAsia"/>
          <w:sz w:val="22"/>
          <w:lang w:eastAsia="zh-HK"/>
        </w:rPr>
        <w:t>key</w:t>
      </w:r>
      <w:r w:rsidRPr="00FE1697">
        <w:rPr>
          <w:rFonts w:ascii="Arial" w:hAnsi="Arial" w:cs="Arial"/>
          <w:sz w:val="22"/>
          <w:lang w:eastAsia="zh-HK"/>
        </w:rPr>
        <w:t xml:space="preserve"> financial data.</w:t>
      </w:r>
      <w:r w:rsidR="001864C4" w:rsidRPr="00FE1697">
        <w:rPr>
          <w:rFonts w:ascii="Arial" w:hAnsi="Arial" w:cs="Arial" w:hint="eastAsia"/>
          <w:sz w:val="22"/>
          <w:lang w:eastAsia="zh-HK"/>
        </w:rPr>
        <w:t xml:space="preserve"> Further performance details and comparison </w:t>
      </w:r>
      <w:r w:rsidR="0008451B" w:rsidRPr="00FE1697">
        <w:rPr>
          <w:rFonts w:ascii="Arial" w:hAnsi="Arial" w:cs="Arial" w:hint="eastAsia"/>
          <w:sz w:val="22"/>
          <w:lang w:eastAsia="zh-HK"/>
        </w:rPr>
        <w:t xml:space="preserve">of each core business </w:t>
      </w:r>
      <w:r w:rsidR="001864C4" w:rsidRPr="00FE1697">
        <w:rPr>
          <w:rFonts w:ascii="Arial" w:hAnsi="Arial" w:cs="Arial" w:hint="eastAsia"/>
          <w:sz w:val="22"/>
          <w:lang w:eastAsia="zh-HK"/>
        </w:rPr>
        <w:t>will be covered in Section</w:t>
      </w:r>
      <w:r w:rsidR="005F0E87" w:rsidRPr="00FE1697">
        <w:rPr>
          <w:rFonts w:ascii="Arial" w:hAnsi="Arial" w:cs="Arial" w:hint="eastAsia"/>
          <w:sz w:val="22"/>
          <w:lang w:eastAsia="zh-HK"/>
        </w:rPr>
        <w:t>s</w:t>
      </w:r>
      <w:r w:rsidR="001864C4" w:rsidRPr="00FE1697">
        <w:rPr>
          <w:rFonts w:ascii="Arial" w:hAnsi="Arial" w:cs="Arial" w:hint="eastAsia"/>
          <w:sz w:val="22"/>
          <w:lang w:eastAsia="zh-HK"/>
        </w:rPr>
        <w:t xml:space="preserve"> 5.2 to 5.5. </w:t>
      </w:r>
      <w:r w:rsidR="00F82127" w:rsidRPr="00FE1697">
        <w:rPr>
          <w:rFonts w:ascii="Arial" w:hAnsi="Arial" w:cs="Arial" w:hint="eastAsia"/>
          <w:sz w:val="22"/>
          <w:lang w:eastAsia="zh-HK"/>
        </w:rPr>
        <w:t>Data of up to 10 years may be presented but major f</w:t>
      </w:r>
      <w:r w:rsidRPr="00FE1697">
        <w:rPr>
          <w:rFonts w:ascii="Arial" w:hAnsi="Arial" w:cs="Arial"/>
          <w:sz w:val="22"/>
          <w:lang w:eastAsia="zh-HK"/>
        </w:rPr>
        <w:t>ocus will be put in the last 5 years</w:t>
      </w:r>
      <w:r w:rsidR="00E112F8">
        <w:rPr>
          <w:rFonts w:ascii="Arial" w:hAnsi="Arial" w:cs="Arial" w:hint="eastAsia"/>
          <w:sz w:val="22"/>
          <w:lang w:eastAsia="zh-HK"/>
        </w:rPr>
        <w:t xml:space="preserve"> from 2010 to 2014</w:t>
      </w:r>
      <w:r w:rsidR="00F82127" w:rsidRPr="00FE1697">
        <w:rPr>
          <w:rFonts w:ascii="Arial" w:hAnsi="Arial" w:cs="Arial" w:hint="eastAsia"/>
          <w:sz w:val="22"/>
          <w:lang w:eastAsia="zh-HK"/>
        </w:rPr>
        <w:t xml:space="preserve"> in the analysis</w:t>
      </w:r>
      <w:r w:rsidRPr="00FE1697">
        <w:rPr>
          <w:rFonts w:ascii="Arial" w:hAnsi="Arial" w:cs="Arial"/>
          <w:sz w:val="22"/>
          <w:lang w:eastAsia="zh-HK"/>
        </w:rPr>
        <w:t xml:space="preserve">. </w:t>
      </w:r>
    </w:p>
    <w:p w:rsidR="00E03B47" w:rsidRPr="00E112F8" w:rsidRDefault="00E03B47">
      <w:pPr>
        <w:rPr>
          <w:rFonts w:ascii="Arial" w:hAnsi="Arial" w:cs="Arial"/>
          <w:lang w:eastAsia="zh-HK"/>
        </w:rPr>
      </w:pPr>
    </w:p>
    <w:p w:rsidR="00705E0D" w:rsidRPr="007B7260" w:rsidRDefault="007B7260">
      <w:pPr>
        <w:rPr>
          <w:rFonts w:ascii="Arial" w:hAnsi="Arial" w:cs="Arial"/>
          <w:b/>
          <w:lang w:eastAsia="zh-HK"/>
        </w:rPr>
      </w:pPr>
      <w:r>
        <w:rPr>
          <w:rFonts w:ascii="Arial" w:hAnsi="Arial" w:cs="Arial" w:hint="eastAsia"/>
          <w:b/>
          <w:lang w:eastAsia="zh-HK"/>
        </w:rPr>
        <w:tab/>
      </w:r>
      <w:r>
        <w:rPr>
          <w:rFonts w:ascii="Arial" w:hAnsi="Arial" w:cs="Arial" w:hint="eastAsia"/>
          <w:b/>
          <w:lang w:eastAsia="zh-HK"/>
        </w:rPr>
        <w:tab/>
      </w:r>
      <w:r w:rsidR="00705E0D" w:rsidRPr="007B7260">
        <w:rPr>
          <w:rFonts w:ascii="Arial" w:hAnsi="Arial" w:cs="Arial" w:hint="eastAsia"/>
          <w:b/>
          <w:lang w:eastAsia="zh-HK"/>
        </w:rPr>
        <w:t xml:space="preserve">5.1.1 </w:t>
      </w:r>
      <w:r w:rsidR="00157D5B">
        <w:rPr>
          <w:rFonts w:ascii="Arial" w:hAnsi="Arial" w:cs="Arial" w:hint="eastAsia"/>
          <w:b/>
          <w:lang w:eastAsia="zh-HK"/>
        </w:rPr>
        <w:t xml:space="preserve">Ten-Year </w:t>
      </w:r>
      <w:r w:rsidR="00F241BF">
        <w:rPr>
          <w:rFonts w:ascii="Arial" w:hAnsi="Arial" w:cs="Arial" w:hint="eastAsia"/>
          <w:b/>
          <w:lang w:eastAsia="zh-HK"/>
        </w:rPr>
        <w:t xml:space="preserve">Key </w:t>
      </w:r>
      <w:r w:rsidR="00705E0D" w:rsidRPr="007B7260">
        <w:rPr>
          <w:rFonts w:ascii="Arial" w:hAnsi="Arial" w:cs="Arial" w:hint="eastAsia"/>
          <w:b/>
          <w:lang w:eastAsia="zh-HK"/>
        </w:rPr>
        <w:t>Statistics</w:t>
      </w:r>
    </w:p>
    <w:p w:rsidR="00705E0D" w:rsidRDefault="00705E0D">
      <w:pPr>
        <w:rPr>
          <w:rFonts w:ascii="Arial" w:hAnsi="Arial" w:cs="Arial"/>
          <w:lang w:eastAsia="zh-HK"/>
        </w:rPr>
      </w:pPr>
    </w:p>
    <w:tbl>
      <w:tblPr>
        <w:tblW w:w="9800" w:type="dxa"/>
        <w:jc w:val="center"/>
        <w:tblInd w:w="14" w:type="dxa"/>
        <w:tblCellMar>
          <w:left w:w="28" w:type="dxa"/>
          <w:right w:w="28" w:type="dxa"/>
        </w:tblCellMar>
        <w:tblLook w:val="04A0"/>
      </w:tblPr>
      <w:tblGrid>
        <w:gridCol w:w="28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F241BF" w:rsidRPr="00F241BF" w:rsidTr="00A35553">
        <w:trPr>
          <w:trHeight w:val="285"/>
          <w:tblHeader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A9D18D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in HK$ million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9D18D"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2014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9D18D"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2013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9D18D"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2012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9D18D"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2011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9D18D"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2010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9D18D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2009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9D18D"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2008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9D18D"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2007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9D18D"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2006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9D18D"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2005</w:t>
            </w:r>
          </w:p>
        </w:tc>
      </w:tr>
      <w:tr w:rsidR="00F241BF" w:rsidRPr="00F241BF" w:rsidTr="00A35553">
        <w:trPr>
          <w:trHeight w:val="45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b/>
                <w:bCs/>
                <w:color w:val="0070C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b/>
                <w:bCs/>
                <w:color w:val="0070C0"/>
                <w:kern w:val="0"/>
                <w:sz w:val="17"/>
                <w:szCs w:val="17"/>
              </w:rPr>
              <w:t>Consolidated Profit and Loss Account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F241BF" w:rsidRPr="00F241BF" w:rsidTr="00A35553">
        <w:trPr>
          <w:trHeight w:val="28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Turnover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40,156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38,707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35,739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33,423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29,518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18,797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17,628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10,690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9,541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9,153</w:t>
            </w:r>
          </w:p>
        </w:tc>
      </w:tr>
      <w:tr w:rsidR="00F241BF" w:rsidRPr="00F241BF" w:rsidTr="00A35553">
        <w:trPr>
          <w:trHeight w:val="67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Operating profit before depreciation, amortisation and variable annual payment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19,639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15,795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16,133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17,058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14,951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13,069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14,009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14,229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11,032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11,259</w:t>
            </w:r>
          </w:p>
        </w:tc>
      </w:tr>
      <w:tr w:rsidR="00F241BF" w:rsidRPr="00F241BF" w:rsidTr="00A35553">
        <w:trPr>
          <w:trHeight w:val="28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Depreciation and amortisation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3,485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3,372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3,208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3,206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3,120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2,992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2,944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2,752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2,688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2,695</w:t>
            </w:r>
          </w:p>
        </w:tc>
      </w:tr>
      <w:tr w:rsidR="00F241BF" w:rsidRPr="00F241BF" w:rsidTr="00A35553">
        <w:trPr>
          <w:trHeight w:val="28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Interest and finance charges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732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879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921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1,237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1,504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1,998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1,316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1,398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1,361</w:t>
            </w:r>
          </w:p>
        </w:tc>
      </w:tr>
      <w:tr w:rsidR="00F241BF" w:rsidRPr="00F241BF" w:rsidTr="00A35553">
        <w:trPr>
          <w:trHeight w:val="45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Investment property revalation gain/loss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4,035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4,425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3,757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5,088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4,074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2,798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-146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8,011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2,178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2,800</w:t>
            </w:r>
          </w:p>
        </w:tc>
      </w:tr>
      <w:tr w:rsidR="00F241BF" w:rsidRPr="00F241BF" w:rsidTr="00A35553">
        <w:trPr>
          <w:trHeight w:val="28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Profit for the year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15,797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13,208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13,514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15,688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12,844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10,101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8,035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16,584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8,139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8,953</w:t>
            </w:r>
          </w:p>
        </w:tc>
      </w:tr>
      <w:tr w:rsidR="00F241BF" w:rsidRPr="00F241BF" w:rsidTr="00A35553">
        <w:trPr>
          <w:trHeight w:val="67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Profit attributable to equity shareholders arising from underlying businesses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11,571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8,600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9,618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10,468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8,657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7,300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8,185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8,571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5,962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6,140</w:t>
            </w:r>
          </w:p>
        </w:tc>
      </w:tr>
      <w:tr w:rsidR="00F241BF" w:rsidRPr="00F241BF" w:rsidTr="00A35553">
        <w:trPr>
          <w:trHeight w:val="28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Dividend proposed and declared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6,116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5,335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4,575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4,396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3,405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2,977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2,715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2,522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2,328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2,299</w:t>
            </w:r>
          </w:p>
        </w:tc>
      </w:tr>
      <w:tr w:rsidR="00F241BF" w:rsidRPr="00F241BF" w:rsidTr="00A35553">
        <w:trPr>
          <w:trHeight w:val="28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Earnings per share(HK$)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2.25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2.31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1.43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2.98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1.48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1.65</w:t>
            </w:r>
          </w:p>
        </w:tc>
      </w:tr>
      <w:tr w:rsidR="00F241BF" w:rsidRPr="00F241BF" w:rsidTr="00A35553">
        <w:trPr>
          <w:trHeight w:val="45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b/>
                <w:bCs/>
                <w:color w:val="0070C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b/>
                <w:bCs/>
                <w:color w:val="0070C0"/>
                <w:kern w:val="0"/>
                <w:sz w:val="17"/>
                <w:szCs w:val="17"/>
              </w:rPr>
              <w:t>Consolidated Balance Sheet(HK million $)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F241BF" w:rsidRPr="00F241BF" w:rsidTr="00A35553">
        <w:trPr>
          <w:trHeight w:val="28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Total assets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227,152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215,823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206,687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197,684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181,660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176,492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159,345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155,668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120,421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113,666</w:t>
            </w:r>
          </w:p>
        </w:tc>
      </w:tr>
      <w:tr w:rsidR="00F241BF" w:rsidRPr="00F241BF" w:rsidTr="00A35553">
        <w:trPr>
          <w:trHeight w:val="45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Loans, other obligations and bank overdrafts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20,507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24,511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23,577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23,168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21,057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23,868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31,289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34,050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28,152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28,264</w:t>
            </w:r>
          </w:p>
        </w:tc>
      </w:tr>
      <w:tr w:rsidR="00F241BF" w:rsidRPr="00F241BF" w:rsidTr="00A35553">
        <w:trPr>
          <w:trHeight w:val="45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Obligations under service concession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10,614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10,658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10,690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10,724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10,749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10,625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10,656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10,685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E1697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E1697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-</w:t>
            </w:r>
          </w:p>
        </w:tc>
      </w:tr>
      <w:tr w:rsidR="00F241BF" w:rsidRPr="00F241BF" w:rsidTr="00A35553">
        <w:trPr>
          <w:trHeight w:val="28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Deferred income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765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623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488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403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605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1,682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3,584</w:t>
            </w:r>
          </w:p>
        </w:tc>
      </w:tr>
      <w:tr w:rsidR="00F241BF" w:rsidRPr="00F241BF" w:rsidTr="00A35553">
        <w:trPr>
          <w:trHeight w:val="450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Total equity attributable to equity shareholders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163,325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152,577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142,904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131,907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121,914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110,479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101,431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94,889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79,242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71,969</w:t>
            </w:r>
          </w:p>
        </w:tc>
      </w:tr>
      <w:tr w:rsidR="00F241BF" w:rsidRPr="00F241BF" w:rsidTr="00A35553">
        <w:trPr>
          <w:trHeight w:val="28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b/>
                <w:bCs/>
                <w:color w:val="0070C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b/>
                <w:bCs/>
                <w:color w:val="0070C0"/>
                <w:kern w:val="0"/>
                <w:sz w:val="17"/>
                <w:szCs w:val="17"/>
              </w:rPr>
              <w:lastRenderedPageBreak/>
              <w:t>Financial Ratios(%)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</w:p>
        </w:tc>
      </w:tr>
      <w:tr w:rsidR="00F241BF" w:rsidRPr="00F241BF" w:rsidTr="00A35553">
        <w:trPr>
          <w:trHeight w:val="28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Operating margin(%)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38.4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37.2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36.1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36.3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50.6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55.4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54.7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55.9</w:t>
            </w:r>
          </w:p>
        </w:tc>
      </w:tr>
      <w:tr w:rsidR="00F241BF" w:rsidRPr="00F241BF" w:rsidTr="00A35553">
        <w:trPr>
          <w:trHeight w:val="67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Operating margin (excluding Mainland of China and international subsidiaries)(%)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53.1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53.4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53.6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55.6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55.1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53.8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53.2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55.9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55.3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55.9</w:t>
            </w:r>
          </w:p>
        </w:tc>
      </w:tr>
      <w:tr w:rsidR="00F241BF" w:rsidRPr="00F241BF" w:rsidTr="00A35553">
        <w:trPr>
          <w:trHeight w:val="28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Net debt-to-equity ratio (%)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7.6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11.8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11.6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12.3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24.9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40.6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46.5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35.1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38.8</w:t>
            </w:r>
          </w:p>
        </w:tc>
      </w:tr>
      <w:tr w:rsidR="00F241BF" w:rsidRPr="00F241BF" w:rsidTr="00A35553">
        <w:trPr>
          <w:trHeight w:val="28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41BF" w:rsidRPr="00F241BF" w:rsidRDefault="00F241BF" w:rsidP="00F241BF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Interest cover (times)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15.2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11.5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14.5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10.5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7.1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241B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6.7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41BF" w:rsidRPr="00F241BF" w:rsidRDefault="00F241BF" w:rsidP="00FA503B">
            <w:pPr>
              <w:keepNext/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</w:pPr>
            <w:r w:rsidRPr="00F241BF">
              <w:rPr>
                <w:rFonts w:ascii="Arial" w:eastAsia="新細明體" w:hAnsi="Arial" w:cs="Arial"/>
                <w:color w:val="000000"/>
                <w:kern w:val="0"/>
                <w:sz w:val="17"/>
                <w:szCs w:val="17"/>
              </w:rPr>
              <w:t>7.6</w:t>
            </w:r>
          </w:p>
        </w:tc>
      </w:tr>
    </w:tbl>
    <w:p w:rsidR="00FA503B" w:rsidRPr="00FA503B" w:rsidRDefault="00FA503B" w:rsidP="00FA503B">
      <w:pPr>
        <w:pStyle w:val="aa"/>
        <w:jc w:val="center"/>
        <w:rPr>
          <w:rFonts w:ascii="Arial" w:hAnsi="Arial" w:cs="Arial"/>
          <w:i/>
          <w:sz w:val="22"/>
          <w:szCs w:val="22"/>
        </w:rPr>
      </w:pPr>
      <w:bookmarkStart w:id="0" w:name="_Ref448701724"/>
      <w:r w:rsidRPr="00FA503B">
        <w:rPr>
          <w:rFonts w:ascii="Arial" w:hAnsi="Arial" w:cs="Arial"/>
          <w:i/>
          <w:sz w:val="22"/>
          <w:szCs w:val="22"/>
        </w:rPr>
        <w:t xml:space="preserve">Table </w:t>
      </w:r>
      <w:r w:rsidRPr="00FA503B">
        <w:rPr>
          <w:rFonts w:ascii="Arial" w:hAnsi="Arial" w:cs="Arial"/>
          <w:i/>
          <w:sz w:val="22"/>
          <w:szCs w:val="22"/>
        </w:rPr>
        <w:fldChar w:fldCharType="begin"/>
      </w:r>
      <w:r w:rsidRPr="00FA503B">
        <w:rPr>
          <w:rFonts w:ascii="Arial" w:hAnsi="Arial" w:cs="Arial"/>
          <w:i/>
          <w:sz w:val="22"/>
          <w:szCs w:val="22"/>
        </w:rPr>
        <w:instrText xml:space="preserve"> SEQ Table \* ARABIC </w:instrText>
      </w:r>
      <w:r w:rsidRPr="00FA503B">
        <w:rPr>
          <w:rFonts w:ascii="Arial" w:hAnsi="Arial" w:cs="Arial"/>
          <w:i/>
          <w:sz w:val="22"/>
          <w:szCs w:val="22"/>
        </w:rPr>
        <w:fldChar w:fldCharType="separate"/>
      </w:r>
      <w:r w:rsidR="00E918EE">
        <w:rPr>
          <w:rFonts w:ascii="Arial" w:hAnsi="Arial" w:cs="Arial"/>
          <w:i/>
          <w:noProof/>
          <w:sz w:val="22"/>
          <w:szCs w:val="22"/>
        </w:rPr>
        <w:t>1</w:t>
      </w:r>
      <w:r w:rsidRPr="00FA503B">
        <w:rPr>
          <w:rFonts w:ascii="Arial" w:hAnsi="Arial" w:cs="Arial"/>
          <w:i/>
          <w:sz w:val="22"/>
          <w:szCs w:val="22"/>
        </w:rPr>
        <w:fldChar w:fldCharType="end"/>
      </w:r>
      <w:bookmarkEnd w:id="0"/>
      <w:r w:rsidRPr="00FA503B">
        <w:rPr>
          <w:rFonts w:ascii="Arial" w:hAnsi="Arial" w:cs="Arial"/>
          <w:i/>
          <w:sz w:val="22"/>
          <w:szCs w:val="22"/>
          <w:lang w:eastAsia="zh-HK"/>
        </w:rPr>
        <w:t>: Ten-year key statistics</w:t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t xml:space="preserve"> [</w:t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begin"/>
      </w:r>
      <w:r w:rsidR="00D31160">
        <w:rPr>
          <w:rFonts w:ascii="Arial" w:hAnsi="Arial" w:cs="Arial"/>
          <w:i/>
          <w:sz w:val="22"/>
          <w:szCs w:val="22"/>
          <w:lang w:eastAsia="zh-HK"/>
        </w:rPr>
        <w:instrText xml:space="preserve"> </w:instrText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instrText>REF _Ref448702403 \r \h</w:instrText>
      </w:r>
      <w:r w:rsidR="00D31160">
        <w:rPr>
          <w:rFonts w:ascii="Arial" w:hAnsi="Arial" w:cs="Arial"/>
          <w:i/>
          <w:sz w:val="22"/>
          <w:szCs w:val="22"/>
          <w:lang w:eastAsia="zh-HK"/>
        </w:rPr>
        <w:instrText xml:space="preserve"> </w:instrText>
      </w:r>
      <w:r w:rsidR="00D31160">
        <w:rPr>
          <w:rFonts w:ascii="Arial" w:hAnsi="Arial" w:cs="Arial"/>
          <w:i/>
          <w:sz w:val="22"/>
          <w:szCs w:val="22"/>
          <w:lang w:eastAsia="zh-HK"/>
        </w:rPr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separate"/>
      </w:r>
      <w:r w:rsidR="00D31160">
        <w:rPr>
          <w:rFonts w:ascii="Arial" w:hAnsi="Arial" w:cs="Arial"/>
          <w:i/>
          <w:sz w:val="22"/>
          <w:szCs w:val="22"/>
          <w:lang w:eastAsia="zh-HK"/>
        </w:rPr>
        <w:t>1</w:t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end"/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t>]</w:t>
      </w:r>
    </w:p>
    <w:p w:rsidR="00157D5B" w:rsidRPr="00E03B47" w:rsidRDefault="00157D5B">
      <w:pPr>
        <w:rPr>
          <w:rFonts w:ascii="Arial" w:hAnsi="Arial" w:cs="Arial"/>
          <w:lang w:eastAsia="zh-HK"/>
        </w:rPr>
      </w:pPr>
    </w:p>
    <w:p w:rsidR="00F00657" w:rsidRDefault="00157D5B">
      <w:pPr>
        <w:rPr>
          <w:rFonts w:ascii="Arial" w:hAnsi="Arial" w:cs="Arial"/>
          <w:sz w:val="22"/>
          <w:lang w:eastAsia="zh-HK"/>
        </w:rPr>
      </w:pPr>
      <w:r w:rsidRPr="00FE1697">
        <w:rPr>
          <w:rFonts w:ascii="Arial" w:hAnsi="Arial" w:cs="Arial" w:hint="eastAsia"/>
          <w:sz w:val="22"/>
          <w:lang w:eastAsia="zh-HK"/>
        </w:rPr>
        <w:t xml:space="preserve">The </w:t>
      </w:r>
      <w:r w:rsidR="004939B5" w:rsidRPr="00FE1697">
        <w:rPr>
          <w:rFonts w:ascii="Arial" w:hAnsi="Arial" w:cs="Arial"/>
          <w:sz w:val="22"/>
          <w:lang w:eastAsia="zh-HK"/>
        </w:rPr>
        <w:t>ten-yea</w:t>
      </w:r>
      <w:r w:rsidRPr="00FE1697">
        <w:rPr>
          <w:rFonts w:ascii="Arial" w:hAnsi="Arial" w:cs="Arial"/>
          <w:sz w:val="22"/>
          <w:lang w:eastAsia="zh-HK"/>
        </w:rPr>
        <w:t xml:space="preserve">r statistics, which is shown in </w:t>
      </w:r>
      <w:r w:rsidR="00FA503B">
        <w:rPr>
          <w:rFonts w:ascii="Arial" w:hAnsi="Arial" w:cs="Arial"/>
          <w:sz w:val="22"/>
          <w:highlight w:val="yellow"/>
          <w:lang w:eastAsia="zh-HK"/>
        </w:rPr>
        <w:fldChar w:fldCharType="begin"/>
      </w:r>
      <w:r w:rsidR="00FA503B">
        <w:rPr>
          <w:rFonts w:ascii="Arial" w:hAnsi="Arial" w:cs="Arial"/>
          <w:sz w:val="22"/>
          <w:lang w:eastAsia="zh-HK"/>
        </w:rPr>
        <w:instrText xml:space="preserve"> </w:instrText>
      </w:r>
      <w:r w:rsidR="00FA503B">
        <w:rPr>
          <w:rFonts w:ascii="Arial" w:hAnsi="Arial" w:cs="Arial" w:hint="eastAsia"/>
          <w:sz w:val="22"/>
          <w:lang w:eastAsia="zh-HK"/>
        </w:rPr>
        <w:instrText>REF _Ref448701724 \h</w:instrText>
      </w:r>
      <w:r w:rsidR="00FA503B">
        <w:rPr>
          <w:rFonts w:ascii="Arial" w:hAnsi="Arial" w:cs="Arial"/>
          <w:sz w:val="22"/>
          <w:lang w:eastAsia="zh-HK"/>
        </w:rPr>
        <w:instrText xml:space="preserve"> </w:instrText>
      </w:r>
      <w:r w:rsidR="00FA503B">
        <w:rPr>
          <w:rFonts w:ascii="Arial" w:hAnsi="Arial" w:cs="Arial"/>
          <w:sz w:val="22"/>
          <w:highlight w:val="yellow"/>
          <w:lang w:eastAsia="zh-HK"/>
        </w:rPr>
      </w:r>
      <w:r w:rsidR="00FA503B">
        <w:rPr>
          <w:rFonts w:ascii="Arial" w:hAnsi="Arial" w:cs="Arial"/>
          <w:sz w:val="22"/>
          <w:highlight w:val="yellow"/>
          <w:lang w:eastAsia="zh-HK"/>
        </w:rPr>
        <w:fldChar w:fldCharType="separate"/>
      </w:r>
      <w:r w:rsidR="00FA503B" w:rsidRPr="00FA503B">
        <w:rPr>
          <w:rFonts w:ascii="Arial" w:hAnsi="Arial" w:cs="Arial"/>
          <w:i/>
          <w:sz w:val="22"/>
        </w:rPr>
        <w:t xml:space="preserve">Table </w:t>
      </w:r>
      <w:r w:rsidR="00FA503B" w:rsidRPr="00FA503B">
        <w:rPr>
          <w:rFonts w:ascii="Arial" w:hAnsi="Arial" w:cs="Arial"/>
          <w:i/>
          <w:noProof/>
          <w:sz w:val="22"/>
        </w:rPr>
        <w:t>1</w:t>
      </w:r>
      <w:r w:rsidR="00FA503B">
        <w:rPr>
          <w:rFonts w:ascii="Arial" w:hAnsi="Arial" w:cs="Arial"/>
          <w:sz w:val="22"/>
          <w:highlight w:val="yellow"/>
          <w:lang w:eastAsia="zh-HK"/>
        </w:rPr>
        <w:fldChar w:fldCharType="end"/>
      </w:r>
      <w:r w:rsidRPr="00FE1697">
        <w:rPr>
          <w:rFonts w:ascii="Arial" w:hAnsi="Arial" w:cs="Arial"/>
          <w:sz w:val="22"/>
          <w:lang w:eastAsia="zh-HK"/>
        </w:rPr>
        <w:t>,</w:t>
      </w:r>
      <w:r w:rsidR="004939B5" w:rsidRPr="00FE1697">
        <w:rPr>
          <w:rFonts w:ascii="Arial" w:hAnsi="Arial" w:cs="Arial"/>
          <w:sz w:val="22"/>
          <w:lang w:eastAsia="zh-HK"/>
        </w:rPr>
        <w:t xml:space="preserve"> co-relate to the major events of MTRC in the past</w:t>
      </w:r>
      <w:r w:rsidRPr="00FE1697">
        <w:rPr>
          <w:rFonts w:ascii="Arial" w:hAnsi="Arial" w:cs="Arial" w:hint="eastAsia"/>
          <w:sz w:val="22"/>
          <w:lang w:eastAsia="zh-HK"/>
        </w:rPr>
        <w:t xml:space="preserve">. </w:t>
      </w:r>
      <w:r w:rsidR="007E3D81" w:rsidRPr="00FE1697">
        <w:rPr>
          <w:rFonts w:ascii="Arial" w:hAnsi="Arial" w:cs="Arial"/>
          <w:sz w:val="22"/>
          <w:lang w:eastAsia="zh-HK"/>
        </w:rPr>
        <w:t>Turnover gr</w:t>
      </w:r>
      <w:r w:rsidRPr="00FE1697">
        <w:rPr>
          <w:rFonts w:ascii="Arial" w:hAnsi="Arial" w:cs="Arial" w:hint="eastAsia"/>
          <w:sz w:val="22"/>
          <w:lang w:eastAsia="zh-HK"/>
        </w:rPr>
        <w:t>ew</w:t>
      </w:r>
      <w:r w:rsidR="007E3D81" w:rsidRPr="00FE1697">
        <w:rPr>
          <w:rFonts w:ascii="Arial" w:hAnsi="Arial" w:cs="Arial"/>
          <w:sz w:val="22"/>
          <w:lang w:eastAsia="zh-HK"/>
        </w:rPr>
        <w:t xml:space="preserve"> steadily over the last 10 years with a significant rise in 2008 due to</w:t>
      </w:r>
      <w:r w:rsidR="005A3451" w:rsidRPr="00FE1697">
        <w:rPr>
          <w:rFonts w:ascii="Arial" w:hAnsi="Arial" w:cs="Arial" w:hint="eastAsia"/>
          <w:sz w:val="22"/>
          <w:lang w:eastAsia="zh-HK"/>
        </w:rPr>
        <w:t xml:space="preserve"> the</w:t>
      </w:r>
      <w:r w:rsidR="00011071">
        <w:rPr>
          <w:rFonts w:ascii="Arial" w:hAnsi="Arial" w:cs="Arial" w:hint="eastAsia"/>
          <w:sz w:val="22"/>
          <w:lang w:eastAsia="zh-HK"/>
        </w:rPr>
        <w:t xml:space="preserve"> </w:t>
      </w:r>
      <w:r w:rsidRPr="00FE1697">
        <w:rPr>
          <w:rFonts w:ascii="Arial" w:hAnsi="Arial" w:cs="Arial" w:hint="eastAsia"/>
          <w:sz w:val="22"/>
          <w:lang w:eastAsia="zh-HK"/>
        </w:rPr>
        <w:t xml:space="preserve">merging with Kowloon-Canton Railway Corporation (KCRC) </w:t>
      </w:r>
      <w:r w:rsidR="004F7A2F" w:rsidRPr="00FE1697">
        <w:rPr>
          <w:rFonts w:ascii="Arial" w:hAnsi="Arial" w:cs="Arial" w:hint="eastAsia"/>
          <w:sz w:val="22"/>
          <w:lang w:eastAsia="zh-HK"/>
        </w:rPr>
        <w:t xml:space="preserve">which brought over 60% of increase in revenue. </w:t>
      </w:r>
      <w:r w:rsidR="00F00657">
        <w:rPr>
          <w:rFonts w:ascii="Arial" w:hAnsi="Arial" w:cs="Arial" w:hint="eastAsia"/>
          <w:sz w:val="22"/>
          <w:lang w:eastAsia="zh-HK"/>
        </w:rPr>
        <w:t xml:space="preserve">The figure kept on rising </w:t>
      </w:r>
      <w:r w:rsidR="00006734">
        <w:rPr>
          <w:rFonts w:ascii="Arial" w:hAnsi="Arial" w:cs="Arial" w:hint="eastAsia"/>
          <w:sz w:val="22"/>
          <w:lang w:eastAsia="zh-HK"/>
        </w:rPr>
        <w:t xml:space="preserve">in subsequent years </w:t>
      </w:r>
      <w:r w:rsidR="00F00657">
        <w:rPr>
          <w:rFonts w:ascii="Arial" w:hAnsi="Arial" w:cs="Arial" w:hint="eastAsia"/>
          <w:sz w:val="22"/>
          <w:lang w:eastAsia="zh-HK"/>
        </w:rPr>
        <w:t xml:space="preserve">with new </w:t>
      </w:r>
      <w:r w:rsidR="00376E47">
        <w:rPr>
          <w:rFonts w:ascii="Arial" w:hAnsi="Arial" w:cs="Arial"/>
          <w:sz w:val="22"/>
          <w:lang w:eastAsia="zh-HK"/>
        </w:rPr>
        <w:t>extension</w:t>
      </w:r>
      <w:r w:rsidR="00011071">
        <w:rPr>
          <w:rFonts w:ascii="Arial" w:hAnsi="Arial" w:cs="Arial" w:hint="eastAsia"/>
          <w:sz w:val="22"/>
          <w:lang w:eastAsia="zh-HK"/>
        </w:rPr>
        <w:t xml:space="preserve"> </w:t>
      </w:r>
      <w:r w:rsidR="00F00657">
        <w:rPr>
          <w:rFonts w:ascii="Arial" w:hAnsi="Arial" w:cs="Arial" w:hint="eastAsia"/>
          <w:sz w:val="22"/>
          <w:lang w:eastAsia="zh-HK"/>
        </w:rPr>
        <w:t>lines coming into service (e.g. West Island Line</w:t>
      </w:r>
      <w:r w:rsidR="00380CC2">
        <w:rPr>
          <w:rFonts w:ascii="Arial" w:hAnsi="Arial" w:cs="Arial" w:hint="eastAsia"/>
          <w:sz w:val="22"/>
          <w:lang w:eastAsia="zh-HK"/>
        </w:rPr>
        <w:t xml:space="preserve">), </w:t>
      </w:r>
      <w:r w:rsidR="00F00657">
        <w:rPr>
          <w:rFonts w:ascii="Arial" w:hAnsi="Arial" w:cs="Arial" w:hint="eastAsia"/>
          <w:sz w:val="22"/>
          <w:lang w:eastAsia="zh-HK"/>
        </w:rPr>
        <w:t>improving of operation efficiency after merging</w:t>
      </w:r>
      <w:r w:rsidR="00AE667D">
        <w:rPr>
          <w:rFonts w:ascii="Arial" w:hAnsi="Arial" w:cs="Arial" w:hint="eastAsia"/>
          <w:sz w:val="22"/>
          <w:lang w:eastAsia="zh-HK"/>
        </w:rPr>
        <w:t>,</w:t>
      </w:r>
      <w:r w:rsidR="00380CC2">
        <w:rPr>
          <w:rFonts w:ascii="Arial" w:hAnsi="Arial" w:cs="Arial" w:hint="eastAsia"/>
          <w:sz w:val="22"/>
          <w:lang w:eastAsia="zh-HK"/>
        </w:rPr>
        <w:t xml:space="preserve"> and good performance of its properties &amp; station commercial businesses</w:t>
      </w:r>
      <w:r w:rsidR="00F00657">
        <w:rPr>
          <w:rFonts w:ascii="Arial" w:hAnsi="Arial" w:cs="Arial" w:hint="eastAsia"/>
          <w:sz w:val="22"/>
          <w:lang w:eastAsia="zh-HK"/>
        </w:rPr>
        <w:t xml:space="preserve">. </w:t>
      </w:r>
    </w:p>
    <w:p w:rsidR="00F00657" w:rsidRDefault="00F00657">
      <w:pPr>
        <w:rPr>
          <w:rFonts w:ascii="Arial" w:hAnsi="Arial" w:cs="Arial"/>
          <w:sz w:val="22"/>
          <w:lang w:eastAsia="zh-HK"/>
        </w:rPr>
      </w:pPr>
    </w:p>
    <w:p w:rsidR="0023409A" w:rsidRPr="00FE1697" w:rsidRDefault="006B7C9A">
      <w:pPr>
        <w:rPr>
          <w:rFonts w:ascii="Arial" w:hAnsi="Arial" w:cs="Arial"/>
          <w:sz w:val="22"/>
          <w:lang w:eastAsia="zh-HK"/>
        </w:rPr>
      </w:pPr>
      <w:r>
        <w:rPr>
          <w:rFonts w:ascii="Arial" w:hAnsi="Arial" w:cs="Arial" w:hint="eastAsia"/>
          <w:sz w:val="22"/>
          <w:lang w:eastAsia="zh-HK"/>
        </w:rPr>
        <w:t>Meanwhile</w:t>
      </w:r>
      <w:r w:rsidR="004F7A2F" w:rsidRPr="00FE1697">
        <w:rPr>
          <w:rFonts w:ascii="Arial" w:hAnsi="Arial" w:cs="Arial" w:hint="eastAsia"/>
          <w:sz w:val="22"/>
          <w:lang w:eastAsia="zh-HK"/>
        </w:rPr>
        <w:t xml:space="preserve">, </w:t>
      </w:r>
      <w:r w:rsidR="00E7092F" w:rsidRPr="00FE1697">
        <w:rPr>
          <w:rFonts w:ascii="Arial" w:hAnsi="Arial" w:cs="Arial" w:hint="eastAsia"/>
          <w:sz w:val="22"/>
          <w:lang w:eastAsia="zh-HK"/>
        </w:rPr>
        <w:t xml:space="preserve">an increase in </w:t>
      </w:r>
      <w:r w:rsidR="00157D5B" w:rsidRPr="00FE1697">
        <w:rPr>
          <w:rFonts w:ascii="Arial" w:hAnsi="Arial" w:cs="Arial" w:hint="eastAsia"/>
          <w:sz w:val="22"/>
          <w:lang w:eastAsia="zh-HK"/>
        </w:rPr>
        <w:t>loans</w:t>
      </w:r>
      <w:r w:rsidR="00BA75EB">
        <w:rPr>
          <w:rFonts w:ascii="Arial" w:hAnsi="Arial" w:cs="Arial" w:hint="eastAsia"/>
          <w:sz w:val="22"/>
          <w:lang w:eastAsia="zh-HK"/>
        </w:rPr>
        <w:t xml:space="preserve"> was observed</w:t>
      </w:r>
      <w:r w:rsidR="00E7092F" w:rsidRPr="00FE1697">
        <w:rPr>
          <w:rFonts w:ascii="Arial" w:hAnsi="Arial" w:cs="Arial" w:hint="eastAsia"/>
          <w:sz w:val="22"/>
          <w:lang w:eastAsia="zh-HK"/>
        </w:rPr>
        <w:t xml:space="preserve"> when the </w:t>
      </w:r>
      <w:r w:rsidR="00157D5B" w:rsidRPr="00FE1697">
        <w:rPr>
          <w:rFonts w:ascii="Arial" w:hAnsi="Arial" w:cs="Arial" w:hint="eastAsia"/>
          <w:sz w:val="22"/>
          <w:lang w:eastAsia="zh-HK"/>
        </w:rPr>
        <w:t>rail merger plan started in 2007.</w:t>
      </w:r>
      <w:r w:rsidR="001E3115">
        <w:rPr>
          <w:rFonts w:ascii="Arial" w:hAnsi="Arial" w:cs="Arial" w:hint="eastAsia"/>
          <w:sz w:val="22"/>
          <w:lang w:eastAsia="zh-HK"/>
        </w:rPr>
        <w:t xml:space="preserve"> </w:t>
      </w:r>
      <w:r w:rsidR="00E87FCD" w:rsidRPr="00FE1697">
        <w:rPr>
          <w:rFonts w:ascii="Arial" w:hAnsi="Arial" w:cs="Arial" w:hint="eastAsia"/>
          <w:sz w:val="22"/>
          <w:lang w:eastAsia="zh-HK"/>
        </w:rPr>
        <w:t>A</w:t>
      </w:r>
      <w:r w:rsidR="005631AB" w:rsidRPr="00FE1697">
        <w:rPr>
          <w:rFonts w:ascii="Arial" w:hAnsi="Arial" w:cs="Arial" w:hint="eastAsia"/>
          <w:sz w:val="22"/>
          <w:lang w:eastAsia="zh-HK"/>
        </w:rPr>
        <w:t xml:space="preserve"> drop in p</w:t>
      </w:r>
      <w:r w:rsidR="007E3D81" w:rsidRPr="00FE1697">
        <w:rPr>
          <w:rFonts w:ascii="Arial" w:hAnsi="Arial" w:cs="Arial"/>
          <w:sz w:val="22"/>
          <w:lang w:eastAsia="zh-HK"/>
        </w:rPr>
        <w:t xml:space="preserve">rofit </w:t>
      </w:r>
      <w:r w:rsidR="005631AB" w:rsidRPr="00FE1697">
        <w:rPr>
          <w:rFonts w:ascii="Arial" w:hAnsi="Arial" w:cs="Arial" w:hint="eastAsia"/>
          <w:sz w:val="22"/>
          <w:lang w:eastAsia="zh-HK"/>
        </w:rPr>
        <w:t>was</w:t>
      </w:r>
      <w:r w:rsidR="00087793" w:rsidRPr="00FE1697">
        <w:rPr>
          <w:rFonts w:ascii="Arial" w:hAnsi="Arial" w:cs="Arial" w:hint="eastAsia"/>
          <w:sz w:val="22"/>
          <w:lang w:eastAsia="zh-HK"/>
        </w:rPr>
        <w:t>, however,</w:t>
      </w:r>
      <w:r w:rsidR="005631AB" w:rsidRPr="00FE1697">
        <w:rPr>
          <w:rFonts w:ascii="Arial" w:hAnsi="Arial" w:cs="Arial" w:hint="eastAsia"/>
          <w:sz w:val="22"/>
          <w:lang w:eastAsia="zh-HK"/>
        </w:rPr>
        <w:t xml:space="preserve"> recorded </w:t>
      </w:r>
      <w:r w:rsidR="007E3D81" w:rsidRPr="00FE1697">
        <w:rPr>
          <w:rFonts w:ascii="Arial" w:hAnsi="Arial" w:cs="Arial"/>
          <w:sz w:val="22"/>
          <w:lang w:eastAsia="zh-HK"/>
        </w:rPr>
        <w:t xml:space="preserve">in 2008 </w:t>
      </w:r>
      <w:r w:rsidR="00A14675">
        <w:rPr>
          <w:rFonts w:ascii="Arial" w:hAnsi="Arial" w:cs="Arial" w:hint="eastAsia"/>
          <w:sz w:val="22"/>
          <w:lang w:eastAsia="zh-HK"/>
        </w:rPr>
        <w:t xml:space="preserve">which was </w:t>
      </w:r>
      <w:r w:rsidR="004F7A2F" w:rsidRPr="00FE1697">
        <w:rPr>
          <w:rFonts w:ascii="Arial" w:hAnsi="Arial" w:cs="Arial" w:hint="eastAsia"/>
          <w:sz w:val="22"/>
          <w:lang w:eastAsia="zh-HK"/>
        </w:rPr>
        <w:t>caused by</w:t>
      </w:r>
      <w:r w:rsidR="007E3D81" w:rsidRPr="00FE1697">
        <w:rPr>
          <w:rFonts w:ascii="Arial" w:hAnsi="Arial" w:cs="Arial"/>
          <w:sz w:val="22"/>
          <w:lang w:eastAsia="zh-HK"/>
        </w:rPr>
        <w:t xml:space="preserve"> the bad performance of property sale under the impact of global financial turmoil</w:t>
      </w:r>
      <w:r w:rsidR="00157D5B" w:rsidRPr="00FE1697">
        <w:rPr>
          <w:rFonts w:ascii="Arial" w:hAnsi="Arial" w:cs="Arial" w:hint="eastAsia"/>
          <w:sz w:val="22"/>
          <w:lang w:eastAsia="zh-HK"/>
        </w:rPr>
        <w:t>.</w:t>
      </w:r>
      <w:r w:rsidR="00011071">
        <w:rPr>
          <w:rFonts w:ascii="Arial" w:hAnsi="Arial" w:cs="Arial" w:hint="eastAsia"/>
          <w:sz w:val="22"/>
          <w:lang w:eastAsia="zh-HK"/>
        </w:rPr>
        <w:t xml:space="preserve"> </w:t>
      </w:r>
      <w:r w:rsidR="00A14675">
        <w:rPr>
          <w:rFonts w:ascii="Arial" w:hAnsi="Arial" w:cs="Arial" w:hint="eastAsia"/>
          <w:sz w:val="22"/>
          <w:lang w:eastAsia="zh-HK"/>
        </w:rPr>
        <w:t>That</w:t>
      </w:r>
      <w:r w:rsidR="00157D5B" w:rsidRPr="00FE1697">
        <w:rPr>
          <w:rFonts w:ascii="Arial" w:hAnsi="Arial" w:cs="Arial" w:hint="eastAsia"/>
          <w:sz w:val="22"/>
          <w:lang w:eastAsia="zh-HK"/>
        </w:rPr>
        <w:t xml:space="preserve"> was also reflected in the negative figure of </w:t>
      </w:r>
      <w:r w:rsidR="00157D5B" w:rsidRPr="00FE1697">
        <w:rPr>
          <w:rFonts w:ascii="Arial" w:hAnsi="Arial" w:cs="Arial"/>
          <w:sz w:val="22"/>
          <w:lang w:eastAsia="zh-HK"/>
        </w:rPr>
        <w:t>investment property revaluation</w:t>
      </w:r>
      <w:r w:rsidR="00157D5B" w:rsidRPr="00FE1697">
        <w:rPr>
          <w:rFonts w:ascii="Arial" w:hAnsi="Arial" w:cs="Arial" w:hint="eastAsia"/>
          <w:sz w:val="22"/>
          <w:lang w:eastAsia="zh-HK"/>
        </w:rPr>
        <w:t xml:space="preserve"> in </w:t>
      </w:r>
      <w:r w:rsidR="006C521B" w:rsidRPr="00FE1697">
        <w:rPr>
          <w:rFonts w:ascii="Arial" w:hAnsi="Arial" w:cs="Arial" w:hint="eastAsia"/>
          <w:sz w:val="22"/>
          <w:lang w:eastAsia="zh-HK"/>
        </w:rPr>
        <w:t>the same year</w:t>
      </w:r>
      <w:r w:rsidR="00157D5B" w:rsidRPr="00FE1697">
        <w:rPr>
          <w:rFonts w:ascii="Arial" w:hAnsi="Arial" w:cs="Arial" w:hint="eastAsia"/>
          <w:sz w:val="22"/>
          <w:lang w:eastAsia="zh-HK"/>
        </w:rPr>
        <w:t>.</w:t>
      </w:r>
    </w:p>
    <w:p w:rsidR="0023409A" w:rsidRPr="00011071" w:rsidRDefault="0023409A">
      <w:pPr>
        <w:rPr>
          <w:rFonts w:ascii="Arial" w:hAnsi="Arial" w:cs="Arial"/>
          <w:sz w:val="22"/>
          <w:lang w:eastAsia="zh-HK"/>
        </w:rPr>
      </w:pPr>
    </w:p>
    <w:p w:rsidR="0023409A" w:rsidRPr="00FE1697" w:rsidRDefault="00BE0B1B">
      <w:pPr>
        <w:rPr>
          <w:rFonts w:ascii="Arial" w:hAnsi="Arial" w:cs="Arial"/>
          <w:sz w:val="22"/>
          <w:lang w:eastAsia="zh-HK"/>
        </w:rPr>
      </w:pPr>
      <w:r>
        <w:rPr>
          <w:rFonts w:ascii="Arial" w:hAnsi="Arial" w:cs="Arial" w:hint="eastAsia"/>
          <w:sz w:val="22"/>
          <w:lang w:eastAsia="zh-HK"/>
        </w:rPr>
        <w:t>Over</w:t>
      </w:r>
      <w:r w:rsidR="0023409A" w:rsidRPr="00FE1697">
        <w:rPr>
          <w:rFonts w:ascii="Arial" w:hAnsi="Arial" w:cs="Arial" w:hint="eastAsia"/>
          <w:sz w:val="22"/>
          <w:lang w:eastAsia="zh-HK"/>
        </w:rPr>
        <w:t xml:space="preserve"> the </w:t>
      </w:r>
      <w:r>
        <w:rPr>
          <w:rFonts w:ascii="Arial" w:hAnsi="Arial" w:cs="Arial" w:hint="eastAsia"/>
          <w:sz w:val="22"/>
          <w:lang w:eastAsia="zh-HK"/>
        </w:rPr>
        <w:t xml:space="preserve">next few </w:t>
      </w:r>
      <w:r w:rsidR="0023409A" w:rsidRPr="00FE1697">
        <w:rPr>
          <w:rFonts w:ascii="Arial" w:hAnsi="Arial" w:cs="Arial" w:hint="eastAsia"/>
          <w:sz w:val="22"/>
          <w:lang w:eastAsia="zh-HK"/>
        </w:rPr>
        <w:t xml:space="preserve">years, </w:t>
      </w:r>
      <w:r w:rsidR="00EF1B39" w:rsidRPr="00FE1697">
        <w:rPr>
          <w:rFonts w:ascii="Arial" w:hAnsi="Arial" w:cs="Arial" w:hint="eastAsia"/>
          <w:sz w:val="22"/>
          <w:lang w:eastAsia="zh-HK"/>
        </w:rPr>
        <w:t>with</w:t>
      </w:r>
      <w:r w:rsidR="0023409A" w:rsidRPr="00FE1697">
        <w:rPr>
          <w:rFonts w:ascii="Arial" w:hAnsi="Arial" w:cs="Arial" w:hint="eastAsia"/>
          <w:sz w:val="22"/>
          <w:lang w:eastAsia="zh-HK"/>
        </w:rPr>
        <w:t xml:space="preserve"> a series of optimistic reasons </w:t>
      </w:r>
      <w:r w:rsidR="005749BA" w:rsidRPr="00FE1697">
        <w:rPr>
          <w:rFonts w:ascii="Arial" w:hAnsi="Arial" w:cs="Arial" w:hint="eastAsia"/>
          <w:sz w:val="22"/>
          <w:lang w:eastAsia="zh-HK"/>
        </w:rPr>
        <w:t>(</w:t>
      </w:r>
      <w:r w:rsidR="0023409A" w:rsidRPr="00FE1697">
        <w:rPr>
          <w:rFonts w:ascii="Arial" w:hAnsi="Arial" w:cs="Arial" w:hint="eastAsia"/>
          <w:sz w:val="22"/>
          <w:lang w:eastAsia="zh-HK"/>
        </w:rPr>
        <w:t>including reduction of interest rate in the global market</w:t>
      </w:r>
      <w:r w:rsidR="005749BA" w:rsidRPr="00FE1697">
        <w:rPr>
          <w:rFonts w:ascii="Arial" w:hAnsi="Arial" w:cs="Arial" w:hint="eastAsia"/>
          <w:sz w:val="22"/>
          <w:lang w:eastAsia="zh-HK"/>
        </w:rPr>
        <w:t xml:space="preserve">, cash surplus from operating activities, and </w:t>
      </w:r>
      <w:r w:rsidR="00DC1D9E" w:rsidRPr="00FE1697">
        <w:rPr>
          <w:rFonts w:ascii="Arial" w:hAnsi="Arial" w:cs="Arial" w:hint="eastAsia"/>
          <w:sz w:val="22"/>
          <w:lang w:eastAsia="zh-HK"/>
        </w:rPr>
        <w:t xml:space="preserve">receipt of </w:t>
      </w:r>
      <w:r w:rsidR="005749BA" w:rsidRPr="00FE1697">
        <w:rPr>
          <w:rFonts w:ascii="Arial" w:hAnsi="Arial" w:cs="Arial" w:hint="eastAsia"/>
          <w:sz w:val="22"/>
          <w:lang w:eastAsia="zh-HK"/>
        </w:rPr>
        <w:t xml:space="preserve">government funding support), MTRC was able to decrease the net debt-to-equity ratio from over 40% in 2008 to under 10% in 2014. </w:t>
      </w:r>
    </w:p>
    <w:p w:rsidR="0023409A" w:rsidRPr="00FE1697" w:rsidRDefault="0023409A">
      <w:pPr>
        <w:rPr>
          <w:rFonts w:ascii="Arial" w:hAnsi="Arial" w:cs="Arial"/>
          <w:sz w:val="22"/>
          <w:lang w:eastAsia="zh-HK"/>
        </w:rPr>
      </w:pPr>
    </w:p>
    <w:p w:rsidR="007E3D81" w:rsidRPr="00FE1697" w:rsidRDefault="00087793">
      <w:pPr>
        <w:rPr>
          <w:rFonts w:ascii="Arial" w:hAnsi="Arial" w:cs="Arial"/>
          <w:sz w:val="22"/>
          <w:lang w:eastAsia="zh-HK"/>
        </w:rPr>
      </w:pPr>
      <w:r w:rsidRPr="00FE1697">
        <w:rPr>
          <w:rFonts w:ascii="Arial" w:hAnsi="Arial" w:cs="Arial" w:hint="eastAsia"/>
          <w:sz w:val="22"/>
          <w:lang w:eastAsia="zh-HK"/>
        </w:rPr>
        <w:t xml:space="preserve">In 2010, </w:t>
      </w:r>
      <w:r w:rsidR="00115DDE" w:rsidRPr="00FE1697">
        <w:rPr>
          <w:rFonts w:ascii="Arial" w:hAnsi="Arial" w:cs="Arial" w:hint="eastAsia"/>
          <w:sz w:val="22"/>
          <w:lang w:eastAsia="zh-HK"/>
        </w:rPr>
        <w:t xml:space="preserve">a </w:t>
      </w:r>
      <w:r w:rsidR="005A3451" w:rsidRPr="00FE1697">
        <w:rPr>
          <w:rFonts w:ascii="Arial" w:hAnsi="Arial" w:cs="Arial" w:hint="eastAsia"/>
          <w:sz w:val="22"/>
          <w:lang w:eastAsia="zh-HK"/>
        </w:rPr>
        <w:t>new railway subsidiary</w:t>
      </w:r>
      <w:r w:rsidR="00011071">
        <w:rPr>
          <w:rFonts w:ascii="Arial" w:hAnsi="Arial" w:cs="Arial" w:hint="eastAsia"/>
          <w:sz w:val="22"/>
          <w:lang w:eastAsia="zh-HK"/>
        </w:rPr>
        <w:t xml:space="preserve"> </w:t>
      </w:r>
      <w:r w:rsidR="005A3451" w:rsidRPr="00FE1697">
        <w:rPr>
          <w:rFonts w:ascii="Arial" w:hAnsi="Arial" w:cs="Arial" w:hint="eastAsia"/>
          <w:sz w:val="22"/>
          <w:lang w:eastAsia="zh-HK"/>
        </w:rPr>
        <w:t xml:space="preserve">in Mainland of China </w:t>
      </w:r>
      <w:r w:rsidR="00115DDE" w:rsidRPr="00FE1697">
        <w:rPr>
          <w:rFonts w:ascii="Arial" w:hAnsi="Arial" w:cs="Arial" w:hint="eastAsia"/>
          <w:sz w:val="22"/>
          <w:lang w:eastAsia="zh-HK"/>
        </w:rPr>
        <w:t xml:space="preserve">commenced operations. However, due to the lower than expected performance of </w:t>
      </w:r>
      <w:r w:rsidR="005A3451" w:rsidRPr="00FE1697">
        <w:rPr>
          <w:rFonts w:ascii="Arial" w:hAnsi="Arial" w:cs="Arial" w:hint="eastAsia"/>
          <w:sz w:val="22"/>
          <w:lang w:eastAsia="zh-HK"/>
        </w:rPr>
        <w:t>Shenzhen Metro (</w:t>
      </w:r>
      <w:r w:rsidR="00115DDE" w:rsidRPr="00FE1697">
        <w:rPr>
          <w:rFonts w:ascii="Arial" w:hAnsi="Arial" w:cs="Arial" w:hint="eastAsia"/>
          <w:sz w:val="22"/>
          <w:lang w:eastAsia="zh-HK"/>
        </w:rPr>
        <w:t>SZMTR</w:t>
      </w:r>
      <w:r w:rsidR="005A3451" w:rsidRPr="00FE1697">
        <w:rPr>
          <w:rFonts w:ascii="Arial" w:hAnsi="Arial" w:cs="Arial" w:hint="eastAsia"/>
          <w:sz w:val="22"/>
          <w:lang w:eastAsia="zh-HK"/>
        </w:rPr>
        <w:t>) and</w:t>
      </w:r>
      <w:r w:rsidR="00354E38">
        <w:rPr>
          <w:rFonts w:ascii="Arial" w:hAnsi="Arial" w:cs="Arial" w:hint="eastAsia"/>
          <w:sz w:val="22"/>
          <w:lang w:eastAsia="zh-HK"/>
        </w:rPr>
        <w:t xml:space="preserve"> </w:t>
      </w:r>
      <w:r w:rsidR="005A3451" w:rsidRPr="00FE1697">
        <w:rPr>
          <w:rFonts w:ascii="Arial" w:hAnsi="Arial" w:cs="Arial" w:hint="eastAsia"/>
          <w:sz w:val="22"/>
          <w:lang w:eastAsia="zh-HK"/>
        </w:rPr>
        <w:t>Mass Transit Railway Stockholm (</w:t>
      </w:r>
      <w:r w:rsidR="00115DDE" w:rsidRPr="00FE1697">
        <w:rPr>
          <w:rFonts w:ascii="Arial" w:hAnsi="Arial" w:cs="Arial" w:hint="eastAsia"/>
          <w:sz w:val="22"/>
          <w:lang w:eastAsia="zh-HK"/>
        </w:rPr>
        <w:t>MTRS</w:t>
      </w:r>
      <w:r w:rsidR="005A3451" w:rsidRPr="00FE1697">
        <w:rPr>
          <w:rFonts w:ascii="Arial" w:hAnsi="Arial" w:cs="Arial" w:hint="eastAsia"/>
          <w:sz w:val="22"/>
          <w:lang w:eastAsia="zh-HK"/>
        </w:rPr>
        <w:t>), the operating margin dropped</w:t>
      </w:r>
      <w:r w:rsidR="00D20643" w:rsidRPr="00FE1697">
        <w:rPr>
          <w:rFonts w:ascii="Arial" w:hAnsi="Arial" w:cs="Arial" w:hint="eastAsia"/>
          <w:sz w:val="22"/>
          <w:lang w:eastAsia="zh-HK"/>
        </w:rPr>
        <w:t xml:space="preserve"> from 50.6% in </w:t>
      </w:r>
      <w:r w:rsidR="00EF1B39" w:rsidRPr="00FE1697">
        <w:rPr>
          <w:rFonts w:ascii="Arial" w:hAnsi="Arial" w:cs="Arial" w:hint="eastAsia"/>
          <w:sz w:val="22"/>
          <w:lang w:eastAsia="zh-HK"/>
        </w:rPr>
        <w:t>2009</w:t>
      </w:r>
      <w:r w:rsidR="00D20643" w:rsidRPr="00FE1697">
        <w:rPr>
          <w:rFonts w:ascii="Arial" w:hAnsi="Arial" w:cs="Arial" w:hint="eastAsia"/>
          <w:sz w:val="22"/>
          <w:lang w:eastAsia="zh-HK"/>
        </w:rPr>
        <w:t xml:space="preserve"> down to 37% in 2010</w:t>
      </w:r>
      <w:r w:rsidR="005A3451" w:rsidRPr="00FE1697">
        <w:rPr>
          <w:rFonts w:ascii="Arial" w:hAnsi="Arial" w:cs="Arial" w:hint="eastAsia"/>
          <w:sz w:val="22"/>
          <w:lang w:eastAsia="zh-HK"/>
        </w:rPr>
        <w:t xml:space="preserve">. </w:t>
      </w:r>
      <w:r w:rsidR="0096099A" w:rsidRPr="00FE1697">
        <w:rPr>
          <w:rFonts w:ascii="Arial" w:hAnsi="Arial" w:cs="Arial" w:hint="eastAsia"/>
          <w:sz w:val="22"/>
          <w:lang w:eastAsia="zh-HK"/>
        </w:rPr>
        <w:t xml:space="preserve">Excluding the Mainland of China and international subsidiaries, MTRC's operating margin remained steady at above 50%. </w:t>
      </w:r>
    </w:p>
    <w:p w:rsidR="008234AA" w:rsidRPr="00FE1697" w:rsidRDefault="008234AA">
      <w:pPr>
        <w:rPr>
          <w:rFonts w:ascii="Arial" w:hAnsi="Arial" w:cs="Arial"/>
          <w:sz w:val="22"/>
          <w:lang w:eastAsia="zh-HK"/>
        </w:rPr>
      </w:pPr>
    </w:p>
    <w:p w:rsidR="00EF61DA" w:rsidRDefault="00B4585C">
      <w:pPr>
        <w:rPr>
          <w:rFonts w:ascii="Arial" w:hAnsi="Arial" w:cs="Arial"/>
          <w:sz w:val="22"/>
          <w:lang w:eastAsia="zh-HK"/>
        </w:rPr>
      </w:pPr>
      <w:r w:rsidRPr="00FE1697">
        <w:rPr>
          <w:rFonts w:ascii="Arial" w:hAnsi="Arial" w:cs="Arial" w:hint="eastAsia"/>
          <w:sz w:val="22"/>
          <w:lang w:eastAsia="zh-HK"/>
        </w:rPr>
        <w:t>Amount</w:t>
      </w:r>
      <w:r w:rsidR="000D6F9C" w:rsidRPr="00FE1697">
        <w:rPr>
          <w:rFonts w:ascii="Arial" w:hAnsi="Arial" w:cs="Arial" w:hint="eastAsia"/>
          <w:sz w:val="22"/>
          <w:lang w:eastAsia="zh-HK"/>
        </w:rPr>
        <w:t xml:space="preserve"> of </w:t>
      </w:r>
      <w:r w:rsidR="00C7227C" w:rsidRPr="00FE1697">
        <w:rPr>
          <w:rFonts w:ascii="Arial" w:hAnsi="Arial" w:cs="Arial" w:hint="eastAsia"/>
          <w:sz w:val="22"/>
          <w:lang w:eastAsia="zh-HK"/>
        </w:rPr>
        <w:t xml:space="preserve">total </w:t>
      </w:r>
      <w:r w:rsidR="000D6F9C" w:rsidRPr="00FE1697">
        <w:rPr>
          <w:rFonts w:ascii="Arial" w:hAnsi="Arial" w:cs="Arial" w:hint="eastAsia"/>
          <w:sz w:val="22"/>
          <w:lang w:eastAsia="zh-HK"/>
        </w:rPr>
        <w:t xml:space="preserve">assets increased steadily </w:t>
      </w:r>
      <w:r w:rsidR="002D021A" w:rsidRPr="00FE1697">
        <w:rPr>
          <w:rFonts w:ascii="Arial" w:hAnsi="Arial" w:cs="Arial" w:hint="eastAsia"/>
          <w:sz w:val="22"/>
          <w:lang w:eastAsia="zh-HK"/>
        </w:rPr>
        <w:t>since 2009</w:t>
      </w:r>
      <w:r w:rsidR="000D6F9C" w:rsidRPr="00FE1697">
        <w:rPr>
          <w:rFonts w:ascii="Arial" w:hAnsi="Arial" w:cs="Arial" w:hint="eastAsia"/>
          <w:sz w:val="22"/>
          <w:lang w:eastAsia="zh-HK"/>
        </w:rPr>
        <w:t xml:space="preserve"> mainly due to </w:t>
      </w:r>
      <w:r w:rsidR="00DC1D9E" w:rsidRPr="00FE1697">
        <w:rPr>
          <w:rFonts w:ascii="Arial" w:hAnsi="Arial" w:cs="Arial" w:hint="eastAsia"/>
          <w:sz w:val="22"/>
          <w:lang w:eastAsia="zh-HK"/>
        </w:rPr>
        <w:t xml:space="preserve">investment property revaluation gains under </w:t>
      </w:r>
      <w:r w:rsidR="00CE60AB" w:rsidRPr="00FE1697">
        <w:rPr>
          <w:rFonts w:ascii="Arial" w:hAnsi="Arial" w:cs="Arial" w:hint="eastAsia"/>
          <w:sz w:val="22"/>
          <w:lang w:eastAsia="zh-HK"/>
        </w:rPr>
        <w:t xml:space="preserve">the uptrend of property market, </w:t>
      </w:r>
      <w:r w:rsidR="00603FD3" w:rsidRPr="00FE1697">
        <w:rPr>
          <w:rFonts w:ascii="Arial" w:hAnsi="Arial" w:cs="Arial" w:hint="eastAsia"/>
          <w:sz w:val="22"/>
          <w:lang w:eastAsia="zh-HK"/>
        </w:rPr>
        <w:t xml:space="preserve">capitalisation of </w:t>
      </w:r>
      <w:r w:rsidR="00DC1D9E" w:rsidRPr="00FE1697">
        <w:rPr>
          <w:rFonts w:ascii="Arial" w:hAnsi="Arial" w:cs="Arial" w:hint="eastAsia"/>
          <w:sz w:val="22"/>
          <w:lang w:eastAsia="zh-HK"/>
        </w:rPr>
        <w:t xml:space="preserve">construction </w:t>
      </w:r>
      <w:r w:rsidR="00603FD3" w:rsidRPr="00FE1697">
        <w:rPr>
          <w:rFonts w:ascii="Arial" w:hAnsi="Arial" w:cs="Arial" w:hint="eastAsia"/>
          <w:sz w:val="22"/>
          <w:lang w:eastAsia="zh-HK"/>
        </w:rPr>
        <w:t xml:space="preserve">costs </w:t>
      </w:r>
      <w:r w:rsidR="00DC1D9E" w:rsidRPr="00FE1697">
        <w:rPr>
          <w:rFonts w:ascii="Arial" w:hAnsi="Arial" w:cs="Arial" w:hint="eastAsia"/>
          <w:sz w:val="22"/>
          <w:lang w:eastAsia="zh-HK"/>
        </w:rPr>
        <w:t xml:space="preserve">of various railway </w:t>
      </w:r>
      <w:r w:rsidR="00C56B05" w:rsidRPr="00FE1697">
        <w:rPr>
          <w:rFonts w:ascii="Arial" w:hAnsi="Arial" w:cs="Arial" w:hint="eastAsia"/>
          <w:sz w:val="22"/>
          <w:lang w:eastAsia="zh-HK"/>
        </w:rPr>
        <w:t>extension</w:t>
      </w:r>
      <w:r w:rsidR="00DC1D9E" w:rsidRPr="00FE1697">
        <w:rPr>
          <w:rFonts w:ascii="Arial" w:hAnsi="Arial" w:cs="Arial" w:hint="eastAsia"/>
          <w:sz w:val="22"/>
          <w:lang w:eastAsia="zh-HK"/>
        </w:rPr>
        <w:t xml:space="preserve"> projects (e.g. </w:t>
      </w:r>
      <w:r w:rsidR="000803F5" w:rsidRPr="00FE1697">
        <w:rPr>
          <w:rFonts w:ascii="Arial" w:hAnsi="Arial" w:cs="Arial" w:hint="eastAsia"/>
          <w:sz w:val="22"/>
          <w:lang w:eastAsia="zh-HK"/>
        </w:rPr>
        <w:t>Shenzhen Line 4</w:t>
      </w:r>
      <w:r w:rsidR="00DC1D9E" w:rsidRPr="00FE1697">
        <w:rPr>
          <w:rFonts w:ascii="Arial" w:hAnsi="Arial" w:cs="Arial" w:hint="eastAsia"/>
          <w:sz w:val="22"/>
          <w:lang w:eastAsia="zh-HK"/>
        </w:rPr>
        <w:t>, West Island Line,</w:t>
      </w:r>
      <w:r w:rsidR="008A7AB3" w:rsidRPr="00FE1697">
        <w:rPr>
          <w:rFonts w:ascii="Arial" w:hAnsi="Arial" w:cs="Arial" w:hint="eastAsia"/>
          <w:sz w:val="22"/>
          <w:lang w:eastAsia="zh-HK"/>
        </w:rPr>
        <w:t xml:space="preserve"> South Island Line (East),</w:t>
      </w:r>
      <w:r w:rsidR="001E3115">
        <w:rPr>
          <w:rFonts w:ascii="Arial" w:hAnsi="Arial" w:cs="Arial" w:hint="eastAsia"/>
          <w:sz w:val="22"/>
          <w:lang w:eastAsia="zh-HK"/>
        </w:rPr>
        <w:t xml:space="preserve"> </w:t>
      </w:r>
      <w:r w:rsidR="00C56B05" w:rsidRPr="00FE1697">
        <w:rPr>
          <w:rFonts w:ascii="Arial" w:hAnsi="Arial" w:cs="Arial" w:hint="eastAsia"/>
          <w:sz w:val="22"/>
          <w:lang w:eastAsia="zh-HK"/>
        </w:rPr>
        <w:t>Kwun Tong Line etc.</w:t>
      </w:r>
      <w:r w:rsidR="00DC1D9E" w:rsidRPr="00FE1697">
        <w:rPr>
          <w:rFonts w:ascii="Arial" w:hAnsi="Arial" w:cs="Arial" w:hint="eastAsia"/>
          <w:sz w:val="22"/>
          <w:lang w:eastAsia="zh-HK"/>
        </w:rPr>
        <w:t>)</w:t>
      </w:r>
      <w:r w:rsidR="00CE60AB" w:rsidRPr="00FE1697">
        <w:rPr>
          <w:rFonts w:ascii="Arial" w:hAnsi="Arial" w:cs="Arial" w:hint="eastAsia"/>
          <w:sz w:val="22"/>
          <w:lang w:eastAsia="zh-HK"/>
        </w:rPr>
        <w:t>, and property development in progress</w:t>
      </w:r>
      <w:r w:rsidR="00C56B05" w:rsidRPr="00FE1697">
        <w:rPr>
          <w:rFonts w:ascii="Arial" w:hAnsi="Arial" w:cs="Arial" w:hint="eastAsia"/>
          <w:sz w:val="22"/>
          <w:lang w:eastAsia="zh-HK"/>
        </w:rPr>
        <w:t>.</w:t>
      </w:r>
    </w:p>
    <w:p w:rsidR="001E3115" w:rsidRDefault="001E3115">
      <w:pPr>
        <w:rPr>
          <w:rFonts w:ascii="Arial" w:hAnsi="Arial" w:cs="Arial"/>
          <w:sz w:val="22"/>
          <w:lang w:eastAsia="zh-HK"/>
        </w:rPr>
      </w:pPr>
    </w:p>
    <w:p w:rsidR="001E3115" w:rsidRDefault="001E3115">
      <w:pPr>
        <w:rPr>
          <w:rFonts w:ascii="Arial" w:hAnsi="Arial" w:cs="Arial"/>
          <w:sz w:val="22"/>
          <w:lang w:eastAsia="zh-HK"/>
        </w:rPr>
      </w:pPr>
      <w:r>
        <w:rPr>
          <w:rFonts w:ascii="Arial" w:hAnsi="Arial" w:cs="Arial" w:hint="eastAsia"/>
          <w:sz w:val="22"/>
          <w:lang w:eastAsia="zh-HK"/>
        </w:rPr>
        <w:lastRenderedPageBreak/>
        <w:t xml:space="preserve">The interest cover remained at the range of 15.2 to 10.5 in the last 5 years. </w:t>
      </w:r>
      <w:r w:rsidR="00E02792">
        <w:rPr>
          <w:rFonts w:ascii="Arial" w:hAnsi="Arial" w:cs="Arial" w:hint="eastAsia"/>
          <w:sz w:val="22"/>
          <w:lang w:eastAsia="zh-HK"/>
        </w:rPr>
        <w:t xml:space="preserve">It </w:t>
      </w:r>
      <w:r w:rsidR="00761E4F">
        <w:rPr>
          <w:rFonts w:ascii="Arial" w:hAnsi="Arial" w:cs="Arial" w:hint="eastAsia"/>
          <w:sz w:val="22"/>
          <w:lang w:eastAsia="zh-HK"/>
        </w:rPr>
        <w:t xml:space="preserve">shows that interest expense is only a small portion of earnings before interest &amp; taxes. Together with a low net debt-to-equity ratio, </w:t>
      </w:r>
      <w:r>
        <w:rPr>
          <w:rFonts w:ascii="Arial" w:hAnsi="Arial" w:cs="Arial" w:hint="eastAsia"/>
          <w:sz w:val="22"/>
          <w:lang w:eastAsia="zh-HK"/>
        </w:rPr>
        <w:t xml:space="preserve">MTRC can take further loan </w:t>
      </w:r>
      <w:r w:rsidR="00761E4F">
        <w:rPr>
          <w:rFonts w:ascii="Arial" w:hAnsi="Arial" w:cs="Arial" w:hint="eastAsia"/>
          <w:sz w:val="22"/>
          <w:lang w:eastAsia="zh-HK"/>
        </w:rPr>
        <w:t>for business expansion</w:t>
      </w:r>
      <w:r w:rsidR="003A3604">
        <w:rPr>
          <w:rFonts w:ascii="Arial" w:hAnsi="Arial" w:cs="Arial" w:hint="eastAsia"/>
          <w:sz w:val="22"/>
          <w:lang w:eastAsia="zh-HK"/>
        </w:rPr>
        <w:t xml:space="preserve"> </w:t>
      </w:r>
      <w:r w:rsidR="00D10053">
        <w:rPr>
          <w:rFonts w:ascii="Arial" w:hAnsi="Arial" w:cs="Arial" w:hint="eastAsia"/>
          <w:sz w:val="22"/>
          <w:lang w:eastAsia="zh-HK"/>
        </w:rPr>
        <w:t xml:space="preserve">to generate further income </w:t>
      </w:r>
      <w:r w:rsidR="003A3604">
        <w:rPr>
          <w:rFonts w:ascii="Arial" w:hAnsi="Arial" w:cs="Arial" w:hint="eastAsia"/>
          <w:sz w:val="22"/>
          <w:lang w:eastAsia="zh-HK"/>
        </w:rPr>
        <w:t>without much trouble in meeting interest payment</w:t>
      </w:r>
      <w:r w:rsidR="00761E4F">
        <w:rPr>
          <w:rFonts w:ascii="Arial" w:hAnsi="Arial" w:cs="Arial" w:hint="eastAsia"/>
          <w:sz w:val="22"/>
          <w:lang w:eastAsia="zh-HK"/>
        </w:rPr>
        <w:t>.</w:t>
      </w:r>
    </w:p>
    <w:p w:rsidR="002E7A5C" w:rsidRDefault="002E7A5C">
      <w:pPr>
        <w:widowControl/>
        <w:rPr>
          <w:rFonts w:ascii="Arial" w:hAnsi="Arial" w:cs="Arial"/>
          <w:b/>
          <w:lang w:eastAsia="zh-HK"/>
        </w:rPr>
      </w:pPr>
    </w:p>
    <w:p w:rsidR="006B09C5" w:rsidRPr="009A288E" w:rsidRDefault="006B09C5">
      <w:pPr>
        <w:rPr>
          <w:rFonts w:ascii="Arial" w:hAnsi="Arial" w:cs="Arial"/>
          <w:b/>
          <w:lang w:eastAsia="zh-HK"/>
        </w:rPr>
      </w:pPr>
      <w:r w:rsidRPr="009A288E">
        <w:rPr>
          <w:rFonts w:ascii="Arial" w:hAnsi="Arial" w:cs="Arial" w:hint="eastAsia"/>
          <w:b/>
          <w:lang w:eastAsia="zh-HK"/>
        </w:rPr>
        <w:tab/>
      </w:r>
      <w:r w:rsidRPr="009A288E">
        <w:rPr>
          <w:rFonts w:ascii="Arial" w:hAnsi="Arial" w:cs="Arial" w:hint="eastAsia"/>
          <w:b/>
          <w:lang w:eastAsia="zh-HK"/>
        </w:rPr>
        <w:tab/>
        <w:t xml:space="preserve">5.1.2 </w:t>
      </w:r>
      <w:r w:rsidR="009A288E" w:rsidRPr="009A288E">
        <w:rPr>
          <w:rFonts w:ascii="Arial" w:hAnsi="Arial" w:cs="Arial" w:hint="eastAsia"/>
          <w:b/>
          <w:lang w:eastAsia="zh-HK"/>
        </w:rPr>
        <w:t>Consolidated Balance Sheet</w:t>
      </w:r>
    </w:p>
    <w:p w:rsidR="009A288E" w:rsidRDefault="009A288E">
      <w:pPr>
        <w:rPr>
          <w:rFonts w:ascii="Arial" w:hAnsi="Arial" w:cs="Arial"/>
          <w:lang w:eastAsia="zh-HK"/>
        </w:rPr>
      </w:pPr>
    </w:p>
    <w:tbl>
      <w:tblPr>
        <w:tblW w:w="9980" w:type="dxa"/>
        <w:jc w:val="center"/>
        <w:tblInd w:w="14" w:type="dxa"/>
        <w:tblCellMar>
          <w:left w:w="28" w:type="dxa"/>
          <w:right w:w="28" w:type="dxa"/>
        </w:tblCellMar>
        <w:tblLook w:val="04A0"/>
      </w:tblPr>
      <w:tblGrid>
        <w:gridCol w:w="4180"/>
        <w:gridCol w:w="1160"/>
        <w:gridCol w:w="1160"/>
        <w:gridCol w:w="1160"/>
        <w:gridCol w:w="1160"/>
        <w:gridCol w:w="1160"/>
      </w:tblGrid>
      <w:tr w:rsidR="002E7A5C" w:rsidRPr="002E7A5C" w:rsidTr="00A35553">
        <w:trPr>
          <w:trHeight w:val="765"/>
          <w:tblHeader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in HK$ million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At 31 December</w:t>
            </w: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br/>
              <w:t>2014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At 31 December</w:t>
            </w: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br/>
              <w:t>2013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At 31 December</w:t>
            </w: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br/>
              <w:t>2012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At 31 December</w:t>
            </w: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br/>
              <w:t>2011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At 31 December</w:t>
            </w: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br/>
              <w:t>2010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Assets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Fixed assets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Investment properties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65,679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61,285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55,314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51,453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45,314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Other property, plant and equipment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78,279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76,277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76,088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76,687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77,276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Service concession assets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26,698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25,594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24,492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23,928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21,467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170,656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163,156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155,894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152,068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144,057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D36A7B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36A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Property management rights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D36A7B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36A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Railway construction in progress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16,229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11,548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7,458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3,566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D36A7B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36A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Property development in progress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7,490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11,233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10,430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11,964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9,128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D36A7B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36A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Deferred expenditure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1,079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D36A7B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36A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Interests in non-controlled subsidiaries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579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541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D36A7B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36A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Interests in associates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5,797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5,277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3,825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836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D36A7B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36A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Deferred tax assets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  <w:hideMark/>
          </w:tcPr>
          <w:p w:rsidR="002E7A5C" w:rsidRPr="00D36A7B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36A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Investments in securities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2,974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3,912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  <w:hideMark/>
          </w:tcPr>
          <w:p w:rsidR="002E7A5C" w:rsidRPr="00D36A7B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36A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Properties held for sale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1,076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1,105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3,016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3,757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1,936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  <w:hideMark/>
          </w:tcPr>
          <w:p w:rsidR="002E7A5C" w:rsidRPr="00D36A7B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36A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Derivative financial assets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375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  <w:hideMark/>
          </w:tcPr>
          <w:p w:rsidR="002E7A5C" w:rsidRPr="00D36A7B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36A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Stores and spares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1,365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1,281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1,220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1,135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1,061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  <w:hideMark/>
          </w:tcPr>
          <w:p w:rsidR="002E7A5C" w:rsidRPr="00D36A7B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36A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Debtors, deposits and payments in advance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3,797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4,474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3,964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3,061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  <w:hideMark/>
          </w:tcPr>
          <w:p w:rsidR="002E7A5C" w:rsidRPr="00D36A7B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36A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Loan to a property developer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1,975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  <w:hideMark/>
          </w:tcPr>
          <w:p w:rsidR="002E7A5C" w:rsidRPr="00D36A7B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36A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Amounts due from related parties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1,073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330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  <w:hideMark/>
          </w:tcPr>
          <w:p w:rsidR="002E7A5C" w:rsidRPr="00D36A7B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36A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Cash, bank balances and deposits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18,893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17,297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18,664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16,100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13,334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227,152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215,823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206,915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197,870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181,665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Liabilities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Bank overdrafts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Short-term loans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300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Creditors and accrued charges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16,421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13,793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15,119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16,402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15,491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  <w:hideMark/>
          </w:tcPr>
          <w:p w:rsidR="00097C63" w:rsidRPr="002E7A5C" w:rsidRDefault="00097C63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Current Taxation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349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597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1,018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Contract retentions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404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lastRenderedPageBreak/>
              <w:t>Amounts due to related parties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1,607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1,388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1,061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1,481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892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Loans and other obligations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19,961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24,464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23,222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23,168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20,741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Obligations under service concession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10,614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10,658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10,690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10,724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10,749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Derivative financial liabilities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148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Loan from holders of non-controlling interests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154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Deferred income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605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Deferred tax liabilities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10,977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10,289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9,857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9,498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13,854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63,670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63,121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62,435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63,221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64,372</w:t>
            </w:r>
          </w:p>
        </w:tc>
      </w:tr>
      <w:tr w:rsidR="002E7A5C" w:rsidRPr="002E7A5C" w:rsidTr="00A35553">
        <w:trPr>
          <w:trHeight w:val="360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Net assets</w:t>
            </w:r>
          </w:p>
        </w:tc>
        <w:tc>
          <w:tcPr>
            <w:tcW w:w="11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163,482</w:t>
            </w:r>
          </w:p>
        </w:tc>
        <w:tc>
          <w:tcPr>
            <w:tcW w:w="11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152,702</w:t>
            </w:r>
          </w:p>
        </w:tc>
        <w:tc>
          <w:tcPr>
            <w:tcW w:w="11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144,480</w:t>
            </w:r>
          </w:p>
        </w:tc>
        <w:tc>
          <w:tcPr>
            <w:tcW w:w="11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134,649</w:t>
            </w:r>
          </w:p>
        </w:tc>
        <w:tc>
          <w:tcPr>
            <w:tcW w:w="11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117,293</w:t>
            </w:r>
          </w:p>
        </w:tc>
      </w:tr>
      <w:tr w:rsidR="002E7A5C" w:rsidRPr="002E7A5C" w:rsidTr="00A35553">
        <w:trPr>
          <w:trHeight w:val="360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Capital and reserves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2E7A5C" w:rsidRPr="002E7A5C" w:rsidTr="00A35553">
        <w:trPr>
          <w:trHeight w:val="510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Share capital and other statutory capital reserves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45,280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44,442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44,281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44,062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43,734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Other reserves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118,045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108,115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99,992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90,401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73,416</w:t>
            </w:r>
          </w:p>
        </w:tc>
      </w:tr>
      <w:tr w:rsidR="002E7A5C" w:rsidRPr="002E7A5C" w:rsidTr="00A35553">
        <w:trPr>
          <w:trHeight w:val="510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Total equity attributable to equity shareholders of the Company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163,325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152,557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144,273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134,463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117,150</w:t>
            </w:r>
          </w:p>
        </w:tc>
      </w:tr>
      <w:tr w:rsidR="002E7A5C" w:rsidRPr="002E7A5C" w:rsidTr="00A35553">
        <w:trPr>
          <w:trHeight w:val="345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Non-controlling interests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143</w:t>
            </w:r>
          </w:p>
        </w:tc>
      </w:tr>
      <w:tr w:rsidR="002E7A5C" w:rsidRPr="002E7A5C" w:rsidTr="00A35553">
        <w:trPr>
          <w:trHeight w:val="360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A5C" w:rsidRPr="002E7A5C" w:rsidRDefault="002E7A5C" w:rsidP="002E7A5C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Total equity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163,482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152,702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144,480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2E7A5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134,649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7A5C" w:rsidRPr="002E7A5C" w:rsidRDefault="002E7A5C" w:rsidP="00FA503B">
            <w:pPr>
              <w:keepNext/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E7A5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117,293</w:t>
            </w:r>
          </w:p>
        </w:tc>
      </w:tr>
    </w:tbl>
    <w:p w:rsidR="00FA503B" w:rsidRPr="0059105B" w:rsidRDefault="00FA503B" w:rsidP="00FA503B">
      <w:pPr>
        <w:rPr>
          <w:rFonts w:ascii="Arial" w:hAnsi="Arial" w:cs="Arial"/>
          <w:i/>
          <w:sz w:val="20"/>
          <w:szCs w:val="20"/>
          <w:lang w:eastAsia="zh-HK"/>
        </w:rPr>
      </w:pPr>
      <w:r w:rsidRPr="0059105B">
        <w:rPr>
          <w:rFonts w:ascii="Arial" w:hAnsi="Arial" w:cs="Arial" w:hint="eastAsia"/>
          <w:i/>
          <w:sz w:val="20"/>
          <w:szCs w:val="20"/>
          <w:lang w:eastAsia="zh-HK"/>
        </w:rPr>
        <w:t xml:space="preserve">Note: The items </w:t>
      </w:r>
      <w:r w:rsidRPr="0059105B">
        <w:rPr>
          <w:rFonts w:ascii="Arial" w:hAnsi="Arial" w:cs="Arial"/>
          <w:i/>
          <w:sz w:val="20"/>
          <w:szCs w:val="20"/>
          <w:lang w:eastAsia="zh-HK"/>
        </w:rPr>
        <w:t>highlighted</w:t>
      </w:r>
      <w:r w:rsidRPr="0059105B">
        <w:rPr>
          <w:rFonts w:ascii="Arial" w:hAnsi="Arial" w:cs="Arial" w:hint="eastAsia"/>
          <w:i/>
          <w:sz w:val="20"/>
          <w:szCs w:val="20"/>
          <w:lang w:eastAsia="zh-HK"/>
        </w:rPr>
        <w:t xml:space="preserve"> in pale green are assumed to be </w:t>
      </w:r>
      <w:r>
        <w:rPr>
          <w:rFonts w:ascii="Arial" w:hAnsi="Arial" w:cs="Arial" w:hint="eastAsia"/>
          <w:i/>
          <w:sz w:val="20"/>
          <w:szCs w:val="20"/>
          <w:lang w:eastAsia="zh-HK"/>
        </w:rPr>
        <w:t>"</w:t>
      </w:r>
      <w:r w:rsidRPr="0059105B">
        <w:rPr>
          <w:rFonts w:ascii="Arial" w:hAnsi="Arial" w:cs="Arial" w:hint="eastAsia"/>
          <w:i/>
          <w:sz w:val="20"/>
          <w:szCs w:val="20"/>
          <w:lang w:eastAsia="zh-HK"/>
        </w:rPr>
        <w:t>current</w:t>
      </w:r>
      <w:r>
        <w:rPr>
          <w:rFonts w:ascii="Arial" w:hAnsi="Arial" w:cs="Arial" w:hint="eastAsia"/>
          <w:i/>
          <w:sz w:val="20"/>
          <w:szCs w:val="20"/>
          <w:lang w:eastAsia="zh-HK"/>
        </w:rPr>
        <w:t>"</w:t>
      </w:r>
      <w:r w:rsidRPr="0059105B">
        <w:rPr>
          <w:rFonts w:ascii="Arial" w:hAnsi="Arial" w:cs="Arial" w:hint="eastAsia"/>
          <w:i/>
          <w:sz w:val="20"/>
          <w:szCs w:val="20"/>
          <w:lang w:eastAsia="zh-HK"/>
        </w:rPr>
        <w:t xml:space="preserve"> in nature according to the limited amount of information provided.</w:t>
      </w:r>
    </w:p>
    <w:p w:rsidR="00FA503B" w:rsidRPr="00FA503B" w:rsidRDefault="00FA503B" w:rsidP="00FA503B">
      <w:pPr>
        <w:pStyle w:val="aa"/>
        <w:jc w:val="center"/>
        <w:rPr>
          <w:rFonts w:ascii="Arial" w:hAnsi="Arial" w:cs="Arial"/>
          <w:i/>
          <w:sz w:val="22"/>
          <w:szCs w:val="22"/>
        </w:rPr>
      </w:pPr>
      <w:bookmarkStart w:id="1" w:name="_Ref448701800"/>
      <w:r w:rsidRPr="00FA503B">
        <w:rPr>
          <w:rFonts w:ascii="Arial" w:hAnsi="Arial" w:cs="Arial"/>
          <w:i/>
          <w:sz w:val="22"/>
          <w:szCs w:val="22"/>
        </w:rPr>
        <w:t xml:space="preserve">Table </w:t>
      </w:r>
      <w:r w:rsidRPr="00FA503B">
        <w:rPr>
          <w:rFonts w:ascii="Arial" w:hAnsi="Arial" w:cs="Arial"/>
          <w:i/>
          <w:sz w:val="22"/>
          <w:szCs w:val="22"/>
        </w:rPr>
        <w:fldChar w:fldCharType="begin"/>
      </w:r>
      <w:r w:rsidRPr="00FA503B">
        <w:rPr>
          <w:rFonts w:ascii="Arial" w:hAnsi="Arial" w:cs="Arial"/>
          <w:i/>
          <w:sz w:val="22"/>
          <w:szCs w:val="22"/>
        </w:rPr>
        <w:instrText xml:space="preserve"> SEQ Table \* ARABIC </w:instrText>
      </w:r>
      <w:r w:rsidRPr="00FA503B">
        <w:rPr>
          <w:rFonts w:ascii="Arial" w:hAnsi="Arial" w:cs="Arial"/>
          <w:i/>
          <w:sz w:val="22"/>
          <w:szCs w:val="22"/>
        </w:rPr>
        <w:fldChar w:fldCharType="separate"/>
      </w:r>
      <w:r w:rsidR="00E918EE">
        <w:rPr>
          <w:rFonts w:ascii="Arial" w:hAnsi="Arial" w:cs="Arial"/>
          <w:i/>
          <w:noProof/>
          <w:sz w:val="22"/>
          <w:szCs w:val="22"/>
        </w:rPr>
        <w:t>2</w:t>
      </w:r>
      <w:r w:rsidRPr="00FA503B">
        <w:rPr>
          <w:rFonts w:ascii="Arial" w:hAnsi="Arial" w:cs="Arial"/>
          <w:i/>
          <w:sz w:val="22"/>
          <w:szCs w:val="22"/>
        </w:rPr>
        <w:fldChar w:fldCharType="end"/>
      </w:r>
      <w:bookmarkEnd w:id="1"/>
      <w:r w:rsidRPr="00FA503B">
        <w:rPr>
          <w:rFonts w:ascii="Arial" w:hAnsi="Arial" w:cs="Arial"/>
          <w:i/>
          <w:sz w:val="22"/>
          <w:szCs w:val="22"/>
          <w:lang w:eastAsia="zh-HK"/>
        </w:rPr>
        <w:t>: Consolidated Balance Sheet for the last 5 years</w:t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t xml:space="preserve"> [</w:t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begin"/>
      </w:r>
      <w:r w:rsidR="00D31160">
        <w:rPr>
          <w:rFonts w:ascii="Arial" w:hAnsi="Arial" w:cs="Arial"/>
          <w:i/>
          <w:sz w:val="22"/>
          <w:szCs w:val="22"/>
          <w:lang w:eastAsia="zh-HK"/>
        </w:rPr>
        <w:instrText xml:space="preserve"> </w:instrText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instrText>REF _Ref448702403 \r \h</w:instrText>
      </w:r>
      <w:r w:rsidR="00D31160">
        <w:rPr>
          <w:rFonts w:ascii="Arial" w:hAnsi="Arial" w:cs="Arial"/>
          <w:i/>
          <w:sz w:val="22"/>
          <w:szCs w:val="22"/>
          <w:lang w:eastAsia="zh-HK"/>
        </w:rPr>
        <w:instrText xml:space="preserve"> </w:instrText>
      </w:r>
      <w:r w:rsidR="00D31160">
        <w:rPr>
          <w:rFonts w:ascii="Arial" w:hAnsi="Arial" w:cs="Arial"/>
          <w:i/>
          <w:sz w:val="22"/>
          <w:szCs w:val="22"/>
          <w:lang w:eastAsia="zh-HK"/>
        </w:rPr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separate"/>
      </w:r>
      <w:r w:rsidR="00D31160">
        <w:rPr>
          <w:rFonts w:ascii="Arial" w:hAnsi="Arial" w:cs="Arial"/>
          <w:i/>
          <w:sz w:val="22"/>
          <w:szCs w:val="22"/>
          <w:lang w:eastAsia="zh-HK"/>
        </w:rPr>
        <w:t>1</w:t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end"/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t>]</w:t>
      </w:r>
    </w:p>
    <w:p w:rsidR="00A04893" w:rsidRPr="00FE1697" w:rsidRDefault="00A04893">
      <w:pPr>
        <w:rPr>
          <w:rFonts w:ascii="Arial" w:hAnsi="Arial" w:cs="Arial"/>
          <w:sz w:val="22"/>
          <w:lang w:eastAsia="zh-HK"/>
        </w:rPr>
      </w:pPr>
    </w:p>
    <w:p w:rsidR="005E5DAC" w:rsidRDefault="00FA503B">
      <w:pPr>
        <w:rPr>
          <w:rFonts w:ascii="Arial" w:hAnsi="Arial" w:cs="Arial"/>
          <w:sz w:val="22"/>
          <w:lang w:eastAsia="zh-HK"/>
        </w:rPr>
      </w:pPr>
      <w:r>
        <w:rPr>
          <w:rFonts w:ascii="Arial" w:hAnsi="Arial" w:cs="Arial"/>
          <w:sz w:val="22"/>
          <w:lang w:eastAsia="zh-HK"/>
        </w:rPr>
        <w:fldChar w:fldCharType="begin"/>
      </w:r>
      <w:r>
        <w:rPr>
          <w:rFonts w:ascii="Arial" w:hAnsi="Arial" w:cs="Arial"/>
          <w:sz w:val="22"/>
          <w:lang w:eastAsia="zh-HK"/>
        </w:rPr>
        <w:instrText xml:space="preserve"> </w:instrText>
      </w:r>
      <w:r>
        <w:rPr>
          <w:rFonts w:ascii="Arial" w:hAnsi="Arial" w:cs="Arial" w:hint="eastAsia"/>
          <w:sz w:val="22"/>
          <w:lang w:eastAsia="zh-HK"/>
        </w:rPr>
        <w:instrText>REF _Ref448701800 \h</w:instrText>
      </w:r>
      <w:r>
        <w:rPr>
          <w:rFonts w:ascii="Arial" w:hAnsi="Arial" w:cs="Arial"/>
          <w:sz w:val="22"/>
          <w:lang w:eastAsia="zh-HK"/>
        </w:rPr>
        <w:instrText xml:space="preserve"> </w:instrText>
      </w:r>
      <w:r>
        <w:rPr>
          <w:rFonts w:ascii="Arial" w:hAnsi="Arial" w:cs="Arial"/>
          <w:sz w:val="22"/>
          <w:lang w:eastAsia="zh-HK"/>
        </w:rPr>
      </w:r>
      <w:r>
        <w:rPr>
          <w:rFonts w:ascii="Arial" w:hAnsi="Arial" w:cs="Arial"/>
          <w:sz w:val="22"/>
          <w:lang w:eastAsia="zh-HK"/>
        </w:rPr>
        <w:fldChar w:fldCharType="separate"/>
      </w:r>
      <w:r w:rsidRPr="00FA503B">
        <w:rPr>
          <w:rFonts w:ascii="Arial" w:hAnsi="Arial" w:cs="Arial"/>
          <w:i/>
          <w:sz w:val="22"/>
        </w:rPr>
        <w:t xml:space="preserve">Table </w:t>
      </w:r>
      <w:r w:rsidRPr="00FA503B">
        <w:rPr>
          <w:rFonts w:ascii="Arial" w:hAnsi="Arial" w:cs="Arial"/>
          <w:i/>
          <w:noProof/>
          <w:sz w:val="22"/>
        </w:rPr>
        <w:t>2</w:t>
      </w:r>
      <w:r>
        <w:rPr>
          <w:rFonts w:ascii="Arial" w:hAnsi="Arial" w:cs="Arial"/>
          <w:sz w:val="22"/>
          <w:lang w:eastAsia="zh-HK"/>
        </w:rPr>
        <w:fldChar w:fldCharType="end"/>
      </w:r>
      <w:r w:rsidR="009A288E" w:rsidRPr="00FE1697">
        <w:rPr>
          <w:rFonts w:ascii="Arial" w:hAnsi="Arial" w:cs="Arial" w:hint="eastAsia"/>
          <w:sz w:val="22"/>
          <w:lang w:eastAsia="zh-HK"/>
        </w:rPr>
        <w:t xml:space="preserve"> shows the breakdown items of assets, liabilities</w:t>
      </w:r>
      <w:r w:rsidR="00080553">
        <w:rPr>
          <w:rFonts w:ascii="Arial" w:hAnsi="Arial" w:cs="Arial" w:hint="eastAsia"/>
          <w:sz w:val="22"/>
          <w:lang w:eastAsia="zh-HK"/>
        </w:rPr>
        <w:t>,</w:t>
      </w:r>
      <w:r w:rsidR="009A288E" w:rsidRPr="00FE1697">
        <w:rPr>
          <w:rFonts w:ascii="Arial" w:hAnsi="Arial" w:cs="Arial" w:hint="eastAsia"/>
          <w:sz w:val="22"/>
          <w:lang w:eastAsia="zh-HK"/>
        </w:rPr>
        <w:t xml:space="preserve"> and equity. As reflected from the figures, the </w:t>
      </w:r>
      <w:r w:rsidR="00EB3329">
        <w:rPr>
          <w:rFonts w:ascii="Arial" w:hAnsi="Arial" w:cs="Arial" w:hint="eastAsia"/>
          <w:sz w:val="22"/>
          <w:lang w:eastAsia="zh-HK"/>
        </w:rPr>
        <w:t xml:space="preserve">total </w:t>
      </w:r>
      <w:r w:rsidR="009A288E" w:rsidRPr="00FE1697">
        <w:rPr>
          <w:rFonts w:ascii="Arial" w:hAnsi="Arial" w:cs="Arial" w:hint="eastAsia"/>
          <w:sz w:val="22"/>
          <w:lang w:eastAsia="zh-HK"/>
        </w:rPr>
        <w:t xml:space="preserve">liabilities of MTRC over the past 5 years remained </w:t>
      </w:r>
      <w:r w:rsidR="002E7A5C">
        <w:rPr>
          <w:rFonts w:ascii="Arial" w:hAnsi="Arial" w:cs="Arial" w:hint="eastAsia"/>
          <w:sz w:val="22"/>
          <w:lang w:eastAsia="zh-HK"/>
        </w:rPr>
        <w:t>stable</w:t>
      </w:r>
      <w:r w:rsidR="00BA0034">
        <w:rPr>
          <w:rFonts w:ascii="Arial" w:hAnsi="Arial" w:cs="Arial" w:hint="eastAsia"/>
          <w:sz w:val="22"/>
          <w:lang w:eastAsia="zh-HK"/>
        </w:rPr>
        <w:t xml:space="preserve"> at the range of $63 to $</w:t>
      </w:r>
      <w:r w:rsidR="00234272">
        <w:rPr>
          <w:rFonts w:ascii="Arial" w:hAnsi="Arial" w:cs="Arial" w:hint="eastAsia"/>
          <w:sz w:val="22"/>
          <w:lang w:eastAsia="zh-HK"/>
        </w:rPr>
        <w:t>64 billion</w:t>
      </w:r>
      <w:r w:rsidR="009A288E" w:rsidRPr="00FE1697">
        <w:rPr>
          <w:rFonts w:ascii="Arial" w:hAnsi="Arial" w:cs="Arial" w:hint="eastAsia"/>
          <w:sz w:val="22"/>
          <w:lang w:eastAsia="zh-HK"/>
        </w:rPr>
        <w:t xml:space="preserve">. </w:t>
      </w:r>
      <w:r w:rsidR="002E7A5C">
        <w:rPr>
          <w:rFonts w:ascii="Arial" w:hAnsi="Arial" w:cs="Arial" w:hint="eastAsia"/>
          <w:sz w:val="22"/>
          <w:lang w:eastAsia="zh-HK"/>
        </w:rPr>
        <w:t>Assets grew steadily with major contribution</w:t>
      </w:r>
      <w:r w:rsidR="00F1726E">
        <w:rPr>
          <w:rFonts w:ascii="Arial" w:hAnsi="Arial" w:cs="Arial" w:hint="eastAsia"/>
          <w:sz w:val="22"/>
          <w:lang w:eastAsia="zh-HK"/>
        </w:rPr>
        <w:t>s</w:t>
      </w:r>
      <w:r w:rsidR="002E7A5C">
        <w:rPr>
          <w:rFonts w:ascii="Arial" w:hAnsi="Arial" w:cs="Arial" w:hint="eastAsia"/>
          <w:sz w:val="22"/>
          <w:lang w:eastAsia="zh-HK"/>
        </w:rPr>
        <w:t xml:space="preserve"> from gain in revaluation of investment properties </w:t>
      </w:r>
      <w:r w:rsidR="00EB3329">
        <w:rPr>
          <w:rFonts w:ascii="Arial" w:hAnsi="Arial" w:cs="Arial" w:hint="eastAsia"/>
          <w:sz w:val="22"/>
          <w:lang w:eastAsia="zh-HK"/>
        </w:rPr>
        <w:t xml:space="preserve">&amp; service concession assets, progress of railway </w:t>
      </w:r>
      <w:r w:rsidR="00376E47">
        <w:rPr>
          <w:rFonts w:ascii="Arial" w:hAnsi="Arial" w:cs="Arial" w:hint="eastAsia"/>
          <w:sz w:val="22"/>
          <w:lang w:eastAsia="zh-HK"/>
        </w:rPr>
        <w:t>extension</w:t>
      </w:r>
      <w:r w:rsidR="00EB3329">
        <w:rPr>
          <w:rFonts w:ascii="Arial" w:hAnsi="Arial" w:cs="Arial" w:hint="eastAsia"/>
          <w:sz w:val="22"/>
          <w:lang w:eastAsia="zh-HK"/>
        </w:rPr>
        <w:t xml:space="preserve"> projects, and rising amount of cash</w:t>
      </w:r>
      <w:r w:rsidR="00A079F3">
        <w:rPr>
          <w:rFonts w:ascii="Arial" w:hAnsi="Arial" w:cs="Arial" w:hint="eastAsia"/>
          <w:sz w:val="22"/>
          <w:lang w:eastAsia="zh-HK"/>
        </w:rPr>
        <w:t xml:space="preserve"> holding</w:t>
      </w:r>
      <w:r w:rsidR="002E7A5C">
        <w:rPr>
          <w:rFonts w:ascii="Arial" w:hAnsi="Arial" w:cs="Arial" w:hint="eastAsia"/>
          <w:sz w:val="22"/>
          <w:lang w:eastAsia="zh-HK"/>
        </w:rPr>
        <w:t xml:space="preserve">. </w:t>
      </w:r>
      <w:r w:rsidR="00EF6526">
        <w:rPr>
          <w:rFonts w:ascii="Arial" w:hAnsi="Arial" w:cs="Arial" w:hint="eastAsia"/>
          <w:sz w:val="22"/>
          <w:lang w:eastAsia="zh-HK"/>
        </w:rPr>
        <w:t>Capital</w:t>
      </w:r>
      <w:r w:rsidR="00303C09">
        <w:rPr>
          <w:rFonts w:ascii="Arial" w:hAnsi="Arial" w:cs="Arial" w:hint="eastAsia"/>
          <w:sz w:val="22"/>
          <w:lang w:eastAsia="zh-HK"/>
        </w:rPr>
        <w:t xml:space="preserve"> of the business is mainly allocated in fixed assets including investment properties, other property, plant &amp; equipment, and service concession assets. </w:t>
      </w:r>
      <w:r w:rsidR="00364D50">
        <w:rPr>
          <w:rFonts w:ascii="Arial" w:hAnsi="Arial" w:cs="Arial" w:hint="eastAsia"/>
          <w:sz w:val="22"/>
          <w:lang w:eastAsia="zh-HK"/>
        </w:rPr>
        <w:t>MTRC</w:t>
      </w:r>
      <w:r w:rsidR="00694ADA">
        <w:rPr>
          <w:rFonts w:ascii="Arial" w:hAnsi="Arial" w:cs="Arial" w:hint="eastAsia"/>
          <w:sz w:val="22"/>
          <w:lang w:eastAsia="zh-HK"/>
        </w:rPr>
        <w:t xml:space="preserve"> </w:t>
      </w:r>
      <w:r w:rsidR="00364D50">
        <w:rPr>
          <w:rFonts w:ascii="Arial" w:hAnsi="Arial" w:cs="Arial" w:hint="eastAsia"/>
          <w:sz w:val="22"/>
          <w:lang w:eastAsia="zh-HK"/>
        </w:rPr>
        <w:t>demonstrate</w:t>
      </w:r>
      <w:r w:rsidR="009A288E" w:rsidRPr="00FE1697">
        <w:rPr>
          <w:rFonts w:ascii="Arial" w:hAnsi="Arial" w:cs="Arial" w:hint="eastAsia"/>
          <w:sz w:val="22"/>
          <w:lang w:eastAsia="zh-HK"/>
        </w:rPr>
        <w:t xml:space="preserve"> a very strong </w:t>
      </w:r>
      <w:r w:rsidR="007B6C74">
        <w:rPr>
          <w:rFonts w:ascii="Arial" w:hAnsi="Arial" w:cs="Arial" w:hint="eastAsia"/>
          <w:sz w:val="22"/>
          <w:lang w:eastAsia="zh-HK"/>
        </w:rPr>
        <w:t xml:space="preserve">overall </w:t>
      </w:r>
      <w:r w:rsidR="00F00657">
        <w:rPr>
          <w:rFonts w:ascii="Arial" w:hAnsi="Arial" w:cs="Arial" w:hint="eastAsia"/>
          <w:sz w:val="22"/>
          <w:lang w:eastAsia="zh-HK"/>
        </w:rPr>
        <w:t xml:space="preserve">financial </w:t>
      </w:r>
      <w:r w:rsidR="005E5DAC">
        <w:rPr>
          <w:rFonts w:ascii="Arial" w:hAnsi="Arial" w:cs="Arial" w:hint="eastAsia"/>
          <w:sz w:val="22"/>
          <w:lang w:eastAsia="zh-HK"/>
        </w:rPr>
        <w:t>position</w:t>
      </w:r>
      <w:r w:rsidR="00DF724A">
        <w:rPr>
          <w:rFonts w:ascii="Arial" w:hAnsi="Arial" w:cs="Arial" w:hint="eastAsia"/>
          <w:sz w:val="22"/>
          <w:lang w:eastAsia="zh-HK"/>
        </w:rPr>
        <w:t xml:space="preserve"> </w:t>
      </w:r>
      <w:r w:rsidR="00F00657">
        <w:rPr>
          <w:rFonts w:ascii="Arial" w:hAnsi="Arial" w:cs="Arial" w:hint="eastAsia"/>
          <w:sz w:val="22"/>
          <w:lang w:eastAsia="zh-HK"/>
        </w:rPr>
        <w:t xml:space="preserve">with reserves rising solidly year from year. </w:t>
      </w:r>
      <w:r w:rsidR="00364D50">
        <w:rPr>
          <w:rFonts w:ascii="Arial" w:hAnsi="Arial" w:cs="Arial" w:hint="eastAsia"/>
          <w:sz w:val="22"/>
          <w:lang w:eastAsia="zh-HK"/>
        </w:rPr>
        <w:t>It</w:t>
      </w:r>
      <w:r w:rsidR="00066C06">
        <w:rPr>
          <w:rFonts w:ascii="Arial" w:hAnsi="Arial" w:cs="Arial" w:hint="eastAsia"/>
          <w:sz w:val="22"/>
          <w:lang w:eastAsia="zh-HK"/>
        </w:rPr>
        <w:t xml:space="preserve"> makes good use of profits &amp; government funding in expansion to obtain further </w:t>
      </w:r>
      <w:r w:rsidR="00066C06">
        <w:rPr>
          <w:rFonts w:ascii="Arial" w:hAnsi="Arial" w:cs="Arial"/>
          <w:sz w:val="22"/>
          <w:lang w:eastAsia="zh-HK"/>
        </w:rPr>
        <w:t>earnings.</w:t>
      </w:r>
    </w:p>
    <w:p w:rsidR="00494562" w:rsidRDefault="00494562">
      <w:pPr>
        <w:rPr>
          <w:rFonts w:ascii="Arial" w:hAnsi="Arial" w:cs="Arial"/>
          <w:sz w:val="22"/>
          <w:lang w:eastAsia="zh-HK"/>
        </w:rPr>
      </w:pPr>
    </w:p>
    <w:tbl>
      <w:tblPr>
        <w:tblW w:w="9067" w:type="dxa"/>
        <w:jc w:val="center"/>
        <w:tblCellMar>
          <w:left w:w="28" w:type="dxa"/>
          <w:right w:w="28" w:type="dxa"/>
        </w:tblCellMar>
        <w:tblLook w:val="04A0"/>
      </w:tblPr>
      <w:tblGrid>
        <w:gridCol w:w="3867"/>
        <w:gridCol w:w="1040"/>
        <w:gridCol w:w="1040"/>
        <w:gridCol w:w="1040"/>
        <w:gridCol w:w="1040"/>
        <w:gridCol w:w="1040"/>
      </w:tblGrid>
      <w:tr w:rsidR="002D7454" w:rsidRPr="002D7454" w:rsidTr="000520CF">
        <w:trPr>
          <w:trHeight w:val="255"/>
          <w:tblHeader/>
          <w:jc w:val="center"/>
        </w:trPr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  <w:lang w:eastAsia="zh-HK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2010</w:t>
            </w:r>
          </w:p>
        </w:tc>
      </w:tr>
      <w:tr w:rsidR="002D7454" w:rsidRPr="002D7454" w:rsidTr="002D7454">
        <w:trPr>
          <w:trHeight w:val="255"/>
          <w:jc w:val="center"/>
        </w:trPr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Current Assets (in HK$ million)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26,836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24,545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28,808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28,676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25,984</w:t>
            </w:r>
          </w:p>
        </w:tc>
      </w:tr>
      <w:tr w:rsidR="002D7454" w:rsidRPr="002D7454" w:rsidTr="002D7454">
        <w:trPr>
          <w:trHeight w:val="255"/>
          <w:jc w:val="center"/>
        </w:trPr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Current Liabilities (in HK$ million)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20,135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15,966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17,073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18,631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17,865</w:t>
            </w:r>
          </w:p>
        </w:tc>
      </w:tr>
      <w:tr w:rsidR="002D7454" w:rsidRPr="002D7454" w:rsidTr="002D7454">
        <w:trPr>
          <w:trHeight w:val="255"/>
          <w:jc w:val="center"/>
        </w:trPr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Working </w:t>
            </w:r>
            <w:r w:rsidR="00234272"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Capital</w:t>
            </w: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 (in HK$ million)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6,701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8,579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11,735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10,045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8,119</w:t>
            </w:r>
          </w:p>
        </w:tc>
      </w:tr>
      <w:tr w:rsidR="002D7454" w:rsidRPr="002D7454" w:rsidTr="002D7454">
        <w:trPr>
          <w:trHeight w:val="255"/>
          <w:jc w:val="center"/>
        </w:trPr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lastRenderedPageBreak/>
              <w:t>Current Ratio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1.33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1.54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1.69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1.54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1.45</w:t>
            </w:r>
          </w:p>
        </w:tc>
      </w:tr>
      <w:tr w:rsidR="002D7454" w:rsidRPr="002D7454" w:rsidTr="002D7454">
        <w:trPr>
          <w:trHeight w:val="255"/>
          <w:jc w:val="center"/>
        </w:trPr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Quick Ratio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1.21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1.39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1.44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1.28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1.29 </w:t>
            </w:r>
          </w:p>
        </w:tc>
      </w:tr>
      <w:tr w:rsidR="002D7454" w:rsidRPr="002D7454" w:rsidTr="002D7454">
        <w:trPr>
          <w:trHeight w:val="255"/>
          <w:jc w:val="center"/>
        </w:trPr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Debt Ratio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0.28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0.29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0.30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2D745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0.32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454" w:rsidRPr="002D7454" w:rsidRDefault="002D7454" w:rsidP="00FA503B">
            <w:pPr>
              <w:keepNext/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D7454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0.35 </w:t>
            </w:r>
          </w:p>
        </w:tc>
      </w:tr>
    </w:tbl>
    <w:p w:rsidR="00FA503B" w:rsidRPr="00FA503B" w:rsidRDefault="00FA503B" w:rsidP="00FA503B">
      <w:pPr>
        <w:pStyle w:val="aa"/>
        <w:jc w:val="center"/>
        <w:rPr>
          <w:rFonts w:ascii="Arial" w:hAnsi="Arial" w:cs="Arial"/>
          <w:i/>
          <w:sz w:val="22"/>
          <w:szCs w:val="22"/>
        </w:rPr>
      </w:pPr>
      <w:bookmarkStart w:id="2" w:name="_Ref448701859"/>
      <w:r w:rsidRPr="00FA503B">
        <w:rPr>
          <w:rFonts w:ascii="Arial" w:hAnsi="Arial" w:cs="Arial"/>
          <w:i/>
          <w:sz w:val="22"/>
          <w:szCs w:val="22"/>
        </w:rPr>
        <w:t xml:space="preserve">Table </w:t>
      </w:r>
      <w:r w:rsidRPr="00FA503B">
        <w:rPr>
          <w:rFonts w:ascii="Arial" w:hAnsi="Arial" w:cs="Arial"/>
          <w:i/>
          <w:sz w:val="22"/>
          <w:szCs w:val="22"/>
        </w:rPr>
        <w:fldChar w:fldCharType="begin"/>
      </w:r>
      <w:r w:rsidRPr="00FA503B">
        <w:rPr>
          <w:rFonts w:ascii="Arial" w:hAnsi="Arial" w:cs="Arial"/>
          <w:i/>
          <w:sz w:val="22"/>
          <w:szCs w:val="22"/>
        </w:rPr>
        <w:instrText xml:space="preserve"> SEQ Table \* ARABIC </w:instrText>
      </w:r>
      <w:r w:rsidRPr="00FA503B">
        <w:rPr>
          <w:rFonts w:ascii="Arial" w:hAnsi="Arial" w:cs="Arial"/>
          <w:i/>
          <w:sz w:val="22"/>
          <w:szCs w:val="22"/>
        </w:rPr>
        <w:fldChar w:fldCharType="separate"/>
      </w:r>
      <w:r w:rsidR="00E918EE">
        <w:rPr>
          <w:rFonts w:ascii="Arial" w:hAnsi="Arial" w:cs="Arial"/>
          <w:i/>
          <w:noProof/>
          <w:sz w:val="22"/>
          <w:szCs w:val="22"/>
        </w:rPr>
        <w:t>3</w:t>
      </w:r>
      <w:r w:rsidRPr="00FA503B">
        <w:rPr>
          <w:rFonts w:ascii="Arial" w:hAnsi="Arial" w:cs="Arial"/>
          <w:i/>
          <w:sz w:val="22"/>
          <w:szCs w:val="22"/>
        </w:rPr>
        <w:fldChar w:fldCharType="end"/>
      </w:r>
      <w:bookmarkEnd w:id="2"/>
      <w:r w:rsidRPr="00FA503B">
        <w:rPr>
          <w:rFonts w:ascii="Arial" w:hAnsi="Arial" w:cs="Arial"/>
          <w:i/>
          <w:sz w:val="22"/>
          <w:szCs w:val="22"/>
          <w:lang w:eastAsia="zh-HK"/>
        </w:rPr>
        <w:t>: Analysis on financial status for the last 5 years</w:t>
      </w:r>
    </w:p>
    <w:p w:rsidR="00376E47" w:rsidRDefault="00376E47">
      <w:pPr>
        <w:rPr>
          <w:rFonts w:ascii="Arial" w:hAnsi="Arial" w:cs="Arial"/>
          <w:sz w:val="22"/>
          <w:lang w:eastAsia="zh-HK"/>
        </w:rPr>
      </w:pPr>
    </w:p>
    <w:p w:rsidR="00714E92" w:rsidRDefault="00782354">
      <w:pPr>
        <w:rPr>
          <w:rFonts w:ascii="Arial" w:hAnsi="Arial" w:cs="Arial"/>
          <w:sz w:val="22"/>
          <w:lang w:eastAsia="zh-HK"/>
        </w:rPr>
      </w:pPr>
      <w:r>
        <w:rPr>
          <w:rFonts w:ascii="Arial" w:hAnsi="Arial" w:cs="Arial" w:hint="eastAsia"/>
          <w:sz w:val="22"/>
          <w:lang w:eastAsia="zh-HK"/>
        </w:rPr>
        <w:t>To further look into the</w:t>
      </w:r>
      <w:r w:rsidR="00515455">
        <w:rPr>
          <w:rFonts w:ascii="Arial" w:hAnsi="Arial" w:cs="Arial" w:hint="eastAsia"/>
          <w:sz w:val="22"/>
          <w:lang w:eastAsia="zh-HK"/>
        </w:rPr>
        <w:t xml:space="preserve"> </w:t>
      </w:r>
      <w:r w:rsidR="003A303A">
        <w:rPr>
          <w:rFonts w:ascii="Arial" w:hAnsi="Arial" w:cs="Arial" w:hint="eastAsia"/>
          <w:sz w:val="22"/>
          <w:lang w:eastAsia="zh-HK"/>
        </w:rPr>
        <w:t xml:space="preserve">liquidity </w:t>
      </w:r>
      <w:r>
        <w:rPr>
          <w:rFonts w:ascii="Arial" w:hAnsi="Arial" w:cs="Arial" w:hint="eastAsia"/>
          <w:sz w:val="22"/>
          <w:lang w:eastAsia="zh-HK"/>
        </w:rPr>
        <w:t>status</w:t>
      </w:r>
      <w:r w:rsidR="0050798F">
        <w:rPr>
          <w:rFonts w:ascii="Arial" w:hAnsi="Arial" w:cs="Arial" w:hint="eastAsia"/>
          <w:sz w:val="22"/>
          <w:lang w:eastAsia="zh-HK"/>
        </w:rPr>
        <w:t xml:space="preserve"> of MTRC</w:t>
      </w:r>
      <w:r w:rsidR="0059105B">
        <w:rPr>
          <w:rFonts w:ascii="Arial" w:hAnsi="Arial" w:cs="Arial" w:hint="eastAsia"/>
          <w:sz w:val="22"/>
          <w:lang w:eastAsia="zh-HK"/>
        </w:rPr>
        <w:t xml:space="preserve">, a number of ratios are calculated and </w:t>
      </w:r>
      <w:r w:rsidR="002E05FB">
        <w:rPr>
          <w:rFonts w:ascii="Arial" w:hAnsi="Arial" w:cs="Arial" w:hint="eastAsia"/>
          <w:sz w:val="22"/>
          <w:lang w:eastAsia="zh-HK"/>
        </w:rPr>
        <w:t>presented</w:t>
      </w:r>
      <w:r w:rsidR="0059105B">
        <w:rPr>
          <w:rFonts w:ascii="Arial" w:hAnsi="Arial" w:cs="Arial" w:hint="eastAsia"/>
          <w:sz w:val="22"/>
          <w:lang w:eastAsia="zh-HK"/>
        </w:rPr>
        <w:t xml:space="preserve"> in </w:t>
      </w:r>
      <w:r w:rsidR="00FA503B">
        <w:rPr>
          <w:rFonts w:ascii="Arial" w:hAnsi="Arial" w:cs="Arial"/>
          <w:sz w:val="22"/>
          <w:lang w:eastAsia="zh-HK"/>
        </w:rPr>
        <w:fldChar w:fldCharType="begin"/>
      </w:r>
      <w:r w:rsidR="00FA503B">
        <w:rPr>
          <w:rFonts w:ascii="Arial" w:hAnsi="Arial" w:cs="Arial"/>
          <w:sz w:val="22"/>
          <w:lang w:eastAsia="zh-HK"/>
        </w:rPr>
        <w:instrText xml:space="preserve"> </w:instrText>
      </w:r>
      <w:r w:rsidR="00FA503B">
        <w:rPr>
          <w:rFonts w:ascii="Arial" w:hAnsi="Arial" w:cs="Arial" w:hint="eastAsia"/>
          <w:sz w:val="22"/>
          <w:lang w:eastAsia="zh-HK"/>
        </w:rPr>
        <w:instrText>REF _Ref448701859 \h</w:instrText>
      </w:r>
      <w:r w:rsidR="00FA503B">
        <w:rPr>
          <w:rFonts w:ascii="Arial" w:hAnsi="Arial" w:cs="Arial"/>
          <w:sz w:val="22"/>
          <w:lang w:eastAsia="zh-HK"/>
        </w:rPr>
        <w:instrText xml:space="preserve"> </w:instrText>
      </w:r>
      <w:r w:rsidR="00FA503B">
        <w:rPr>
          <w:rFonts w:ascii="Arial" w:hAnsi="Arial" w:cs="Arial"/>
          <w:sz w:val="22"/>
          <w:lang w:eastAsia="zh-HK"/>
        </w:rPr>
      </w:r>
      <w:r w:rsidR="00FA503B">
        <w:rPr>
          <w:rFonts w:ascii="Arial" w:hAnsi="Arial" w:cs="Arial"/>
          <w:sz w:val="22"/>
          <w:lang w:eastAsia="zh-HK"/>
        </w:rPr>
        <w:fldChar w:fldCharType="separate"/>
      </w:r>
      <w:r w:rsidR="00FA503B" w:rsidRPr="00FA503B">
        <w:rPr>
          <w:rFonts w:ascii="Arial" w:hAnsi="Arial" w:cs="Arial"/>
          <w:i/>
          <w:sz w:val="22"/>
        </w:rPr>
        <w:t xml:space="preserve">Table </w:t>
      </w:r>
      <w:r w:rsidR="00FA503B" w:rsidRPr="00FA503B">
        <w:rPr>
          <w:rFonts w:ascii="Arial" w:hAnsi="Arial" w:cs="Arial"/>
          <w:i/>
          <w:noProof/>
          <w:sz w:val="22"/>
        </w:rPr>
        <w:t>3</w:t>
      </w:r>
      <w:r w:rsidR="00FA503B">
        <w:rPr>
          <w:rFonts w:ascii="Arial" w:hAnsi="Arial" w:cs="Arial"/>
          <w:sz w:val="22"/>
          <w:lang w:eastAsia="zh-HK"/>
        </w:rPr>
        <w:fldChar w:fldCharType="end"/>
      </w:r>
      <w:r w:rsidR="007B6C74">
        <w:rPr>
          <w:rFonts w:ascii="Arial" w:hAnsi="Arial" w:cs="Arial" w:hint="eastAsia"/>
          <w:sz w:val="22"/>
          <w:lang w:eastAsia="zh-HK"/>
        </w:rPr>
        <w:t xml:space="preserve">. </w:t>
      </w:r>
      <w:r w:rsidR="0050798F">
        <w:rPr>
          <w:rFonts w:ascii="Arial" w:hAnsi="Arial" w:cs="Arial" w:hint="eastAsia"/>
          <w:sz w:val="22"/>
          <w:lang w:eastAsia="zh-HK"/>
        </w:rPr>
        <w:t>The company</w:t>
      </w:r>
      <w:r w:rsidR="001E3115">
        <w:rPr>
          <w:rFonts w:ascii="Arial" w:hAnsi="Arial" w:cs="Arial" w:hint="eastAsia"/>
          <w:sz w:val="22"/>
          <w:lang w:eastAsia="zh-HK"/>
        </w:rPr>
        <w:t xml:space="preserve"> </w:t>
      </w:r>
      <w:r w:rsidR="001D4141">
        <w:rPr>
          <w:rFonts w:ascii="Arial" w:hAnsi="Arial" w:cs="Arial" w:hint="eastAsia"/>
          <w:sz w:val="22"/>
          <w:lang w:eastAsia="zh-HK"/>
        </w:rPr>
        <w:t>was</w:t>
      </w:r>
      <w:r w:rsidR="00714E92">
        <w:rPr>
          <w:rFonts w:ascii="Arial" w:hAnsi="Arial" w:cs="Arial" w:hint="eastAsia"/>
          <w:sz w:val="22"/>
          <w:lang w:eastAsia="zh-HK"/>
        </w:rPr>
        <w:t xml:space="preserve"> able to maintain a healthy level of working capital over</w:t>
      </w:r>
      <w:r w:rsidR="0050798F">
        <w:rPr>
          <w:rFonts w:ascii="Arial" w:hAnsi="Arial" w:cs="Arial" w:hint="eastAsia"/>
          <w:sz w:val="22"/>
          <w:lang w:eastAsia="zh-HK"/>
        </w:rPr>
        <w:t xml:space="preserve"> the </w:t>
      </w:r>
      <w:r w:rsidR="001D4141">
        <w:rPr>
          <w:rFonts w:ascii="Arial" w:hAnsi="Arial" w:cs="Arial" w:hint="eastAsia"/>
          <w:sz w:val="22"/>
          <w:lang w:eastAsia="zh-HK"/>
        </w:rPr>
        <w:t>past</w:t>
      </w:r>
      <w:r w:rsidR="002E05FB">
        <w:rPr>
          <w:rFonts w:ascii="Arial" w:hAnsi="Arial" w:cs="Arial" w:hint="eastAsia"/>
          <w:sz w:val="22"/>
          <w:lang w:eastAsia="zh-HK"/>
        </w:rPr>
        <w:t>. T</w:t>
      </w:r>
      <w:r w:rsidR="0050798F">
        <w:rPr>
          <w:rFonts w:ascii="Arial" w:hAnsi="Arial" w:cs="Arial" w:hint="eastAsia"/>
          <w:sz w:val="22"/>
          <w:lang w:eastAsia="zh-HK"/>
        </w:rPr>
        <w:t xml:space="preserve">he </w:t>
      </w:r>
      <w:r w:rsidR="00714E92">
        <w:rPr>
          <w:rFonts w:ascii="Arial" w:hAnsi="Arial" w:cs="Arial" w:hint="eastAsia"/>
          <w:sz w:val="22"/>
          <w:lang w:eastAsia="zh-HK"/>
        </w:rPr>
        <w:t xml:space="preserve">current ratio </w:t>
      </w:r>
      <w:r w:rsidR="001D4141">
        <w:rPr>
          <w:rFonts w:ascii="Arial" w:hAnsi="Arial" w:cs="Arial" w:hint="eastAsia"/>
          <w:sz w:val="22"/>
          <w:lang w:eastAsia="zh-HK"/>
        </w:rPr>
        <w:t>stayed</w:t>
      </w:r>
      <w:r w:rsidR="00714E92">
        <w:rPr>
          <w:rFonts w:ascii="Arial" w:hAnsi="Arial" w:cs="Arial" w:hint="eastAsia"/>
          <w:sz w:val="22"/>
          <w:lang w:eastAsia="zh-HK"/>
        </w:rPr>
        <w:t xml:space="preserve"> at </w:t>
      </w:r>
      <w:r w:rsidR="002E05FB">
        <w:rPr>
          <w:rFonts w:ascii="Arial" w:hAnsi="Arial" w:cs="Arial" w:hint="eastAsia"/>
          <w:sz w:val="22"/>
          <w:lang w:eastAsia="zh-HK"/>
        </w:rPr>
        <w:t xml:space="preserve">the </w:t>
      </w:r>
      <w:r w:rsidR="0050798F">
        <w:rPr>
          <w:rFonts w:ascii="Arial" w:hAnsi="Arial" w:cs="Arial" w:hint="eastAsia"/>
          <w:sz w:val="22"/>
          <w:lang w:eastAsia="zh-HK"/>
        </w:rPr>
        <w:t xml:space="preserve">range of </w:t>
      </w:r>
      <w:r w:rsidR="00714E92">
        <w:rPr>
          <w:rFonts w:ascii="Arial" w:hAnsi="Arial" w:cs="Arial" w:hint="eastAsia"/>
          <w:sz w:val="22"/>
          <w:lang w:eastAsia="zh-HK"/>
        </w:rPr>
        <w:t>1.3</w:t>
      </w:r>
      <w:r w:rsidR="0050798F">
        <w:rPr>
          <w:rFonts w:ascii="Arial" w:hAnsi="Arial" w:cs="Arial" w:hint="eastAsia"/>
          <w:sz w:val="22"/>
          <w:lang w:eastAsia="zh-HK"/>
        </w:rPr>
        <w:t>3 - 1.69</w:t>
      </w:r>
      <w:r w:rsidR="002E05FB">
        <w:rPr>
          <w:rFonts w:ascii="Arial" w:hAnsi="Arial" w:cs="Arial" w:hint="eastAsia"/>
          <w:sz w:val="22"/>
          <w:lang w:eastAsia="zh-HK"/>
        </w:rPr>
        <w:t xml:space="preserve"> while the debt ratio </w:t>
      </w:r>
      <w:r w:rsidR="001D4141">
        <w:rPr>
          <w:rFonts w:ascii="Arial" w:hAnsi="Arial" w:cs="Arial"/>
          <w:sz w:val="22"/>
          <w:lang w:eastAsia="zh-HK"/>
        </w:rPr>
        <w:t>dropped</w:t>
      </w:r>
      <w:r w:rsidR="002E05FB">
        <w:rPr>
          <w:rFonts w:ascii="Arial" w:hAnsi="Arial" w:cs="Arial" w:hint="eastAsia"/>
          <w:sz w:val="22"/>
          <w:lang w:eastAsia="zh-HK"/>
        </w:rPr>
        <w:t xml:space="preserve"> from 0.35 in 2010 to 0.28 in 2014. </w:t>
      </w:r>
      <w:r w:rsidR="00761E4F">
        <w:rPr>
          <w:rFonts w:ascii="Arial" w:hAnsi="Arial" w:cs="Arial" w:hint="eastAsia"/>
          <w:sz w:val="22"/>
          <w:lang w:eastAsia="zh-HK"/>
        </w:rPr>
        <w:t>That means MTRC has sufficient current asset to meet its current liability with some buffer</w:t>
      </w:r>
      <w:r w:rsidR="008705C3">
        <w:rPr>
          <w:rFonts w:ascii="Arial" w:hAnsi="Arial" w:cs="Arial" w:hint="eastAsia"/>
          <w:sz w:val="22"/>
          <w:lang w:eastAsia="zh-HK"/>
        </w:rPr>
        <w:t xml:space="preserve"> and debt is only </w:t>
      </w:r>
      <w:r w:rsidR="008705C3">
        <w:rPr>
          <w:rFonts w:ascii="Arial" w:hAnsi="Arial" w:cs="Arial"/>
          <w:sz w:val="22"/>
          <w:lang w:eastAsia="zh-HK"/>
        </w:rPr>
        <w:t>accountable</w:t>
      </w:r>
      <w:r w:rsidR="008705C3">
        <w:rPr>
          <w:rFonts w:ascii="Arial" w:hAnsi="Arial" w:cs="Arial" w:hint="eastAsia"/>
          <w:sz w:val="22"/>
          <w:lang w:eastAsia="zh-HK"/>
        </w:rPr>
        <w:t xml:space="preserve"> for just around 28 - 35% of its total asset</w:t>
      </w:r>
      <w:r w:rsidR="00761E4F">
        <w:rPr>
          <w:rFonts w:ascii="Arial" w:hAnsi="Arial" w:cs="Arial" w:hint="eastAsia"/>
          <w:sz w:val="22"/>
          <w:lang w:eastAsia="zh-HK"/>
        </w:rPr>
        <w:t xml:space="preserve">. </w:t>
      </w:r>
      <w:r w:rsidR="008C5E1C">
        <w:rPr>
          <w:rFonts w:ascii="Arial" w:hAnsi="Arial" w:cs="Arial" w:hint="eastAsia"/>
          <w:sz w:val="22"/>
          <w:lang w:eastAsia="zh-HK"/>
        </w:rPr>
        <w:t xml:space="preserve">Although there is a decreasing trend of working capital in the last couple of years, with a number of new extension lines completing in the next few years, revenue from railway operation </w:t>
      </w:r>
      <w:r w:rsidR="00BE0B1B">
        <w:rPr>
          <w:rFonts w:ascii="Arial" w:hAnsi="Arial" w:cs="Arial" w:hint="eastAsia"/>
          <w:sz w:val="22"/>
          <w:lang w:eastAsia="zh-HK"/>
        </w:rPr>
        <w:t xml:space="preserve">and station commercial business </w:t>
      </w:r>
      <w:r w:rsidR="008C5E1C">
        <w:rPr>
          <w:rFonts w:ascii="Arial" w:hAnsi="Arial" w:cs="Arial" w:hint="eastAsia"/>
          <w:sz w:val="22"/>
          <w:lang w:eastAsia="zh-HK"/>
        </w:rPr>
        <w:t xml:space="preserve">will rise brining into additional cash to the </w:t>
      </w:r>
      <w:r w:rsidR="008C5E1C">
        <w:rPr>
          <w:rFonts w:ascii="Arial" w:hAnsi="Arial" w:cs="Arial"/>
          <w:sz w:val="22"/>
          <w:lang w:eastAsia="zh-HK"/>
        </w:rPr>
        <w:t>business</w:t>
      </w:r>
      <w:r w:rsidR="008C5E1C">
        <w:rPr>
          <w:rFonts w:ascii="Arial" w:hAnsi="Arial" w:cs="Arial" w:hint="eastAsia"/>
          <w:sz w:val="22"/>
          <w:lang w:eastAsia="zh-HK"/>
        </w:rPr>
        <w:t xml:space="preserve">. </w:t>
      </w:r>
      <w:r w:rsidR="00BA0034">
        <w:rPr>
          <w:rFonts w:ascii="Arial" w:hAnsi="Arial" w:cs="Arial" w:hint="eastAsia"/>
          <w:sz w:val="22"/>
          <w:lang w:eastAsia="zh-HK"/>
        </w:rPr>
        <w:t xml:space="preserve">In the event of extreme case, the quick ratio of above 1 </w:t>
      </w:r>
      <w:r w:rsidR="008A7A41">
        <w:rPr>
          <w:rFonts w:ascii="Arial" w:hAnsi="Arial" w:cs="Arial" w:hint="eastAsia"/>
          <w:sz w:val="22"/>
          <w:lang w:eastAsia="zh-HK"/>
        </w:rPr>
        <w:t>indicates</w:t>
      </w:r>
      <w:r w:rsidR="00BA0034">
        <w:rPr>
          <w:rFonts w:ascii="Arial" w:hAnsi="Arial" w:cs="Arial" w:hint="eastAsia"/>
          <w:sz w:val="22"/>
          <w:lang w:eastAsia="zh-HK"/>
        </w:rPr>
        <w:t xml:space="preserve"> that MTRC is able to pay off its short-term creditors without much trouble. </w:t>
      </w:r>
      <w:r w:rsidR="00380CC2">
        <w:rPr>
          <w:rFonts w:ascii="Arial" w:hAnsi="Arial" w:cs="Arial" w:hint="eastAsia"/>
          <w:sz w:val="22"/>
          <w:lang w:eastAsia="zh-HK"/>
        </w:rPr>
        <w:t xml:space="preserve">Overall, </w:t>
      </w:r>
      <w:r w:rsidR="002A4D66">
        <w:rPr>
          <w:rFonts w:ascii="Arial" w:hAnsi="Arial" w:cs="Arial" w:hint="eastAsia"/>
          <w:sz w:val="22"/>
          <w:lang w:eastAsia="zh-HK"/>
        </w:rPr>
        <w:t>MTRC manages a</w:t>
      </w:r>
      <w:r w:rsidR="00BA0034">
        <w:rPr>
          <w:rFonts w:ascii="Arial" w:hAnsi="Arial" w:cs="Arial" w:hint="eastAsia"/>
          <w:sz w:val="22"/>
          <w:lang w:eastAsia="zh-HK"/>
        </w:rPr>
        <w:t xml:space="preserve"> good </w:t>
      </w:r>
      <w:r w:rsidR="002A4D66">
        <w:rPr>
          <w:rFonts w:ascii="Arial" w:hAnsi="Arial" w:cs="Arial" w:hint="eastAsia"/>
          <w:sz w:val="22"/>
          <w:lang w:eastAsia="zh-HK"/>
        </w:rPr>
        <w:t xml:space="preserve">use of </w:t>
      </w:r>
      <w:r w:rsidR="00BA0034">
        <w:rPr>
          <w:rFonts w:ascii="Arial" w:hAnsi="Arial" w:cs="Arial" w:hint="eastAsia"/>
          <w:sz w:val="22"/>
          <w:lang w:eastAsia="zh-HK"/>
        </w:rPr>
        <w:t xml:space="preserve">financial </w:t>
      </w:r>
      <w:r w:rsidR="009573E3">
        <w:rPr>
          <w:rFonts w:ascii="Arial" w:hAnsi="Arial" w:cs="Arial" w:hint="eastAsia"/>
          <w:sz w:val="22"/>
          <w:lang w:eastAsia="zh-HK"/>
        </w:rPr>
        <w:t>leverage</w:t>
      </w:r>
      <w:r w:rsidR="00234272">
        <w:rPr>
          <w:rFonts w:ascii="Arial" w:hAnsi="Arial" w:cs="Arial" w:hint="eastAsia"/>
          <w:sz w:val="22"/>
          <w:lang w:eastAsia="zh-HK"/>
        </w:rPr>
        <w:t xml:space="preserve"> without </w:t>
      </w:r>
      <w:r w:rsidR="00906BBB">
        <w:rPr>
          <w:rFonts w:ascii="Arial" w:hAnsi="Arial" w:cs="Arial" w:hint="eastAsia"/>
          <w:sz w:val="22"/>
          <w:lang w:eastAsia="zh-HK"/>
        </w:rPr>
        <w:t>over-exploiting</w:t>
      </w:r>
      <w:r w:rsidR="00234272">
        <w:rPr>
          <w:rFonts w:ascii="Arial" w:hAnsi="Arial" w:cs="Arial" w:hint="eastAsia"/>
          <w:sz w:val="22"/>
          <w:lang w:eastAsia="zh-HK"/>
        </w:rPr>
        <w:t xml:space="preserve"> its </w:t>
      </w:r>
      <w:r w:rsidR="00906BBB">
        <w:rPr>
          <w:rFonts w:ascii="Arial" w:hAnsi="Arial" w:cs="Arial" w:hint="eastAsia"/>
          <w:sz w:val="22"/>
          <w:lang w:eastAsia="zh-HK"/>
        </w:rPr>
        <w:t>position</w:t>
      </w:r>
      <w:r w:rsidR="001F21CE">
        <w:rPr>
          <w:rFonts w:ascii="Arial" w:hAnsi="Arial" w:cs="Arial" w:hint="eastAsia"/>
          <w:sz w:val="22"/>
          <w:lang w:eastAsia="zh-HK"/>
        </w:rPr>
        <w:t xml:space="preserve"> </w:t>
      </w:r>
      <w:r w:rsidR="00906BBB">
        <w:rPr>
          <w:rFonts w:ascii="Arial" w:hAnsi="Arial" w:cs="Arial" w:hint="eastAsia"/>
          <w:sz w:val="22"/>
          <w:lang w:eastAsia="zh-HK"/>
        </w:rPr>
        <w:t>causing any liquidity problem</w:t>
      </w:r>
      <w:r w:rsidR="002A4D66">
        <w:rPr>
          <w:rFonts w:ascii="Arial" w:hAnsi="Arial" w:cs="Arial" w:hint="eastAsia"/>
          <w:sz w:val="22"/>
          <w:lang w:eastAsia="zh-HK"/>
        </w:rPr>
        <w:t xml:space="preserve">. </w:t>
      </w:r>
    </w:p>
    <w:p w:rsidR="008C5E1C" w:rsidRPr="00906BBB" w:rsidRDefault="008C5E1C">
      <w:pPr>
        <w:rPr>
          <w:rFonts w:ascii="Arial" w:hAnsi="Arial" w:cs="Arial"/>
          <w:sz w:val="22"/>
          <w:lang w:eastAsia="zh-HK"/>
        </w:rPr>
      </w:pPr>
    </w:p>
    <w:p w:rsidR="00BE0B1B" w:rsidRPr="00906BBB" w:rsidRDefault="00BE3A40">
      <w:pPr>
        <w:rPr>
          <w:rFonts w:ascii="Arial" w:hAnsi="Arial" w:cs="Arial"/>
          <w:sz w:val="22"/>
          <w:lang w:eastAsia="zh-HK"/>
        </w:rPr>
      </w:pPr>
      <w:r>
        <w:rPr>
          <w:rFonts w:ascii="Arial" w:hAnsi="Arial" w:cs="Arial" w:hint="eastAsia"/>
          <w:b/>
          <w:lang w:eastAsia="zh-HK"/>
        </w:rPr>
        <w:tab/>
      </w:r>
      <w:r>
        <w:rPr>
          <w:rFonts w:ascii="Arial" w:hAnsi="Arial" w:cs="Arial" w:hint="eastAsia"/>
          <w:b/>
          <w:lang w:eastAsia="zh-HK"/>
        </w:rPr>
        <w:tab/>
      </w:r>
      <w:r w:rsidRPr="009A288E">
        <w:rPr>
          <w:rFonts w:ascii="Arial" w:hAnsi="Arial" w:cs="Arial" w:hint="eastAsia"/>
          <w:b/>
          <w:lang w:eastAsia="zh-HK"/>
        </w:rPr>
        <w:t>5.1.</w:t>
      </w:r>
      <w:r>
        <w:rPr>
          <w:rFonts w:ascii="Arial" w:hAnsi="Arial" w:cs="Arial" w:hint="eastAsia"/>
          <w:b/>
          <w:lang w:eastAsia="zh-HK"/>
        </w:rPr>
        <w:t>3</w:t>
      </w:r>
      <w:r w:rsidRPr="009A288E">
        <w:rPr>
          <w:rFonts w:ascii="Arial" w:hAnsi="Arial" w:cs="Arial" w:hint="eastAsia"/>
          <w:b/>
          <w:lang w:eastAsia="zh-HK"/>
        </w:rPr>
        <w:t xml:space="preserve"> Consolidated </w:t>
      </w:r>
      <w:r>
        <w:rPr>
          <w:rFonts w:ascii="Arial" w:hAnsi="Arial" w:cs="Arial" w:hint="eastAsia"/>
          <w:b/>
          <w:lang w:eastAsia="zh-HK"/>
        </w:rPr>
        <w:t>Profit and Loss</w:t>
      </w:r>
    </w:p>
    <w:p w:rsidR="00906BBB" w:rsidRDefault="00906BBB">
      <w:pPr>
        <w:rPr>
          <w:rFonts w:ascii="Arial" w:hAnsi="Arial" w:cs="Arial"/>
          <w:sz w:val="22"/>
          <w:lang w:eastAsia="zh-HK"/>
        </w:rPr>
      </w:pPr>
    </w:p>
    <w:tbl>
      <w:tblPr>
        <w:tblW w:w="9720" w:type="dxa"/>
        <w:tblInd w:w="14" w:type="dxa"/>
        <w:tblCellMar>
          <w:left w:w="28" w:type="dxa"/>
          <w:right w:w="28" w:type="dxa"/>
        </w:tblCellMar>
        <w:tblLook w:val="04A0"/>
      </w:tblPr>
      <w:tblGrid>
        <w:gridCol w:w="5120"/>
        <w:gridCol w:w="920"/>
        <w:gridCol w:w="920"/>
        <w:gridCol w:w="920"/>
        <w:gridCol w:w="920"/>
        <w:gridCol w:w="920"/>
      </w:tblGrid>
      <w:tr w:rsidR="00DD51FE" w:rsidRPr="00DD51FE" w:rsidTr="00DD51FE">
        <w:trPr>
          <w:trHeight w:val="345"/>
          <w:tblHeader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For the year ended 31 December in HK$ million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2010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Revenue from Hong Kong transport operations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16,223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15,166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14,523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13,509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12,635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Revenue from Hong Kong station commercial businesses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4,963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4,588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3,680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3,422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2,853</w:t>
            </w:r>
          </w:p>
        </w:tc>
      </w:tr>
      <w:tr w:rsidR="00DD51FE" w:rsidRPr="00DD51FE" w:rsidTr="00DD51FE">
        <w:trPr>
          <w:trHeight w:val="51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Revenue from Hong Kong property rental and management businesses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4,190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3,778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3,401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3,083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2,961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Revenue from Mainland of China and international subsidiaries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12,627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13,246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12,786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12,411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10,144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Revenue from other businesses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2,153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1,929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1,349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925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40,156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38,707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35,739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33,423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29,518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Expenses relating to Hong Kong transport operations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Staff costs and related expenses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-4,450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-4,198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-3,879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-3,673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-3,398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Energy and utilities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-1,409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-1,293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-1,200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-1,110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-1,067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Operational rent and rates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-269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-259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-234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-199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-184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Stores and spares consumed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-540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-514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-466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-421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Maintenance and related works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-1,361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-1,177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-1,112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-1,048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-912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Railway support services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-253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-246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-207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General and administration expenses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-640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-515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-479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-429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-379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Other expenses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-247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-238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-223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-253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-9,236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-8,449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-7,829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-7,354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-6,821</w:t>
            </w:r>
          </w:p>
        </w:tc>
      </w:tr>
      <w:tr w:rsidR="00DD51FE" w:rsidRPr="00DD51FE" w:rsidTr="00DD51FE">
        <w:trPr>
          <w:trHeight w:val="51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Expenses relating to Hong Kong station commercial businesses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-515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-464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-397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-358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-294</w:t>
            </w:r>
          </w:p>
        </w:tc>
      </w:tr>
      <w:tr w:rsidR="00DD51FE" w:rsidRPr="00DD51FE" w:rsidTr="00DD51FE">
        <w:trPr>
          <w:trHeight w:val="51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Expenses relating to Hong Kong property rental and management businesses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-747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-673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-627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-587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-654</w:t>
            </w:r>
          </w:p>
        </w:tc>
      </w:tr>
      <w:tr w:rsidR="00DD51FE" w:rsidRPr="00DD51FE" w:rsidTr="00DD51FE">
        <w:trPr>
          <w:trHeight w:val="51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Expenses relating to Mainland of China and international subsidiaries</w:t>
            </w:r>
            <w:bookmarkStart w:id="3" w:name="_GoBack"/>
            <w:bookmarkEnd w:id="3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-11,821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-12,455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-12,184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-11,964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-9,865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Expenses relating to other businesses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-1,960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-1,781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-1,296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-913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-751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Project study and business development expenses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-454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-486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-323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-123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-216</w:t>
            </w:r>
          </w:p>
        </w:tc>
      </w:tr>
      <w:tr w:rsidR="00DD51FE" w:rsidRPr="00DD51FE" w:rsidTr="00DD51FE">
        <w:trPr>
          <w:trHeight w:val="51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Operating expenses before depreciation, amortisation and variable annual payment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-24,733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-24,308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-22,656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-21,299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-18,601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D51FE" w:rsidRPr="00DD51FE" w:rsidTr="00DD51FE">
        <w:trPr>
          <w:trHeight w:val="51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Operating profit before Hong Kong property development, depreciation, amortisation and variable annual payment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Arising from recurrent businesses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15,478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14,399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13,083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12,124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10,917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Arising from Mainland of China property development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15,423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14,399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13,083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12,124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10,917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Profit on Hong Kong property development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4,216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1,396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3,238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4,934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4,034</w:t>
            </w:r>
          </w:p>
        </w:tc>
      </w:tr>
      <w:tr w:rsidR="00DD51FE" w:rsidRPr="00DD51FE" w:rsidTr="00DD51FE">
        <w:trPr>
          <w:trHeight w:val="51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Operating profit before depreciation, amortisation and variable annual payment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19,639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15,795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16,321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17,058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14,951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Depreciation and amortisation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-3,485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-3,372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-3,208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-3,206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-3,120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Variable annual payment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-1,472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-1,247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-883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-647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-45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Operating profit before interest and finance charges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14,682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11,176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12,230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13,205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11,786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Interest and finance charges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-545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-732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-879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-921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-1,237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Investment property revaluation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4,035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4,425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3,757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5,088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4,074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Share of profit or loss of associates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297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139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Profit before taxation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18,293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15,027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15,564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17,669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14,762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Income tax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-2,496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-1,819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-1,893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-1,981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-2,590</w:t>
            </w:r>
          </w:p>
        </w:tc>
      </w:tr>
      <w:tr w:rsidR="00DD51FE" w:rsidRPr="00DD51FE" w:rsidTr="00DD51FE">
        <w:trPr>
          <w:trHeight w:val="36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Profit for the year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15,797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13,208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13,671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15,688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12,172</w:t>
            </w:r>
          </w:p>
        </w:tc>
      </w:tr>
      <w:tr w:rsidR="00DD51FE" w:rsidRPr="00DD51FE" w:rsidTr="00DD51FE">
        <w:trPr>
          <w:trHeight w:val="36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Attributable to: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Equity shareholders of the Company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15,606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13,025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13,532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15,556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12,059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Non-controlling interests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191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113</w:t>
            </w:r>
          </w:p>
        </w:tc>
      </w:tr>
      <w:tr w:rsidR="00DD51FE" w:rsidRPr="00DD51FE" w:rsidTr="00DD51FE">
        <w:trPr>
          <w:trHeight w:val="36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Profit for the year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15,797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13,208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13,671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15,688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12,172</w:t>
            </w:r>
          </w:p>
        </w:tc>
      </w:tr>
      <w:tr w:rsidR="00DD51FE" w:rsidRPr="00DD51FE" w:rsidTr="00DD51FE">
        <w:trPr>
          <w:trHeight w:val="36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D51FE" w:rsidRPr="00DD51FE" w:rsidTr="00DD51FE">
        <w:trPr>
          <w:trHeight w:val="51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lastRenderedPageBreak/>
              <w:t>Profit for the year attributable to equity shareholders of the Company: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D51FE" w:rsidRPr="00DD51FE" w:rsidTr="00DD51FE">
        <w:trPr>
          <w:trHeight w:val="51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Arising from underlying businesses before property development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8,024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7,437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7,071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6,243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5,397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Arising from property development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3,547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1,163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2,704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4,225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3,260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Arising from underlying businesses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11,571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8,600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9,775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10,468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8,657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Arising from investment property revaluation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4,035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4,425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3,757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5,088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3,402</w:t>
            </w:r>
          </w:p>
        </w:tc>
      </w:tr>
      <w:tr w:rsidR="00DD51FE" w:rsidRPr="00DD51FE" w:rsidTr="00DD51FE">
        <w:trPr>
          <w:trHeight w:val="345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15,606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13,025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13,532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DD51FE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15,556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51FE" w:rsidRPr="00DD51FE" w:rsidRDefault="00DD51FE" w:rsidP="00F14FD3">
            <w:pPr>
              <w:keepNext/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D51FE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12,059</w:t>
            </w:r>
          </w:p>
        </w:tc>
      </w:tr>
    </w:tbl>
    <w:p w:rsidR="00DD51FE" w:rsidRPr="00F14FD3" w:rsidRDefault="00F14FD3" w:rsidP="00F14FD3">
      <w:pPr>
        <w:pStyle w:val="aa"/>
        <w:jc w:val="center"/>
        <w:rPr>
          <w:rFonts w:ascii="Arial" w:hAnsi="Arial" w:cs="Arial"/>
          <w:i/>
          <w:sz w:val="22"/>
          <w:szCs w:val="22"/>
        </w:rPr>
      </w:pPr>
      <w:bookmarkStart w:id="4" w:name="_Ref448701978"/>
      <w:r w:rsidRPr="00F14FD3">
        <w:rPr>
          <w:rFonts w:ascii="Arial" w:hAnsi="Arial" w:cs="Arial"/>
          <w:i/>
          <w:sz w:val="22"/>
          <w:szCs w:val="22"/>
        </w:rPr>
        <w:t xml:space="preserve">Table </w:t>
      </w:r>
      <w:r w:rsidRPr="00F14FD3">
        <w:rPr>
          <w:rFonts w:ascii="Arial" w:hAnsi="Arial" w:cs="Arial"/>
          <w:i/>
          <w:sz w:val="22"/>
          <w:szCs w:val="22"/>
        </w:rPr>
        <w:fldChar w:fldCharType="begin"/>
      </w:r>
      <w:r w:rsidRPr="00F14FD3">
        <w:rPr>
          <w:rFonts w:ascii="Arial" w:hAnsi="Arial" w:cs="Arial"/>
          <w:i/>
          <w:sz w:val="22"/>
          <w:szCs w:val="22"/>
        </w:rPr>
        <w:instrText xml:space="preserve"> SEQ Table \* ARABIC </w:instrText>
      </w:r>
      <w:r w:rsidRPr="00F14FD3">
        <w:rPr>
          <w:rFonts w:ascii="Arial" w:hAnsi="Arial" w:cs="Arial"/>
          <w:i/>
          <w:sz w:val="22"/>
          <w:szCs w:val="22"/>
        </w:rPr>
        <w:fldChar w:fldCharType="separate"/>
      </w:r>
      <w:r w:rsidR="00E918EE">
        <w:rPr>
          <w:rFonts w:ascii="Arial" w:hAnsi="Arial" w:cs="Arial"/>
          <w:i/>
          <w:noProof/>
          <w:sz w:val="22"/>
          <w:szCs w:val="22"/>
        </w:rPr>
        <w:t>4</w:t>
      </w:r>
      <w:r w:rsidRPr="00F14FD3">
        <w:rPr>
          <w:rFonts w:ascii="Arial" w:hAnsi="Arial" w:cs="Arial"/>
          <w:i/>
          <w:sz w:val="22"/>
          <w:szCs w:val="22"/>
        </w:rPr>
        <w:fldChar w:fldCharType="end"/>
      </w:r>
      <w:bookmarkEnd w:id="4"/>
      <w:r w:rsidRPr="00F14FD3">
        <w:rPr>
          <w:rFonts w:ascii="Arial" w:hAnsi="Arial" w:cs="Arial"/>
          <w:i/>
          <w:sz w:val="22"/>
          <w:szCs w:val="22"/>
          <w:lang w:eastAsia="zh-HK"/>
        </w:rPr>
        <w:t>: Consolidated profit and loss account for the last 5 years</w:t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t xml:space="preserve"> [</w:t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begin"/>
      </w:r>
      <w:r w:rsidR="00D31160">
        <w:rPr>
          <w:rFonts w:ascii="Arial" w:hAnsi="Arial" w:cs="Arial"/>
          <w:i/>
          <w:sz w:val="22"/>
          <w:szCs w:val="22"/>
          <w:lang w:eastAsia="zh-HK"/>
        </w:rPr>
        <w:instrText xml:space="preserve"> </w:instrText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instrText>REF _Ref448702403 \r \h</w:instrText>
      </w:r>
      <w:r w:rsidR="00D31160">
        <w:rPr>
          <w:rFonts w:ascii="Arial" w:hAnsi="Arial" w:cs="Arial"/>
          <w:i/>
          <w:sz w:val="22"/>
          <w:szCs w:val="22"/>
          <w:lang w:eastAsia="zh-HK"/>
        </w:rPr>
        <w:instrText xml:space="preserve"> </w:instrText>
      </w:r>
      <w:r w:rsidR="00D31160">
        <w:rPr>
          <w:rFonts w:ascii="Arial" w:hAnsi="Arial" w:cs="Arial"/>
          <w:i/>
          <w:sz w:val="22"/>
          <w:szCs w:val="22"/>
          <w:lang w:eastAsia="zh-HK"/>
        </w:rPr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separate"/>
      </w:r>
      <w:r w:rsidR="00D31160">
        <w:rPr>
          <w:rFonts w:ascii="Arial" w:hAnsi="Arial" w:cs="Arial"/>
          <w:i/>
          <w:sz w:val="22"/>
          <w:szCs w:val="22"/>
          <w:lang w:eastAsia="zh-HK"/>
        </w:rPr>
        <w:t>1</w:t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end"/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t>]</w:t>
      </w:r>
    </w:p>
    <w:p w:rsidR="00BE3A40" w:rsidRDefault="00BE3A40">
      <w:pPr>
        <w:rPr>
          <w:rFonts w:ascii="Arial" w:hAnsi="Arial" w:cs="Arial"/>
          <w:sz w:val="22"/>
          <w:lang w:eastAsia="zh-HK"/>
        </w:rPr>
      </w:pPr>
    </w:p>
    <w:p w:rsidR="00F14FD3" w:rsidRDefault="00DD51FE" w:rsidP="00F14FD3">
      <w:pPr>
        <w:keepNext/>
        <w:jc w:val="center"/>
      </w:pPr>
      <w:r>
        <w:rPr>
          <w:rFonts w:ascii="Arial" w:hAnsi="Arial" w:cs="Arial" w:hint="eastAsia"/>
          <w:noProof/>
          <w:sz w:val="22"/>
        </w:rPr>
        <w:drawing>
          <wp:inline distT="0" distB="0" distL="0" distR="0">
            <wp:extent cx="4538898" cy="2716306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2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898" cy="271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40" w:rsidRPr="00F14FD3" w:rsidRDefault="00F14FD3" w:rsidP="00F14FD3">
      <w:pPr>
        <w:pStyle w:val="aa"/>
        <w:jc w:val="center"/>
        <w:rPr>
          <w:rFonts w:ascii="Arial" w:hAnsi="Arial" w:cs="Arial"/>
          <w:i/>
          <w:sz w:val="22"/>
          <w:szCs w:val="22"/>
          <w:lang w:eastAsia="zh-HK"/>
        </w:rPr>
      </w:pPr>
      <w:bookmarkStart w:id="5" w:name="_Ref448702023"/>
      <w:r w:rsidRPr="00F14FD3">
        <w:rPr>
          <w:rFonts w:ascii="Arial" w:hAnsi="Arial" w:cs="Arial"/>
          <w:i/>
          <w:sz w:val="22"/>
          <w:szCs w:val="22"/>
        </w:rPr>
        <w:t xml:space="preserve">Figure </w:t>
      </w:r>
      <w:r w:rsidRPr="00F14FD3">
        <w:rPr>
          <w:rFonts w:ascii="Arial" w:hAnsi="Arial" w:cs="Arial"/>
          <w:i/>
          <w:sz w:val="22"/>
          <w:szCs w:val="22"/>
        </w:rPr>
        <w:fldChar w:fldCharType="begin"/>
      </w:r>
      <w:r w:rsidRPr="00F14FD3">
        <w:rPr>
          <w:rFonts w:ascii="Arial" w:hAnsi="Arial" w:cs="Arial"/>
          <w:i/>
          <w:sz w:val="22"/>
          <w:szCs w:val="22"/>
        </w:rPr>
        <w:instrText xml:space="preserve"> SEQ Figure \* ARABIC </w:instrText>
      </w:r>
      <w:r w:rsidRPr="00F14FD3">
        <w:rPr>
          <w:rFonts w:ascii="Arial" w:hAnsi="Arial" w:cs="Arial"/>
          <w:i/>
          <w:sz w:val="22"/>
          <w:szCs w:val="22"/>
        </w:rPr>
        <w:fldChar w:fldCharType="separate"/>
      </w:r>
      <w:r>
        <w:rPr>
          <w:rFonts w:ascii="Arial" w:hAnsi="Arial" w:cs="Arial"/>
          <w:i/>
          <w:noProof/>
          <w:sz w:val="22"/>
          <w:szCs w:val="22"/>
        </w:rPr>
        <w:t>1</w:t>
      </w:r>
      <w:r w:rsidRPr="00F14FD3">
        <w:rPr>
          <w:rFonts w:ascii="Arial" w:hAnsi="Arial" w:cs="Arial"/>
          <w:i/>
          <w:sz w:val="22"/>
          <w:szCs w:val="22"/>
        </w:rPr>
        <w:fldChar w:fldCharType="end"/>
      </w:r>
      <w:bookmarkEnd w:id="5"/>
      <w:r w:rsidRPr="00F14FD3">
        <w:rPr>
          <w:rFonts w:ascii="Arial" w:hAnsi="Arial" w:cs="Arial"/>
          <w:i/>
          <w:sz w:val="22"/>
          <w:szCs w:val="22"/>
          <w:lang w:eastAsia="zh-HK"/>
        </w:rPr>
        <w:t>: Operating profit contributions with expenses in project study and business development excluded</w:t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t xml:space="preserve"> [</w:t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begin"/>
      </w:r>
      <w:r w:rsidR="00D31160">
        <w:rPr>
          <w:rFonts w:ascii="Arial" w:hAnsi="Arial" w:cs="Arial"/>
          <w:i/>
          <w:sz w:val="22"/>
          <w:szCs w:val="22"/>
          <w:lang w:eastAsia="zh-HK"/>
        </w:rPr>
        <w:instrText xml:space="preserve"> </w:instrText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instrText>REF _Ref448702403 \r \h</w:instrText>
      </w:r>
      <w:r w:rsidR="00D31160">
        <w:rPr>
          <w:rFonts w:ascii="Arial" w:hAnsi="Arial" w:cs="Arial"/>
          <w:i/>
          <w:sz w:val="22"/>
          <w:szCs w:val="22"/>
          <w:lang w:eastAsia="zh-HK"/>
        </w:rPr>
        <w:instrText xml:space="preserve"> </w:instrText>
      </w:r>
      <w:r w:rsidR="00D31160">
        <w:rPr>
          <w:rFonts w:ascii="Arial" w:hAnsi="Arial" w:cs="Arial"/>
          <w:i/>
          <w:sz w:val="22"/>
          <w:szCs w:val="22"/>
          <w:lang w:eastAsia="zh-HK"/>
        </w:rPr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separate"/>
      </w:r>
      <w:r w:rsidR="00D31160">
        <w:rPr>
          <w:rFonts w:ascii="Arial" w:hAnsi="Arial" w:cs="Arial"/>
          <w:i/>
          <w:sz w:val="22"/>
          <w:szCs w:val="22"/>
          <w:lang w:eastAsia="zh-HK"/>
        </w:rPr>
        <w:t>1</w:t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end"/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t>]</w:t>
      </w:r>
    </w:p>
    <w:p w:rsidR="00DD51FE" w:rsidRDefault="00DD51FE">
      <w:pPr>
        <w:rPr>
          <w:rFonts w:ascii="Arial" w:hAnsi="Arial" w:cs="Arial"/>
          <w:sz w:val="22"/>
          <w:lang w:eastAsia="zh-HK"/>
        </w:rPr>
      </w:pPr>
    </w:p>
    <w:p w:rsidR="00F14FD3" w:rsidRDefault="00DD51FE" w:rsidP="00F14FD3">
      <w:pPr>
        <w:keepNext/>
        <w:jc w:val="center"/>
      </w:pPr>
      <w:r>
        <w:rPr>
          <w:rFonts w:ascii="Arial" w:hAnsi="Arial" w:cs="Arial" w:hint="eastAsia"/>
          <w:noProof/>
          <w:sz w:val="22"/>
        </w:rPr>
        <w:lastRenderedPageBreak/>
        <w:drawing>
          <wp:inline distT="0" distB="0" distL="0" distR="0">
            <wp:extent cx="4604198" cy="2868706"/>
            <wp:effectExtent l="19050" t="0" r="5902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0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98" cy="286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1FE" w:rsidRPr="00F14FD3" w:rsidRDefault="00F14FD3" w:rsidP="00F14FD3">
      <w:pPr>
        <w:pStyle w:val="aa"/>
        <w:jc w:val="center"/>
        <w:rPr>
          <w:rFonts w:ascii="Arial" w:hAnsi="Arial" w:cs="Arial"/>
          <w:i/>
          <w:sz w:val="22"/>
          <w:szCs w:val="22"/>
          <w:lang w:eastAsia="zh-HK"/>
        </w:rPr>
      </w:pPr>
      <w:bookmarkStart w:id="6" w:name="_Ref448702027"/>
      <w:r w:rsidRPr="00F14FD3">
        <w:rPr>
          <w:rFonts w:ascii="Arial" w:hAnsi="Arial" w:cs="Arial"/>
          <w:i/>
          <w:sz w:val="22"/>
          <w:szCs w:val="22"/>
        </w:rPr>
        <w:t xml:space="preserve">Figure </w:t>
      </w:r>
      <w:r w:rsidRPr="00F14FD3">
        <w:rPr>
          <w:rFonts w:ascii="Arial" w:hAnsi="Arial" w:cs="Arial"/>
          <w:i/>
          <w:sz w:val="22"/>
          <w:szCs w:val="22"/>
        </w:rPr>
        <w:fldChar w:fldCharType="begin"/>
      </w:r>
      <w:r w:rsidRPr="00F14FD3">
        <w:rPr>
          <w:rFonts w:ascii="Arial" w:hAnsi="Arial" w:cs="Arial"/>
          <w:i/>
          <w:sz w:val="22"/>
          <w:szCs w:val="22"/>
        </w:rPr>
        <w:instrText xml:space="preserve"> SEQ Figure \* ARABIC </w:instrText>
      </w:r>
      <w:r w:rsidRPr="00F14FD3">
        <w:rPr>
          <w:rFonts w:ascii="Arial" w:hAnsi="Arial" w:cs="Arial"/>
          <w:i/>
          <w:sz w:val="22"/>
          <w:szCs w:val="22"/>
        </w:rPr>
        <w:fldChar w:fldCharType="separate"/>
      </w:r>
      <w:r w:rsidRPr="00F14FD3">
        <w:rPr>
          <w:rFonts w:ascii="Arial" w:hAnsi="Arial" w:cs="Arial"/>
          <w:i/>
          <w:noProof/>
          <w:sz w:val="22"/>
          <w:szCs w:val="22"/>
        </w:rPr>
        <w:t>2</w:t>
      </w:r>
      <w:r w:rsidRPr="00F14FD3">
        <w:rPr>
          <w:rFonts w:ascii="Arial" w:hAnsi="Arial" w:cs="Arial"/>
          <w:i/>
          <w:sz w:val="22"/>
          <w:szCs w:val="22"/>
        </w:rPr>
        <w:fldChar w:fldCharType="end"/>
      </w:r>
      <w:bookmarkEnd w:id="6"/>
      <w:r w:rsidRPr="00F14FD3">
        <w:rPr>
          <w:rFonts w:ascii="Arial" w:hAnsi="Arial" w:cs="Arial"/>
          <w:i/>
          <w:sz w:val="22"/>
          <w:szCs w:val="22"/>
          <w:lang w:eastAsia="zh-HK"/>
        </w:rPr>
        <w:t>: Net results from underlying businesses</w:t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t xml:space="preserve"> [</w:t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begin"/>
      </w:r>
      <w:r w:rsidR="00D31160">
        <w:rPr>
          <w:rFonts w:ascii="Arial" w:hAnsi="Arial" w:cs="Arial"/>
          <w:i/>
          <w:sz w:val="22"/>
          <w:szCs w:val="22"/>
          <w:lang w:eastAsia="zh-HK"/>
        </w:rPr>
        <w:instrText xml:space="preserve"> </w:instrText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instrText>REF _Ref448702403 \r \h</w:instrText>
      </w:r>
      <w:r w:rsidR="00D31160">
        <w:rPr>
          <w:rFonts w:ascii="Arial" w:hAnsi="Arial" w:cs="Arial"/>
          <w:i/>
          <w:sz w:val="22"/>
          <w:szCs w:val="22"/>
          <w:lang w:eastAsia="zh-HK"/>
        </w:rPr>
        <w:instrText xml:space="preserve"> </w:instrText>
      </w:r>
      <w:r w:rsidR="00D31160">
        <w:rPr>
          <w:rFonts w:ascii="Arial" w:hAnsi="Arial" w:cs="Arial"/>
          <w:i/>
          <w:sz w:val="22"/>
          <w:szCs w:val="22"/>
          <w:lang w:eastAsia="zh-HK"/>
        </w:rPr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separate"/>
      </w:r>
      <w:r w:rsidR="00D31160">
        <w:rPr>
          <w:rFonts w:ascii="Arial" w:hAnsi="Arial" w:cs="Arial"/>
          <w:i/>
          <w:sz w:val="22"/>
          <w:szCs w:val="22"/>
          <w:lang w:eastAsia="zh-HK"/>
        </w:rPr>
        <w:t>1</w:t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end"/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t>]</w:t>
      </w:r>
    </w:p>
    <w:p w:rsidR="00DD51FE" w:rsidRPr="00F14FD3" w:rsidRDefault="00DD51FE">
      <w:pPr>
        <w:rPr>
          <w:rFonts w:ascii="Arial" w:hAnsi="Arial" w:cs="Arial"/>
          <w:sz w:val="22"/>
          <w:lang w:eastAsia="zh-HK"/>
        </w:rPr>
      </w:pPr>
    </w:p>
    <w:p w:rsidR="00632E1C" w:rsidRDefault="00F14FD3">
      <w:pPr>
        <w:rPr>
          <w:rFonts w:ascii="Arial" w:hAnsi="Arial" w:cs="Arial"/>
          <w:sz w:val="22"/>
          <w:lang w:eastAsia="zh-HK"/>
        </w:rPr>
      </w:pPr>
      <w:r>
        <w:rPr>
          <w:rFonts w:ascii="Arial" w:hAnsi="Arial" w:cs="Arial"/>
          <w:sz w:val="22"/>
          <w:lang w:eastAsia="zh-HK"/>
        </w:rPr>
        <w:fldChar w:fldCharType="begin"/>
      </w:r>
      <w:r>
        <w:rPr>
          <w:rFonts w:ascii="Arial" w:hAnsi="Arial" w:cs="Arial"/>
          <w:sz w:val="22"/>
          <w:lang w:eastAsia="zh-HK"/>
        </w:rPr>
        <w:instrText xml:space="preserve"> </w:instrText>
      </w:r>
      <w:r>
        <w:rPr>
          <w:rFonts w:ascii="Arial" w:hAnsi="Arial" w:cs="Arial" w:hint="eastAsia"/>
          <w:sz w:val="22"/>
          <w:lang w:eastAsia="zh-HK"/>
        </w:rPr>
        <w:instrText>REF _Ref448701978 \h</w:instrText>
      </w:r>
      <w:r>
        <w:rPr>
          <w:rFonts w:ascii="Arial" w:hAnsi="Arial" w:cs="Arial"/>
          <w:sz w:val="22"/>
          <w:lang w:eastAsia="zh-HK"/>
        </w:rPr>
        <w:instrText xml:space="preserve"> </w:instrText>
      </w:r>
      <w:r>
        <w:rPr>
          <w:rFonts w:ascii="Arial" w:hAnsi="Arial" w:cs="Arial"/>
          <w:sz w:val="22"/>
          <w:lang w:eastAsia="zh-HK"/>
        </w:rPr>
      </w:r>
      <w:r>
        <w:rPr>
          <w:rFonts w:ascii="Arial" w:hAnsi="Arial" w:cs="Arial"/>
          <w:sz w:val="22"/>
          <w:lang w:eastAsia="zh-HK"/>
        </w:rPr>
        <w:fldChar w:fldCharType="separate"/>
      </w:r>
      <w:r w:rsidRPr="00F14FD3">
        <w:rPr>
          <w:rFonts w:ascii="Arial" w:hAnsi="Arial" w:cs="Arial"/>
          <w:i/>
          <w:sz w:val="22"/>
        </w:rPr>
        <w:t xml:space="preserve">Table </w:t>
      </w:r>
      <w:r w:rsidRPr="00F14FD3">
        <w:rPr>
          <w:rFonts w:ascii="Arial" w:hAnsi="Arial" w:cs="Arial"/>
          <w:i/>
          <w:noProof/>
          <w:sz w:val="22"/>
        </w:rPr>
        <w:t>4</w:t>
      </w:r>
      <w:r>
        <w:rPr>
          <w:rFonts w:ascii="Arial" w:hAnsi="Arial" w:cs="Arial"/>
          <w:sz w:val="22"/>
          <w:lang w:eastAsia="zh-HK"/>
        </w:rPr>
        <w:fldChar w:fldCharType="end"/>
      </w:r>
      <w:r w:rsidR="00DF78A0">
        <w:rPr>
          <w:rFonts w:ascii="Arial" w:hAnsi="Arial" w:cs="Arial" w:hint="eastAsia"/>
          <w:sz w:val="22"/>
          <w:lang w:eastAsia="zh-HK"/>
        </w:rPr>
        <w:t xml:space="preserve"> shows the breakdown revenue and expenses of each major business operations of MTRC. </w:t>
      </w:r>
      <w:r w:rsidR="002D1384">
        <w:rPr>
          <w:rFonts w:ascii="Arial" w:hAnsi="Arial" w:cs="Arial" w:hint="eastAsia"/>
          <w:sz w:val="22"/>
          <w:lang w:eastAsia="zh-HK"/>
        </w:rPr>
        <w:t xml:space="preserve"> </w:t>
      </w:r>
      <w:r w:rsidR="00333DB1">
        <w:rPr>
          <w:rFonts w:ascii="Arial" w:hAnsi="Arial" w:cs="Arial" w:hint="eastAsia"/>
          <w:sz w:val="22"/>
          <w:lang w:eastAsia="zh-HK"/>
        </w:rPr>
        <w:t>Revenue rose steadily over the last 5 years from HK$29.5 billi</w:t>
      </w:r>
      <w:r w:rsidR="00397C87">
        <w:rPr>
          <w:rFonts w:ascii="Arial" w:hAnsi="Arial" w:cs="Arial" w:hint="eastAsia"/>
          <w:sz w:val="22"/>
          <w:lang w:eastAsia="zh-HK"/>
        </w:rPr>
        <w:t>on to HK$40.1 billion</w:t>
      </w:r>
      <w:r w:rsidR="002D1384">
        <w:rPr>
          <w:rFonts w:ascii="Arial" w:hAnsi="Arial" w:cs="Arial" w:hint="eastAsia"/>
          <w:sz w:val="22"/>
          <w:lang w:eastAsia="zh-HK"/>
        </w:rPr>
        <w:t xml:space="preserve">. </w:t>
      </w:r>
      <w:r w:rsidR="00397C87">
        <w:rPr>
          <w:rFonts w:ascii="Arial" w:hAnsi="Arial" w:cs="Arial" w:hint="eastAsia"/>
          <w:sz w:val="22"/>
          <w:lang w:eastAsia="zh-HK"/>
        </w:rPr>
        <w:t xml:space="preserve">With the rising expenses, profit </w:t>
      </w:r>
      <w:r w:rsidR="00B81F9C">
        <w:rPr>
          <w:rFonts w:ascii="Arial" w:hAnsi="Arial" w:cs="Arial" w:hint="eastAsia"/>
          <w:sz w:val="22"/>
          <w:lang w:eastAsia="zh-HK"/>
        </w:rPr>
        <w:t xml:space="preserve">remained </w:t>
      </w:r>
      <w:r w:rsidR="00F659FE">
        <w:rPr>
          <w:rFonts w:ascii="Arial" w:hAnsi="Arial" w:cs="Arial"/>
          <w:sz w:val="22"/>
          <w:lang w:eastAsia="zh-HK"/>
        </w:rPr>
        <w:t>at</w:t>
      </w:r>
      <w:r w:rsidR="00B81F9C">
        <w:rPr>
          <w:rFonts w:ascii="Arial" w:hAnsi="Arial" w:cs="Arial" w:hint="eastAsia"/>
          <w:sz w:val="22"/>
          <w:lang w:eastAsia="zh-HK"/>
        </w:rPr>
        <w:t xml:space="preserve"> similar level till 2014 where a</w:t>
      </w:r>
      <w:r w:rsidR="00080553">
        <w:rPr>
          <w:rFonts w:ascii="Arial" w:hAnsi="Arial" w:cs="Arial" w:hint="eastAsia"/>
          <w:sz w:val="22"/>
          <w:lang w:eastAsia="zh-HK"/>
        </w:rPr>
        <w:t xml:space="preserve">n </w:t>
      </w:r>
      <w:r w:rsidR="00B81F9C">
        <w:rPr>
          <w:rFonts w:ascii="Arial" w:hAnsi="Arial" w:cs="Arial" w:hint="eastAsia"/>
          <w:sz w:val="22"/>
          <w:lang w:eastAsia="zh-HK"/>
        </w:rPr>
        <w:t xml:space="preserve">improvement was observed </w:t>
      </w:r>
      <w:r w:rsidR="00F659FE">
        <w:rPr>
          <w:rFonts w:ascii="Arial" w:hAnsi="Arial" w:cs="Arial"/>
          <w:sz w:val="22"/>
          <w:lang w:eastAsia="zh-HK"/>
        </w:rPr>
        <w:t>(see</w:t>
      </w:r>
      <w:r w:rsidR="00632E1C">
        <w:rPr>
          <w:rFonts w:ascii="Arial" w:hAnsi="Arial" w:cs="Arial" w:hint="eastAsia"/>
          <w:sz w:val="22"/>
          <w:lang w:eastAsia="zh-HK"/>
        </w:rPr>
        <w:t xml:space="preserve"> </w:t>
      </w:r>
      <w:r w:rsidR="0025679D">
        <w:rPr>
          <w:rFonts w:ascii="Arial" w:hAnsi="Arial" w:cs="Arial"/>
          <w:sz w:val="22"/>
          <w:lang w:eastAsia="zh-HK"/>
        </w:rPr>
        <w:fldChar w:fldCharType="begin"/>
      </w:r>
      <w:r w:rsidR="0025679D">
        <w:rPr>
          <w:rFonts w:ascii="Arial" w:hAnsi="Arial" w:cs="Arial"/>
          <w:sz w:val="22"/>
          <w:lang w:eastAsia="zh-HK"/>
        </w:rPr>
        <w:instrText xml:space="preserve"> REF _Ref448702027 \h </w:instrText>
      </w:r>
      <w:r w:rsidR="0025679D">
        <w:rPr>
          <w:rFonts w:ascii="Arial" w:hAnsi="Arial" w:cs="Arial"/>
          <w:sz w:val="22"/>
          <w:lang w:eastAsia="zh-HK"/>
        </w:rPr>
      </w:r>
      <w:r w:rsidR="0025679D">
        <w:rPr>
          <w:rFonts w:ascii="Arial" w:hAnsi="Arial" w:cs="Arial"/>
          <w:sz w:val="22"/>
          <w:lang w:eastAsia="zh-HK"/>
        </w:rPr>
        <w:fldChar w:fldCharType="separate"/>
      </w:r>
      <w:r w:rsidR="0025679D" w:rsidRPr="00F14FD3">
        <w:rPr>
          <w:rFonts w:ascii="Arial" w:hAnsi="Arial" w:cs="Arial"/>
          <w:i/>
          <w:sz w:val="22"/>
        </w:rPr>
        <w:t xml:space="preserve">Figure </w:t>
      </w:r>
      <w:r w:rsidR="0025679D" w:rsidRPr="00F14FD3">
        <w:rPr>
          <w:rFonts w:ascii="Arial" w:hAnsi="Arial" w:cs="Arial"/>
          <w:i/>
          <w:noProof/>
          <w:sz w:val="22"/>
        </w:rPr>
        <w:t>2</w:t>
      </w:r>
      <w:r w:rsidR="0025679D">
        <w:rPr>
          <w:rFonts w:ascii="Arial" w:hAnsi="Arial" w:cs="Arial"/>
          <w:sz w:val="22"/>
          <w:lang w:eastAsia="zh-HK"/>
        </w:rPr>
        <w:fldChar w:fldCharType="end"/>
      </w:r>
      <w:r w:rsidR="00F659FE">
        <w:rPr>
          <w:rFonts w:ascii="Arial" w:hAnsi="Arial" w:cs="Arial"/>
          <w:sz w:val="22"/>
          <w:lang w:eastAsia="zh-HK"/>
        </w:rPr>
        <w:t>)</w:t>
      </w:r>
      <w:r w:rsidR="00B81F9C">
        <w:rPr>
          <w:rFonts w:ascii="Arial" w:hAnsi="Arial" w:cs="Arial" w:hint="eastAsia"/>
          <w:sz w:val="22"/>
          <w:lang w:eastAsia="zh-HK"/>
        </w:rPr>
        <w:t xml:space="preserve">. </w:t>
      </w:r>
      <w:r w:rsidR="002D1384">
        <w:rPr>
          <w:rFonts w:ascii="Arial" w:hAnsi="Arial" w:cs="Arial" w:hint="eastAsia"/>
          <w:sz w:val="22"/>
          <w:lang w:eastAsia="zh-HK"/>
        </w:rPr>
        <w:t>As reflected in</w:t>
      </w:r>
      <w:r w:rsidR="0025679D">
        <w:rPr>
          <w:rFonts w:ascii="Arial" w:hAnsi="Arial" w:cs="Arial" w:hint="eastAsia"/>
          <w:sz w:val="22"/>
          <w:lang w:eastAsia="zh-HK"/>
        </w:rPr>
        <w:t xml:space="preserve"> </w:t>
      </w:r>
      <w:r w:rsidR="0025679D">
        <w:rPr>
          <w:rFonts w:ascii="Arial" w:hAnsi="Arial" w:cs="Arial"/>
          <w:sz w:val="22"/>
          <w:lang w:eastAsia="zh-HK"/>
        </w:rPr>
        <w:fldChar w:fldCharType="begin"/>
      </w:r>
      <w:r w:rsidR="0025679D">
        <w:rPr>
          <w:rFonts w:ascii="Arial" w:hAnsi="Arial" w:cs="Arial"/>
          <w:sz w:val="22"/>
          <w:lang w:eastAsia="zh-HK"/>
        </w:rPr>
        <w:instrText xml:space="preserve"> </w:instrText>
      </w:r>
      <w:r w:rsidR="0025679D">
        <w:rPr>
          <w:rFonts w:ascii="Arial" w:hAnsi="Arial" w:cs="Arial" w:hint="eastAsia"/>
          <w:sz w:val="22"/>
          <w:lang w:eastAsia="zh-HK"/>
        </w:rPr>
        <w:instrText>REF _Ref448702023 \h</w:instrText>
      </w:r>
      <w:r w:rsidR="0025679D">
        <w:rPr>
          <w:rFonts w:ascii="Arial" w:hAnsi="Arial" w:cs="Arial"/>
          <w:sz w:val="22"/>
          <w:lang w:eastAsia="zh-HK"/>
        </w:rPr>
        <w:instrText xml:space="preserve"> </w:instrText>
      </w:r>
      <w:r w:rsidR="0025679D">
        <w:rPr>
          <w:rFonts w:ascii="Arial" w:hAnsi="Arial" w:cs="Arial"/>
          <w:sz w:val="22"/>
          <w:lang w:eastAsia="zh-HK"/>
        </w:rPr>
      </w:r>
      <w:r w:rsidR="0025679D">
        <w:rPr>
          <w:rFonts w:ascii="Arial" w:hAnsi="Arial" w:cs="Arial"/>
          <w:sz w:val="22"/>
          <w:lang w:eastAsia="zh-HK"/>
        </w:rPr>
        <w:fldChar w:fldCharType="separate"/>
      </w:r>
      <w:r w:rsidR="0025679D" w:rsidRPr="00F14FD3">
        <w:rPr>
          <w:rFonts w:ascii="Arial" w:hAnsi="Arial" w:cs="Arial"/>
          <w:i/>
          <w:sz w:val="22"/>
        </w:rPr>
        <w:t xml:space="preserve">Figure </w:t>
      </w:r>
      <w:r w:rsidR="0025679D">
        <w:rPr>
          <w:rFonts w:ascii="Arial" w:hAnsi="Arial" w:cs="Arial"/>
          <w:i/>
          <w:noProof/>
          <w:sz w:val="22"/>
        </w:rPr>
        <w:t>1</w:t>
      </w:r>
      <w:r w:rsidR="0025679D">
        <w:rPr>
          <w:rFonts w:ascii="Arial" w:hAnsi="Arial" w:cs="Arial"/>
          <w:sz w:val="22"/>
          <w:lang w:eastAsia="zh-HK"/>
        </w:rPr>
        <w:fldChar w:fldCharType="end"/>
      </w:r>
      <w:r w:rsidR="002D1384">
        <w:rPr>
          <w:rFonts w:ascii="Arial" w:hAnsi="Arial" w:cs="Arial" w:hint="eastAsia"/>
          <w:sz w:val="22"/>
          <w:lang w:eastAsia="zh-HK"/>
        </w:rPr>
        <w:t xml:space="preserve">, </w:t>
      </w:r>
      <w:r w:rsidR="007F0D78">
        <w:rPr>
          <w:rFonts w:ascii="Arial" w:hAnsi="Arial" w:cs="Arial" w:hint="eastAsia"/>
          <w:sz w:val="22"/>
          <w:lang w:eastAsia="zh-HK"/>
        </w:rPr>
        <w:t>m</w:t>
      </w:r>
      <w:r w:rsidR="00632E1C">
        <w:rPr>
          <w:rFonts w:ascii="Arial" w:hAnsi="Arial" w:cs="Arial" w:hint="eastAsia"/>
          <w:sz w:val="22"/>
          <w:lang w:eastAsia="zh-HK"/>
        </w:rPr>
        <w:t xml:space="preserve">ajor contributions </w:t>
      </w:r>
      <w:r w:rsidR="007A2620">
        <w:rPr>
          <w:rFonts w:ascii="Arial" w:hAnsi="Arial" w:cs="Arial"/>
          <w:sz w:val="22"/>
          <w:lang w:eastAsia="zh-HK"/>
        </w:rPr>
        <w:t xml:space="preserve">of profit </w:t>
      </w:r>
      <w:r w:rsidR="00A30072">
        <w:rPr>
          <w:rFonts w:ascii="Arial" w:hAnsi="Arial" w:cs="Arial" w:hint="eastAsia"/>
          <w:sz w:val="22"/>
          <w:lang w:eastAsia="zh-HK"/>
        </w:rPr>
        <w:t xml:space="preserve">in dollar </w:t>
      </w:r>
      <w:r w:rsidR="00632E1C">
        <w:rPr>
          <w:rFonts w:ascii="Arial" w:hAnsi="Arial" w:cs="Arial" w:hint="eastAsia"/>
          <w:sz w:val="22"/>
          <w:lang w:eastAsia="zh-HK"/>
        </w:rPr>
        <w:t xml:space="preserve">are </w:t>
      </w:r>
      <w:r w:rsidR="00DF30E2">
        <w:rPr>
          <w:rFonts w:ascii="Arial" w:hAnsi="Arial" w:cs="Arial"/>
          <w:sz w:val="22"/>
          <w:lang w:eastAsia="zh-HK"/>
        </w:rPr>
        <w:t xml:space="preserve">HK transport operations, HK station commercial business, HK property rental &amp; management businesses, and property development. </w:t>
      </w:r>
    </w:p>
    <w:p w:rsidR="00011071" w:rsidRPr="0025679D" w:rsidRDefault="00011071">
      <w:pPr>
        <w:rPr>
          <w:rFonts w:ascii="Arial" w:hAnsi="Arial" w:cs="Arial"/>
          <w:sz w:val="22"/>
          <w:lang w:eastAsia="zh-HK"/>
        </w:rPr>
      </w:pPr>
    </w:p>
    <w:tbl>
      <w:tblPr>
        <w:tblW w:w="9468" w:type="dxa"/>
        <w:jc w:val="center"/>
        <w:tblInd w:w="13" w:type="dxa"/>
        <w:tblCellMar>
          <w:left w:w="28" w:type="dxa"/>
          <w:right w:w="28" w:type="dxa"/>
        </w:tblCellMar>
        <w:tblLook w:val="04A0"/>
      </w:tblPr>
      <w:tblGrid>
        <w:gridCol w:w="4268"/>
        <w:gridCol w:w="1040"/>
        <w:gridCol w:w="1040"/>
        <w:gridCol w:w="1040"/>
        <w:gridCol w:w="1040"/>
        <w:gridCol w:w="1040"/>
      </w:tblGrid>
      <w:tr w:rsidR="00EA6AC5" w:rsidRPr="00EA6AC5" w:rsidTr="00A35553">
        <w:trPr>
          <w:trHeight w:val="255"/>
          <w:jc w:val="center"/>
        </w:trPr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6AC5" w:rsidRPr="00EA6AC5" w:rsidRDefault="00EA6AC5" w:rsidP="00EA6AC5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2010</w:t>
            </w:r>
          </w:p>
        </w:tc>
      </w:tr>
      <w:tr w:rsidR="00EA6AC5" w:rsidRPr="00EA6AC5" w:rsidTr="00A35553">
        <w:trPr>
          <w:trHeight w:val="255"/>
          <w:jc w:val="center"/>
        </w:trPr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6AC5" w:rsidRPr="00EA6AC5" w:rsidRDefault="00EA6AC5" w:rsidP="00EA6AC5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HK Transport Operation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46%</w:t>
            </w:r>
          </w:p>
        </w:tc>
      </w:tr>
      <w:tr w:rsidR="00EA6AC5" w:rsidRPr="00EA6AC5" w:rsidTr="00A35553">
        <w:trPr>
          <w:trHeight w:val="255"/>
          <w:jc w:val="center"/>
        </w:trPr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6AC5" w:rsidRPr="00EA6AC5" w:rsidRDefault="00EA6AC5" w:rsidP="00EA6AC5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HK Station Commercial Businesses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90%</w:t>
            </w:r>
          </w:p>
        </w:tc>
      </w:tr>
      <w:tr w:rsidR="00EA6AC5" w:rsidRPr="00EA6AC5" w:rsidTr="00A35553">
        <w:trPr>
          <w:trHeight w:val="510"/>
          <w:jc w:val="center"/>
        </w:trPr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6AC5" w:rsidRPr="00EA6AC5" w:rsidRDefault="00EA6AC5" w:rsidP="00EA6AC5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HK Property Rental and Management Businesses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78%</w:t>
            </w:r>
          </w:p>
        </w:tc>
      </w:tr>
      <w:tr w:rsidR="00EA6AC5" w:rsidRPr="00EA6AC5" w:rsidTr="00A35553">
        <w:trPr>
          <w:trHeight w:val="510"/>
          <w:jc w:val="center"/>
        </w:trPr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6AC5" w:rsidRPr="00EA6AC5" w:rsidRDefault="00EA6AC5" w:rsidP="00EA6AC5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Mainland of China and International Subsidiaries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3%</w:t>
            </w:r>
          </w:p>
        </w:tc>
      </w:tr>
      <w:tr w:rsidR="00EA6AC5" w:rsidRPr="00EA6AC5" w:rsidTr="00A35553">
        <w:trPr>
          <w:trHeight w:val="255"/>
          <w:jc w:val="center"/>
        </w:trPr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6AC5" w:rsidRPr="00EA6AC5" w:rsidRDefault="00EA6AC5" w:rsidP="00EA6AC5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Other Businesses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19%</w:t>
            </w:r>
          </w:p>
        </w:tc>
      </w:tr>
      <w:tr w:rsidR="00EA6AC5" w:rsidRPr="00EA6AC5" w:rsidTr="00A35553">
        <w:trPr>
          <w:trHeight w:val="255"/>
          <w:jc w:val="center"/>
        </w:trPr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6AC5" w:rsidRPr="00EA6AC5" w:rsidRDefault="00EA6AC5" w:rsidP="00EA6AC5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HK Property Development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EA6AC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AC5" w:rsidRPr="00EA6AC5" w:rsidRDefault="00EA6AC5" w:rsidP="0025679D">
            <w:pPr>
              <w:keepNext/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EA6AC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</w:tr>
    </w:tbl>
    <w:p w:rsidR="0025679D" w:rsidRPr="0025679D" w:rsidRDefault="0025679D" w:rsidP="0025679D">
      <w:pPr>
        <w:pStyle w:val="aa"/>
        <w:jc w:val="center"/>
        <w:rPr>
          <w:rFonts w:ascii="Arial" w:hAnsi="Arial" w:cs="Arial"/>
          <w:i/>
          <w:sz w:val="22"/>
          <w:szCs w:val="22"/>
        </w:rPr>
      </w:pPr>
      <w:r w:rsidRPr="0025679D">
        <w:rPr>
          <w:rFonts w:ascii="Arial" w:hAnsi="Arial" w:cs="Arial"/>
          <w:i/>
          <w:sz w:val="22"/>
          <w:szCs w:val="22"/>
        </w:rPr>
        <w:t xml:space="preserve">Table </w:t>
      </w:r>
      <w:r w:rsidRPr="0025679D">
        <w:rPr>
          <w:rFonts w:ascii="Arial" w:hAnsi="Arial" w:cs="Arial"/>
          <w:i/>
          <w:sz w:val="22"/>
          <w:szCs w:val="22"/>
        </w:rPr>
        <w:fldChar w:fldCharType="begin"/>
      </w:r>
      <w:r w:rsidRPr="0025679D">
        <w:rPr>
          <w:rFonts w:ascii="Arial" w:hAnsi="Arial" w:cs="Arial"/>
          <w:i/>
          <w:sz w:val="22"/>
          <w:szCs w:val="22"/>
        </w:rPr>
        <w:instrText xml:space="preserve"> SEQ Table \* ARABIC </w:instrText>
      </w:r>
      <w:r w:rsidRPr="0025679D">
        <w:rPr>
          <w:rFonts w:ascii="Arial" w:hAnsi="Arial" w:cs="Arial"/>
          <w:i/>
          <w:sz w:val="22"/>
          <w:szCs w:val="22"/>
        </w:rPr>
        <w:fldChar w:fldCharType="separate"/>
      </w:r>
      <w:r w:rsidR="00E918EE">
        <w:rPr>
          <w:rFonts w:ascii="Arial" w:hAnsi="Arial" w:cs="Arial"/>
          <w:i/>
          <w:noProof/>
          <w:sz w:val="22"/>
          <w:szCs w:val="22"/>
        </w:rPr>
        <w:t>5</w:t>
      </w:r>
      <w:r w:rsidRPr="0025679D">
        <w:rPr>
          <w:rFonts w:ascii="Arial" w:hAnsi="Arial" w:cs="Arial"/>
          <w:i/>
          <w:sz w:val="22"/>
          <w:szCs w:val="22"/>
        </w:rPr>
        <w:fldChar w:fldCharType="end"/>
      </w:r>
      <w:r w:rsidRPr="0025679D">
        <w:rPr>
          <w:rFonts w:ascii="Arial" w:hAnsi="Arial" w:cs="Arial"/>
          <w:i/>
          <w:sz w:val="22"/>
          <w:szCs w:val="22"/>
          <w:lang w:eastAsia="zh-HK"/>
        </w:rPr>
        <w:t>: Rough estimation of operating margin for each major business section before depreciation and taxes</w:t>
      </w:r>
    </w:p>
    <w:p w:rsidR="002D1384" w:rsidRDefault="002D1384">
      <w:pPr>
        <w:rPr>
          <w:rFonts w:ascii="Arial" w:hAnsi="Arial" w:cs="Arial" w:hint="eastAsia"/>
          <w:sz w:val="22"/>
          <w:lang w:eastAsia="zh-HK"/>
        </w:rPr>
      </w:pPr>
    </w:p>
    <w:p w:rsidR="00C60C04" w:rsidRDefault="0025679D">
      <w:pPr>
        <w:rPr>
          <w:rFonts w:ascii="Arial" w:hAnsi="Arial" w:cs="Arial" w:hint="eastAsia"/>
          <w:sz w:val="22"/>
          <w:lang w:eastAsia="zh-HK"/>
        </w:rPr>
      </w:pPr>
      <w:r>
        <w:rPr>
          <w:rFonts w:ascii="Arial" w:hAnsi="Arial" w:cs="Arial" w:hint="eastAsia"/>
          <w:sz w:val="22"/>
          <w:lang w:eastAsia="zh-HK"/>
        </w:rPr>
        <w:t>The table above</w:t>
      </w:r>
      <w:r w:rsidR="00760CE7">
        <w:rPr>
          <w:rFonts w:ascii="Arial" w:hAnsi="Arial" w:cs="Arial" w:hint="eastAsia"/>
          <w:sz w:val="22"/>
          <w:lang w:eastAsia="zh-HK"/>
        </w:rPr>
        <w:t xml:space="preserve"> shows the rough estimation of </w:t>
      </w:r>
      <w:r w:rsidR="00760CE7">
        <w:rPr>
          <w:rFonts w:ascii="Arial" w:hAnsi="Arial" w:cs="Arial"/>
          <w:sz w:val="22"/>
          <w:lang w:eastAsia="zh-HK"/>
        </w:rPr>
        <w:t>profitability</w:t>
      </w:r>
      <w:r w:rsidR="00760CE7">
        <w:rPr>
          <w:rFonts w:ascii="Arial" w:hAnsi="Arial" w:cs="Arial" w:hint="eastAsia"/>
          <w:sz w:val="22"/>
          <w:lang w:eastAsia="zh-HK"/>
        </w:rPr>
        <w:t xml:space="preserve"> of each major business section of MTRC. Due to the lack of breakdown details, </w:t>
      </w:r>
      <w:r w:rsidR="00C60C04">
        <w:rPr>
          <w:rFonts w:ascii="Arial" w:hAnsi="Arial" w:cs="Arial" w:hint="eastAsia"/>
          <w:sz w:val="22"/>
          <w:lang w:eastAsia="zh-HK"/>
        </w:rPr>
        <w:t>no</w:t>
      </w:r>
      <w:r w:rsidR="00760CE7">
        <w:rPr>
          <w:rFonts w:ascii="Arial" w:hAnsi="Arial" w:cs="Arial" w:hint="eastAsia"/>
          <w:sz w:val="22"/>
          <w:lang w:eastAsia="zh-HK"/>
        </w:rPr>
        <w:t xml:space="preserve"> estimation </w:t>
      </w:r>
      <w:r w:rsidR="0055205B">
        <w:rPr>
          <w:rFonts w:ascii="Arial" w:hAnsi="Arial" w:cs="Arial" w:hint="eastAsia"/>
          <w:sz w:val="22"/>
          <w:lang w:eastAsia="zh-HK"/>
        </w:rPr>
        <w:t>can</w:t>
      </w:r>
      <w:r w:rsidR="00760CE7">
        <w:rPr>
          <w:rFonts w:ascii="Arial" w:hAnsi="Arial" w:cs="Arial" w:hint="eastAsia"/>
          <w:sz w:val="22"/>
          <w:lang w:eastAsia="zh-HK"/>
        </w:rPr>
        <w:t xml:space="preserve"> be figured out</w:t>
      </w:r>
      <w:r w:rsidR="00C60C04">
        <w:rPr>
          <w:rFonts w:ascii="Arial" w:hAnsi="Arial" w:cs="Arial" w:hint="eastAsia"/>
          <w:sz w:val="22"/>
          <w:lang w:eastAsia="zh-HK"/>
        </w:rPr>
        <w:t xml:space="preserve"> for the HK property development</w:t>
      </w:r>
      <w:r w:rsidR="00760CE7">
        <w:rPr>
          <w:rFonts w:ascii="Arial" w:hAnsi="Arial" w:cs="Arial" w:hint="eastAsia"/>
          <w:sz w:val="22"/>
          <w:lang w:eastAsia="zh-HK"/>
        </w:rPr>
        <w:t xml:space="preserve">. </w:t>
      </w:r>
      <w:r w:rsidR="00C60C04">
        <w:rPr>
          <w:rFonts w:ascii="Arial" w:hAnsi="Arial" w:cs="Arial" w:hint="eastAsia"/>
          <w:sz w:val="22"/>
          <w:lang w:eastAsia="zh-HK"/>
        </w:rPr>
        <w:t xml:space="preserve">Both the HK station commercial businesses and HK property rental &amp; management businesses give </w:t>
      </w:r>
      <w:r w:rsidR="0055205B">
        <w:rPr>
          <w:rFonts w:ascii="Arial" w:hAnsi="Arial" w:cs="Arial" w:hint="eastAsia"/>
          <w:sz w:val="22"/>
          <w:lang w:eastAsia="zh-HK"/>
        </w:rPr>
        <w:t xml:space="preserve">a high and stable </w:t>
      </w:r>
      <w:r w:rsidR="00C60C04">
        <w:rPr>
          <w:rFonts w:ascii="Arial" w:hAnsi="Arial" w:cs="Arial" w:hint="eastAsia"/>
          <w:sz w:val="22"/>
          <w:lang w:eastAsia="zh-HK"/>
        </w:rPr>
        <w:t>profitability</w:t>
      </w:r>
      <w:r w:rsidR="0055205B">
        <w:rPr>
          <w:rFonts w:ascii="Arial" w:hAnsi="Arial" w:cs="Arial" w:hint="eastAsia"/>
          <w:sz w:val="22"/>
          <w:lang w:eastAsia="zh-HK"/>
        </w:rPr>
        <w:t xml:space="preserve"> of around 80 - 90% </w:t>
      </w:r>
      <w:r w:rsidR="00C60C04">
        <w:rPr>
          <w:rFonts w:ascii="Arial" w:hAnsi="Arial" w:cs="Arial" w:hint="eastAsia"/>
          <w:sz w:val="22"/>
          <w:lang w:eastAsia="zh-HK"/>
        </w:rPr>
        <w:t xml:space="preserve">as they make use of the space </w:t>
      </w:r>
      <w:r w:rsidR="0055205B">
        <w:rPr>
          <w:rFonts w:ascii="Arial" w:hAnsi="Arial" w:cs="Arial" w:hint="eastAsia"/>
          <w:sz w:val="22"/>
          <w:lang w:eastAsia="zh-HK"/>
        </w:rPr>
        <w:t xml:space="preserve">/ </w:t>
      </w:r>
      <w:r w:rsidR="0055205B">
        <w:rPr>
          <w:rFonts w:ascii="Arial" w:hAnsi="Arial" w:cs="Arial" w:hint="eastAsia"/>
          <w:sz w:val="22"/>
          <w:lang w:eastAsia="zh-HK"/>
        </w:rPr>
        <w:lastRenderedPageBreak/>
        <w:t>facilities in the</w:t>
      </w:r>
      <w:r w:rsidR="00C60C04">
        <w:rPr>
          <w:rFonts w:ascii="Arial" w:hAnsi="Arial" w:cs="Arial" w:hint="eastAsia"/>
          <w:sz w:val="22"/>
          <w:lang w:eastAsia="zh-HK"/>
        </w:rPr>
        <w:t xml:space="preserve"> </w:t>
      </w:r>
      <w:r w:rsidR="00C60C04">
        <w:rPr>
          <w:rFonts w:ascii="Arial" w:hAnsi="Arial" w:cs="Arial"/>
          <w:sz w:val="22"/>
          <w:lang w:eastAsia="zh-HK"/>
        </w:rPr>
        <w:t>existing</w:t>
      </w:r>
      <w:r w:rsidR="00C60C04">
        <w:rPr>
          <w:rFonts w:ascii="Arial" w:hAnsi="Arial" w:cs="Arial" w:hint="eastAsia"/>
          <w:sz w:val="22"/>
          <w:lang w:eastAsia="zh-HK"/>
        </w:rPr>
        <w:t xml:space="preserve"> railway station and other assets to generate income</w:t>
      </w:r>
      <w:r w:rsidR="0055205B">
        <w:rPr>
          <w:rFonts w:ascii="Arial" w:hAnsi="Arial" w:cs="Arial" w:hint="eastAsia"/>
          <w:sz w:val="22"/>
          <w:lang w:eastAsia="zh-HK"/>
        </w:rPr>
        <w:t xml:space="preserve"> while the </w:t>
      </w:r>
      <w:r w:rsidR="0055205B">
        <w:rPr>
          <w:rFonts w:ascii="Arial" w:hAnsi="Arial" w:cs="Arial"/>
          <w:sz w:val="22"/>
          <w:lang w:eastAsia="zh-HK"/>
        </w:rPr>
        <w:t>associated</w:t>
      </w:r>
      <w:r w:rsidR="0055205B">
        <w:rPr>
          <w:rFonts w:ascii="Arial" w:hAnsi="Arial" w:cs="Arial" w:hint="eastAsia"/>
          <w:sz w:val="22"/>
          <w:lang w:eastAsia="zh-HK"/>
        </w:rPr>
        <w:t xml:space="preserve"> costs are small</w:t>
      </w:r>
      <w:r w:rsidR="00C60C04">
        <w:rPr>
          <w:rFonts w:ascii="Arial" w:hAnsi="Arial" w:cs="Arial" w:hint="eastAsia"/>
          <w:sz w:val="22"/>
          <w:lang w:eastAsia="zh-HK"/>
        </w:rPr>
        <w:t xml:space="preserve">. The HK transport operation also gives </w:t>
      </w:r>
      <w:r w:rsidR="0055205B">
        <w:rPr>
          <w:rFonts w:ascii="Arial" w:hAnsi="Arial" w:cs="Arial" w:hint="eastAsia"/>
          <w:sz w:val="22"/>
          <w:lang w:eastAsia="zh-HK"/>
        </w:rPr>
        <w:t xml:space="preserve">good profitability of above 40% with a mild drop in last 2 years. It is due to </w:t>
      </w:r>
      <w:r w:rsidR="00031D65">
        <w:rPr>
          <w:rFonts w:ascii="Arial" w:hAnsi="Arial" w:cs="Arial" w:hint="eastAsia"/>
          <w:sz w:val="22"/>
          <w:lang w:eastAsia="zh-HK"/>
        </w:rPr>
        <w:t>rising</w:t>
      </w:r>
      <w:r w:rsidR="0055205B">
        <w:rPr>
          <w:rFonts w:ascii="Arial" w:hAnsi="Arial" w:cs="Arial" w:hint="eastAsia"/>
          <w:sz w:val="22"/>
          <w:lang w:eastAsia="zh-HK"/>
        </w:rPr>
        <w:t xml:space="preserve"> expenses and MTRC may consider to </w:t>
      </w:r>
      <w:r w:rsidR="00031D65">
        <w:rPr>
          <w:rFonts w:ascii="Arial" w:hAnsi="Arial" w:cs="Arial" w:hint="eastAsia"/>
          <w:sz w:val="22"/>
          <w:lang w:eastAsia="zh-HK"/>
        </w:rPr>
        <w:t xml:space="preserve">have tighter control over expenses or </w:t>
      </w:r>
      <w:r w:rsidR="0055205B">
        <w:rPr>
          <w:rFonts w:ascii="Arial" w:hAnsi="Arial" w:cs="Arial" w:hint="eastAsia"/>
          <w:sz w:val="22"/>
          <w:lang w:eastAsia="zh-HK"/>
        </w:rPr>
        <w:t>increase fare</w:t>
      </w:r>
      <w:r w:rsidR="00A30072">
        <w:rPr>
          <w:rFonts w:ascii="Arial" w:hAnsi="Arial" w:cs="Arial" w:hint="eastAsia"/>
          <w:sz w:val="22"/>
          <w:lang w:eastAsia="zh-HK"/>
        </w:rPr>
        <w:t xml:space="preserve"> to cover them </w:t>
      </w:r>
      <w:r w:rsidR="0055205B">
        <w:rPr>
          <w:rFonts w:ascii="Arial" w:hAnsi="Arial" w:cs="Arial" w:hint="eastAsia"/>
          <w:sz w:val="22"/>
          <w:lang w:eastAsia="zh-HK"/>
        </w:rPr>
        <w:t xml:space="preserve">if it is allowed under the fare monitoring system. </w:t>
      </w:r>
      <w:r w:rsidR="00A30072">
        <w:rPr>
          <w:rFonts w:ascii="Arial" w:hAnsi="Arial" w:cs="Arial" w:hint="eastAsia"/>
          <w:sz w:val="22"/>
          <w:lang w:eastAsia="zh-HK"/>
        </w:rPr>
        <w:t xml:space="preserve">For Mainland of China &amp; international subsidiaries and other businesses, their profitability is relative low, under 10% on average, compared with the rest. </w:t>
      </w:r>
      <w:r w:rsidR="00DA71EE">
        <w:rPr>
          <w:rFonts w:ascii="Arial" w:hAnsi="Arial" w:cs="Arial" w:hint="eastAsia"/>
          <w:sz w:val="22"/>
          <w:lang w:eastAsia="zh-HK"/>
        </w:rPr>
        <w:t>When appreciation, amortisation &amp; variable annual payment is</w:t>
      </w:r>
      <w:r w:rsidR="00E86484">
        <w:rPr>
          <w:rFonts w:ascii="Arial" w:hAnsi="Arial" w:cs="Arial" w:hint="eastAsia"/>
          <w:sz w:val="22"/>
          <w:lang w:eastAsia="zh-HK"/>
        </w:rPr>
        <w:t xml:space="preserve"> taken </w:t>
      </w:r>
      <w:r w:rsidR="000520CF">
        <w:rPr>
          <w:rFonts w:ascii="Arial" w:hAnsi="Arial" w:cs="Arial" w:hint="eastAsia"/>
          <w:sz w:val="22"/>
          <w:lang w:eastAsia="zh-HK"/>
        </w:rPr>
        <w:t xml:space="preserve">into </w:t>
      </w:r>
      <w:r w:rsidR="00E86484">
        <w:rPr>
          <w:rFonts w:ascii="Arial" w:hAnsi="Arial" w:cs="Arial" w:hint="eastAsia"/>
          <w:sz w:val="22"/>
          <w:lang w:eastAsia="zh-HK"/>
        </w:rPr>
        <w:t xml:space="preserve">account, their profitability may be even lower but still better than the interest rate offered by the bank when the business fund is put into term </w:t>
      </w:r>
      <w:r w:rsidR="00E86484">
        <w:rPr>
          <w:rFonts w:ascii="Arial" w:hAnsi="Arial" w:cs="Arial"/>
          <w:sz w:val="22"/>
          <w:lang w:eastAsia="zh-HK"/>
        </w:rPr>
        <w:t>deposit</w:t>
      </w:r>
      <w:r w:rsidR="00E86484">
        <w:rPr>
          <w:rFonts w:ascii="Arial" w:hAnsi="Arial" w:cs="Arial" w:hint="eastAsia"/>
          <w:sz w:val="22"/>
          <w:lang w:eastAsia="zh-HK"/>
        </w:rPr>
        <w:t xml:space="preserve">. </w:t>
      </w:r>
      <w:r w:rsidR="00DA71EE">
        <w:rPr>
          <w:rFonts w:ascii="Arial" w:hAnsi="Arial" w:cs="Arial" w:hint="eastAsia"/>
          <w:sz w:val="22"/>
          <w:lang w:eastAsia="zh-HK"/>
        </w:rPr>
        <w:t>Nevertheless,</w:t>
      </w:r>
      <w:r w:rsidR="00E86484">
        <w:rPr>
          <w:rFonts w:ascii="Arial" w:hAnsi="Arial" w:cs="Arial" w:hint="eastAsia"/>
          <w:sz w:val="22"/>
          <w:lang w:eastAsia="zh-HK"/>
        </w:rPr>
        <w:t xml:space="preserve"> improvement was observed in recent years </w:t>
      </w:r>
      <w:r w:rsidR="00DA71EE">
        <w:rPr>
          <w:rFonts w:ascii="Arial" w:hAnsi="Arial" w:cs="Arial" w:hint="eastAsia"/>
          <w:sz w:val="22"/>
          <w:lang w:eastAsia="zh-HK"/>
        </w:rPr>
        <w:t>for the Mainland of China and international subsidiaries</w:t>
      </w:r>
      <w:r w:rsidR="00E86484">
        <w:rPr>
          <w:rFonts w:ascii="Arial" w:hAnsi="Arial" w:cs="Arial" w:hint="eastAsia"/>
          <w:sz w:val="22"/>
          <w:lang w:eastAsia="zh-HK"/>
        </w:rPr>
        <w:t>.</w:t>
      </w:r>
      <w:r w:rsidR="00DA71EE">
        <w:rPr>
          <w:rFonts w:ascii="Arial" w:hAnsi="Arial" w:cs="Arial" w:hint="eastAsia"/>
          <w:sz w:val="22"/>
          <w:lang w:eastAsia="zh-HK"/>
        </w:rPr>
        <w:t xml:space="preserve"> </w:t>
      </w:r>
      <w:r w:rsidR="0058656A">
        <w:rPr>
          <w:rFonts w:ascii="Arial" w:hAnsi="Arial" w:cs="Arial" w:hint="eastAsia"/>
          <w:sz w:val="22"/>
          <w:lang w:eastAsia="zh-HK"/>
        </w:rPr>
        <w:t xml:space="preserve">A </w:t>
      </w:r>
      <w:r w:rsidR="000520CF">
        <w:rPr>
          <w:rFonts w:ascii="Arial" w:hAnsi="Arial" w:cs="Arial" w:hint="eastAsia"/>
          <w:sz w:val="22"/>
          <w:lang w:eastAsia="zh-HK"/>
        </w:rPr>
        <w:t>thing that is worth attention is the significant drop in profitability for other businesses since 2011. I</w:t>
      </w:r>
      <w:r w:rsidR="000520CF">
        <w:rPr>
          <w:rFonts w:ascii="Arial" w:hAnsi="Arial" w:cs="Arial"/>
          <w:sz w:val="22"/>
          <w:lang w:eastAsia="zh-HK"/>
        </w:rPr>
        <w:t>nvestigation</w:t>
      </w:r>
      <w:r w:rsidR="000520CF">
        <w:rPr>
          <w:rFonts w:ascii="Arial" w:hAnsi="Arial" w:cs="Arial" w:hint="eastAsia"/>
          <w:sz w:val="22"/>
          <w:lang w:eastAsia="zh-HK"/>
        </w:rPr>
        <w:t xml:space="preserve"> may be necessary to understand the reason behind to come up with remedy </w:t>
      </w:r>
      <w:r w:rsidR="000520CF">
        <w:rPr>
          <w:rFonts w:ascii="Arial" w:hAnsi="Arial" w:cs="Arial"/>
          <w:sz w:val="22"/>
          <w:lang w:eastAsia="zh-HK"/>
        </w:rPr>
        <w:t>solutions</w:t>
      </w:r>
      <w:r w:rsidR="000520CF">
        <w:rPr>
          <w:rFonts w:ascii="Arial" w:hAnsi="Arial" w:cs="Arial" w:hint="eastAsia"/>
          <w:sz w:val="22"/>
          <w:lang w:eastAsia="zh-HK"/>
        </w:rPr>
        <w:t xml:space="preserve">. </w:t>
      </w:r>
      <w:r w:rsidR="0058656A">
        <w:rPr>
          <w:rFonts w:ascii="Arial" w:hAnsi="Arial" w:cs="Arial" w:hint="eastAsia"/>
          <w:sz w:val="22"/>
          <w:lang w:eastAsia="zh-HK"/>
        </w:rPr>
        <w:t xml:space="preserve">Further details on the performance of each </w:t>
      </w:r>
      <w:r w:rsidR="00E26339">
        <w:rPr>
          <w:rFonts w:ascii="Arial" w:hAnsi="Arial" w:cs="Arial" w:hint="eastAsia"/>
          <w:sz w:val="22"/>
          <w:lang w:eastAsia="zh-HK"/>
        </w:rPr>
        <w:t>core</w:t>
      </w:r>
      <w:r w:rsidR="0058656A">
        <w:rPr>
          <w:rFonts w:ascii="Arial" w:hAnsi="Arial" w:cs="Arial" w:hint="eastAsia"/>
          <w:sz w:val="22"/>
          <w:lang w:eastAsia="zh-HK"/>
        </w:rPr>
        <w:t xml:space="preserve"> business and comparison</w:t>
      </w:r>
      <w:r w:rsidR="00E26339">
        <w:rPr>
          <w:rFonts w:ascii="Arial" w:hAnsi="Arial" w:cs="Arial" w:hint="eastAsia"/>
          <w:sz w:val="22"/>
          <w:lang w:eastAsia="zh-HK"/>
        </w:rPr>
        <w:t xml:space="preserve"> analysis</w:t>
      </w:r>
      <w:r w:rsidR="0058656A">
        <w:rPr>
          <w:rFonts w:ascii="Arial" w:hAnsi="Arial" w:cs="Arial" w:hint="eastAsia"/>
          <w:sz w:val="22"/>
          <w:lang w:eastAsia="zh-HK"/>
        </w:rPr>
        <w:t xml:space="preserve"> </w:t>
      </w:r>
      <w:r w:rsidR="000520CF">
        <w:rPr>
          <w:rFonts w:ascii="Arial" w:hAnsi="Arial" w:cs="Arial" w:hint="eastAsia"/>
          <w:sz w:val="22"/>
          <w:lang w:eastAsia="zh-HK"/>
        </w:rPr>
        <w:t>will</w:t>
      </w:r>
      <w:r w:rsidR="0058656A">
        <w:rPr>
          <w:rFonts w:ascii="Arial" w:hAnsi="Arial" w:cs="Arial" w:hint="eastAsia"/>
          <w:sz w:val="22"/>
          <w:lang w:eastAsia="zh-HK"/>
        </w:rPr>
        <w:t xml:space="preserve"> be discussed </w:t>
      </w:r>
      <w:r w:rsidR="00590BB1">
        <w:rPr>
          <w:rFonts w:ascii="Arial" w:hAnsi="Arial" w:cs="Arial" w:hint="eastAsia"/>
          <w:sz w:val="22"/>
          <w:lang w:eastAsia="zh-HK"/>
        </w:rPr>
        <w:t xml:space="preserve">in later sections. </w:t>
      </w:r>
    </w:p>
    <w:p w:rsidR="00C60C04" w:rsidRPr="00E26339" w:rsidRDefault="00C60C04">
      <w:pPr>
        <w:rPr>
          <w:rFonts w:ascii="Arial" w:hAnsi="Arial" w:cs="Arial" w:hint="eastAsia"/>
          <w:sz w:val="22"/>
          <w:lang w:eastAsia="zh-HK"/>
        </w:rPr>
      </w:pPr>
    </w:p>
    <w:tbl>
      <w:tblPr>
        <w:tblW w:w="8960" w:type="dxa"/>
        <w:jc w:val="center"/>
        <w:tblInd w:w="13" w:type="dxa"/>
        <w:tblCellMar>
          <w:left w:w="28" w:type="dxa"/>
          <w:right w:w="28" w:type="dxa"/>
        </w:tblCellMar>
        <w:tblLook w:val="04A0"/>
      </w:tblPr>
      <w:tblGrid>
        <w:gridCol w:w="3760"/>
        <w:gridCol w:w="1040"/>
        <w:gridCol w:w="1040"/>
        <w:gridCol w:w="1040"/>
        <w:gridCol w:w="1040"/>
        <w:gridCol w:w="1040"/>
      </w:tblGrid>
      <w:tr w:rsidR="004D3405" w:rsidRPr="004D3405" w:rsidTr="00A35553">
        <w:trPr>
          <w:trHeight w:val="255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405" w:rsidRPr="004D3405" w:rsidRDefault="004D3405" w:rsidP="004D3405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4D3405" w:rsidRPr="004D3405" w:rsidRDefault="004D3405" w:rsidP="004D340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D340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4D3405" w:rsidRPr="004D3405" w:rsidRDefault="004D3405" w:rsidP="004D340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D340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4D3405" w:rsidRPr="004D3405" w:rsidRDefault="004D3405" w:rsidP="004D340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D340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4D3405" w:rsidRPr="004D3405" w:rsidRDefault="004D3405" w:rsidP="004D340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D340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4D3405" w:rsidRPr="004D3405" w:rsidRDefault="004D3405" w:rsidP="004D340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D340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2010</w:t>
            </w:r>
          </w:p>
        </w:tc>
      </w:tr>
      <w:tr w:rsidR="004D3405" w:rsidRPr="004D3405" w:rsidTr="00A35553">
        <w:trPr>
          <w:trHeight w:val="255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405" w:rsidRPr="004D3405" w:rsidRDefault="004D3405" w:rsidP="004D3405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D340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Return on Total Assets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405" w:rsidRPr="004D3405" w:rsidRDefault="004D3405" w:rsidP="004D340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D340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6.46%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405" w:rsidRPr="004D3405" w:rsidRDefault="004D3405" w:rsidP="004D340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D340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5.18%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405" w:rsidRPr="004D3405" w:rsidRDefault="004D3405" w:rsidP="004D340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D340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5.91%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405" w:rsidRPr="004D3405" w:rsidRDefault="004D3405" w:rsidP="004D340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D340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6.67%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405" w:rsidRPr="004D3405" w:rsidRDefault="004D3405" w:rsidP="004D340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D340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6.49%</w:t>
            </w:r>
          </w:p>
        </w:tc>
      </w:tr>
      <w:tr w:rsidR="004D3405" w:rsidRPr="004D3405" w:rsidTr="00A35553">
        <w:trPr>
          <w:trHeight w:val="255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405" w:rsidRPr="004D3405" w:rsidRDefault="004D3405" w:rsidP="004D3405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D340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Return on Equity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405" w:rsidRPr="004D3405" w:rsidRDefault="004D3405" w:rsidP="004D340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D340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9.66%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405" w:rsidRPr="004D3405" w:rsidRDefault="004D3405" w:rsidP="004D340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D340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8.65%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405" w:rsidRPr="004D3405" w:rsidRDefault="004D3405" w:rsidP="004D340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D340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9.46%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405" w:rsidRPr="004D3405" w:rsidRDefault="004D3405" w:rsidP="004D340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D340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11.65%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405" w:rsidRPr="004D3405" w:rsidRDefault="004D3405" w:rsidP="000359E4">
            <w:pPr>
              <w:keepNext/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D3405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10.38%</w:t>
            </w:r>
          </w:p>
        </w:tc>
      </w:tr>
    </w:tbl>
    <w:p w:rsidR="000359E4" w:rsidRPr="000359E4" w:rsidRDefault="000359E4" w:rsidP="000359E4">
      <w:pPr>
        <w:pStyle w:val="aa"/>
        <w:jc w:val="center"/>
        <w:rPr>
          <w:rFonts w:ascii="Arial" w:hAnsi="Arial" w:cs="Arial"/>
          <w:i/>
          <w:sz w:val="22"/>
          <w:szCs w:val="22"/>
        </w:rPr>
      </w:pPr>
      <w:bookmarkStart w:id="7" w:name="_Ref448702184"/>
      <w:r w:rsidRPr="000359E4">
        <w:rPr>
          <w:rFonts w:ascii="Arial" w:hAnsi="Arial" w:cs="Arial"/>
          <w:i/>
          <w:sz w:val="22"/>
          <w:szCs w:val="22"/>
        </w:rPr>
        <w:t xml:space="preserve">Table </w:t>
      </w:r>
      <w:r w:rsidRPr="000359E4">
        <w:rPr>
          <w:rFonts w:ascii="Arial" w:hAnsi="Arial" w:cs="Arial"/>
          <w:i/>
          <w:sz w:val="22"/>
          <w:szCs w:val="22"/>
        </w:rPr>
        <w:fldChar w:fldCharType="begin"/>
      </w:r>
      <w:r w:rsidRPr="000359E4">
        <w:rPr>
          <w:rFonts w:ascii="Arial" w:hAnsi="Arial" w:cs="Arial"/>
          <w:i/>
          <w:sz w:val="22"/>
          <w:szCs w:val="22"/>
        </w:rPr>
        <w:instrText xml:space="preserve"> SEQ Table \* ARABIC </w:instrText>
      </w:r>
      <w:r w:rsidRPr="000359E4">
        <w:rPr>
          <w:rFonts w:ascii="Arial" w:hAnsi="Arial" w:cs="Arial"/>
          <w:i/>
          <w:sz w:val="22"/>
          <w:szCs w:val="22"/>
        </w:rPr>
        <w:fldChar w:fldCharType="separate"/>
      </w:r>
      <w:r w:rsidR="00E918EE">
        <w:rPr>
          <w:rFonts w:ascii="Arial" w:hAnsi="Arial" w:cs="Arial"/>
          <w:i/>
          <w:noProof/>
          <w:sz w:val="22"/>
          <w:szCs w:val="22"/>
        </w:rPr>
        <w:t>6</w:t>
      </w:r>
      <w:r w:rsidRPr="000359E4">
        <w:rPr>
          <w:rFonts w:ascii="Arial" w:hAnsi="Arial" w:cs="Arial"/>
          <w:i/>
          <w:sz w:val="22"/>
          <w:szCs w:val="22"/>
        </w:rPr>
        <w:fldChar w:fldCharType="end"/>
      </w:r>
      <w:bookmarkEnd w:id="7"/>
      <w:r w:rsidRPr="000359E4">
        <w:rPr>
          <w:rFonts w:ascii="Arial" w:hAnsi="Arial" w:cs="Arial"/>
          <w:i/>
          <w:sz w:val="22"/>
          <w:szCs w:val="22"/>
          <w:lang w:eastAsia="zh-HK"/>
        </w:rPr>
        <w:t>: Return of the overall business</w:t>
      </w:r>
    </w:p>
    <w:p w:rsidR="004D3405" w:rsidRDefault="004D3405">
      <w:pPr>
        <w:rPr>
          <w:rFonts w:ascii="Arial" w:hAnsi="Arial" w:cs="Arial" w:hint="eastAsia"/>
          <w:sz w:val="22"/>
          <w:lang w:eastAsia="zh-HK"/>
        </w:rPr>
      </w:pPr>
    </w:p>
    <w:p w:rsidR="004D3405" w:rsidRDefault="00B9374A">
      <w:pPr>
        <w:rPr>
          <w:rFonts w:ascii="Arial" w:hAnsi="Arial" w:cs="Arial" w:hint="eastAsia"/>
          <w:sz w:val="22"/>
          <w:lang w:eastAsia="zh-HK"/>
        </w:rPr>
      </w:pPr>
      <w:r>
        <w:rPr>
          <w:rFonts w:ascii="Arial" w:hAnsi="Arial" w:cs="Arial"/>
          <w:sz w:val="22"/>
          <w:lang w:eastAsia="zh-HK"/>
        </w:rPr>
        <w:fldChar w:fldCharType="begin"/>
      </w:r>
      <w:r>
        <w:rPr>
          <w:rFonts w:ascii="Arial" w:hAnsi="Arial" w:cs="Arial"/>
          <w:sz w:val="22"/>
          <w:lang w:eastAsia="zh-HK"/>
        </w:rPr>
        <w:instrText xml:space="preserve"> </w:instrText>
      </w:r>
      <w:r>
        <w:rPr>
          <w:rFonts w:ascii="Arial" w:hAnsi="Arial" w:cs="Arial" w:hint="eastAsia"/>
          <w:sz w:val="22"/>
          <w:lang w:eastAsia="zh-HK"/>
        </w:rPr>
        <w:instrText>REF _Ref448702184 \h</w:instrText>
      </w:r>
      <w:r>
        <w:rPr>
          <w:rFonts w:ascii="Arial" w:hAnsi="Arial" w:cs="Arial"/>
          <w:sz w:val="22"/>
          <w:lang w:eastAsia="zh-HK"/>
        </w:rPr>
        <w:instrText xml:space="preserve"> </w:instrText>
      </w:r>
      <w:r>
        <w:rPr>
          <w:rFonts w:ascii="Arial" w:hAnsi="Arial" w:cs="Arial"/>
          <w:sz w:val="22"/>
          <w:lang w:eastAsia="zh-HK"/>
        </w:rPr>
      </w:r>
      <w:r>
        <w:rPr>
          <w:rFonts w:ascii="Arial" w:hAnsi="Arial" w:cs="Arial"/>
          <w:sz w:val="22"/>
          <w:lang w:eastAsia="zh-HK"/>
        </w:rPr>
        <w:fldChar w:fldCharType="separate"/>
      </w:r>
      <w:r w:rsidRPr="000359E4">
        <w:rPr>
          <w:rFonts w:ascii="Arial" w:hAnsi="Arial" w:cs="Arial"/>
          <w:i/>
          <w:sz w:val="22"/>
        </w:rPr>
        <w:t xml:space="preserve">Table </w:t>
      </w:r>
      <w:r w:rsidRPr="000359E4">
        <w:rPr>
          <w:rFonts w:ascii="Arial" w:hAnsi="Arial" w:cs="Arial"/>
          <w:i/>
          <w:noProof/>
          <w:sz w:val="22"/>
        </w:rPr>
        <w:t>6</w:t>
      </w:r>
      <w:r>
        <w:rPr>
          <w:rFonts w:ascii="Arial" w:hAnsi="Arial" w:cs="Arial"/>
          <w:sz w:val="22"/>
          <w:lang w:eastAsia="zh-HK"/>
        </w:rPr>
        <w:fldChar w:fldCharType="end"/>
      </w:r>
      <w:r w:rsidR="007D67D8">
        <w:rPr>
          <w:rFonts w:ascii="Arial" w:hAnsi="Arial" w:cs="Arial" w:hint="eastAsia"/>
          <w:sz w:val="22"/>
          <w:lang w:eastAsia="zh-HK"/>
        </w:rPr>
        <w:t xml:space="preserve"> shows the return of the </w:t>
      </w:r>
      <w:r w:rsidR="00515455">
        <w:rPr>
          <w:rFonts w:ascii="Arial" w:hAnsi="Arial" w:cs="Arial" w:hint="eastAsia"/>
          <w:sz w:val="22"/>
          <w:lang w:eastAsia="zh-HK"/>
        </w:rPr>
        <w:t xml:space="preserve">overall </w:t>
      </w:r>
      <w:r w:rsidR="007D67D8">
        <w:rPr>
          <w:rFonts w:ascii="Arial" w:hAnsi="Arial" w:cs="Arial" w:hint="eastAsia"/>
          <w:sz w:val="22"/>
          <w:lang w:eastAsia="zh-HK"/>
        </w:rPr>
        <w:t xml:space="preserve">business over the last 5 years. </w:t>
      </w:r>
      <w:r w:rsidR="00515455">
        <w:rPr>
          <w:rFonts w:ascii="Arial" w:hAnsi="Arial" w:cs="Arial" w:hint="eastAsia"/>
          <w:sz w:val="22"/>
          <w:lang w:eastAsia="zh-HK"/>
        </w:rPr>
        <w:t xml:space="preserve">The return on total assets stays in the level of 5.18 - 6.67% while the return on equity </w:t>
      </w:r>
      <w:r w:rsidR="00BF090F">
        <w:rPr>
          <w:rFonts w:ascii="Arial" w:hAnsi="Arial" w:cs="Arial" w:hint="eastAsia"/>
          <w:sz w:val="22"/>
          <w:lang w:eastAsia="zh-HK"/>
        </w:rPr>
        <w:t xml:space="preserve">fluctuates in the range of 8.65 - 11.65%. </w:t>
      </w:r>
      <w:r w:rsidR="0009705D">
        <w:rPr>
          <w:rFonts w:ascii="Arial" w:hAnsi="Arial" w:cs="Arial" w:hint="eastAsia"/>
          <w:sz w:val="22"/>
          <w:lang w:eastAsia="zh-HK"/>
        </w:rPr>
        <w:t xml:space="preserve">There was a mild drop in 2012 - 2013 for both return indicators but picking up in 2014. </w:t>
      </w:r>
      <w:r w:rsidR="00E8398B">
        <w:rPr>
          <w:rFonts w:ascii="Arial" w:hAnsi="Arial" w:cs="Arial" w:hint="eastAsia"/>
          <w:sz w:val="22"/>
          <w:lang w:eastAsia="zh-HK"/>
        </w:rPr>
        <w:t>Considering the risk of the business, t</w:t>
      </w:r>
      <w:r w:rsidR="0009705D">
        <w:rPr>
          <w:rFonts w:ascii="Arial" w:hAnsi="Arial" w:cs="Arial" w:hint="eastAsia"/>
          <w:sz w:val="22"/>
          <w:lang w:eastAsia="zh-HK"/>
        </w:rPr>
        <w:t xml:space="preserve">his level of return is </w:t>
      </w:r>
      <w:r w:rsidR="00AA4A88">
        <w:rPr>
          <w:rFonts w:ascii="Arial" w:hAnsi="Arial" w:cs="Arial" w:hint="eastAsia"/>
          <w:sz w:val="22"/>
          <w:lang w:eastAsia="zh-HK"/>
        </w:rPr>
        <w:t xml:space="preserve">considered as </w:t>
      </w:r>
      <w:r w:rsidR="00E8398B">
        <w:rPr>
          <w:rFonts w:ascii="Arial" w:hAnsi="Arial" w:cs="Arial"/>
          <w:sz w:val="22"/>
          <w:lang w:eastAsia="zh-HK"/>
        </w:rPr>
        <w:t>reasonable</w:t>
      </w:r>
      <w:r w:rsidR="0009705D">
        <w:rPr>
          <w:rFonts w:ascii="Arial" w:hAnsi="Arial" w:cs="Arial" w:hint="eastAsia"/>
          <w:sz w:val="22"/>
          <w:lang w:eastAsia="zh-HK"/>
        </w:rPr>
        <w:t xml:space="preserve"> </w:t>
      </w:r>
      <w:r w:rsidR="00E8398B">
        <w:rPr>
          <w:rFonts w:ascii="Arial" w:hAnsi="Arial" w:cs="Arial" w:hint="eastAsia"/>
          <w:sz w:val="22"/>
          <w:lang w:eastAsia="zh-HK"/>
        </w:rPr>
        <w:t>when compared with the average performance of other major businesses listed in the Heng Seng Index 50</w:t>
      </w:r>
      <w:r w:rsidR="00041F9F">
        <w:rPr>
          <w:rFonts w:ascii="Arial" w:hAnsi="Arial" w:cs="Arial" w:hint="eastAsia"/>
          <w:sz w:val="22"/>
          <w:lang w:eastAsia="zh-HK"/>
        </w:rPr>
        <w:t xml:space="preserve"> </w:t>
      </w:r>
      <w:r w:rsidR="00041F9F" w:rsidRPr="00005833">
        <w:rPr>
          <w:rFonts w:ascii="Arial" w:hAnsi="Arial" w:cs="Arial" w:hint="eastAsia"/>
          <w:sz w:val="22"/>
          <w:lang w:eastAsia="zh-HK"/>
        </w:rPr>
        <w:t>[</w:t>
      </w:r>
      <w:fldSimple w:instr=" REF _Ref448702374 \r \h  \* MERGEFORMAT ">
        <w:r w:rsidR="00005833" w:rsidRPr="00005833">
          <w:rPr>
            <w:rFonts w:ascii="Arial" w:hAnsi="Arial" w:cs="Arial"/>
            <w:sz w:val="22"/>
            <w:lang w:eastAsia="zh-HK"/>
          </w:rPr>
          <w:t>2</w:t>
        </w:r>
      </w:fldSimple>
      <w:r w:rsidR="00041F9F" w:rsidRPr="00005833">
        <w:rPr>
          <w:rFonts w:ascii="Arial" w:hAnsi="Arial" w:cs="Arial" w:hint="eastAsia"/>
          <w:sz w:val="22"/>
          <w:lang w:eastAsia="zh-HK"/>
        </w:rPr>
        <w:t>]</w:t>
      </w:r>
      <w:r w:rsidR="00E8398B">
        <w:rPr>
          <w:rFonts w:ascii="Arial" w:hAnsi="Arial" w:cs="Arial" w:hint="eastAsia"/>
          <w:sz w:val="22"/>
          <w:lang w:eastAsia="zh-HK"/>
        </w:rPr>
        <w:t>.</w:t>
      </w:r>
      <w:r w:rsidR="000359E4">
        <w:rPr>
          <w:rFonts w:ascii="Arial" w:hAnsi="Arial" w:cs="Arial" w:hint="eastAsia"/>
          <w:sz w:val="22"/>
          <w:lang w:eastAsia="zh-HK"/>
        </w:rPr>
        <w:t xml:space="preserve"> Some example figures are listed in the table below. </w:t>
      </w:r>
    </w:p>
    <w:p w:rsidR="00011071" w:rsidRDefault="00011071">
      <w:pPr>
        <w:rPr>
          <w:rFonts w:ascii="Arial" w:hAnsi="Arial" w:cs="Arial" w:hint="eastAsia"/>
          <w:sz w:val="22"/>
          <w:lang w:eastAsia="zh-HK"/>
        </w:rPr>
      </w:pPr>
    </w:p>
    <w:tbl>
      <w:tblPr>
        <w:tblW w:w="7958" w:type="dxa"/>
        <w:jc w:val="center"/>
        <w:tblInd w:w="-457" w:type="dxa"/>
        <w:tblCellMar>
          <w:left w:w="28" w:type="dxa"/>
          <w:right w:w="28" w:type="dxa"/>
        </w:tblCellMar>
        <w:tblLook w:val="04A0"/>
      </w:tblPr>
      <w:tblGrid>
        <w:gridCol w:w="2629"/>
        <w:gridCol w:w="2987"/>
        <w:gridCol w:w="2342"/>
      </w:tblGrid>
      <w:tr w:rsidR="005078FC" w:rsidRPr="005078FC" w:rsidTr="005078FC">
        <w:trPr>
          <w:trHeight w:val="255"/>
          <w:jc w:val="center"/>
        </w:trPr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78FC" w:rsidRPr="005078FC" w:rsidRDefault="005078FC" w:rsidP="005078F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5078FC" w:rsidRPr="005078FC" w:rsidRDefault="005078FC" w:rsidP="005078FC">
            <w:pPr>
              <w:widowControl/>
              <w:jc w:val="right"/>
              <w:rPr>
                <w:rFonts w:ascii="Arial" w:eastAsia="新細明體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5078FC">
              <w:rPr>
                <w:rFonts w:ascii="Arial" w:eastAsia="新細明體" w:hAnsi="Arial" w:cs="Arial"/>
                <w:bCs/>
                <w:color w:val="000000"/>
                <w:kern w:val="0"/>
                <w:sz w:val="20"/>
                <w:szCs w:val="20"/>
              </w:rPr>
              <w:t>Return on Total Assets (%)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5078FC" w:rsidRPr="005078FC" w:rsidRDefault="005078FC" w:rsidP="005078FC">
            <w:pPr>
              <w:widowControl/>
              <w:jc w:val="right"/>
              <w:rPr>
                <w:rFonts w:ascii="Arial" w:eastAsia="新細明體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5078FC">
              <w:rPr>
                <w:rFonts w:ascii="Arial" w:eastAsia="新細明體" w:hAnsi="Arial" w:cs="Arial"/>
                <w:bCs/>
                <w:color w:val="000000"/>
                <w:kern w:val="0"/>
                <w:sz w:val="20"/>
                <w:szCs w:val="20"/>
              </w:rPr>
              <w:t>Return on Equity (%)</w:t>
            </w:r>
          </w:p>
        </w:tc>
      </w:tr>
      <w:tr w:rsidR="005078FC" w:rsidRPr="005078FC" w:rsidTr="005078FC">
        <w:trPr>
          <w:trHeight w:val="255"/>
          <w:jc w:val="center"/>
        </w:trPr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78FC" w:rsidRPr="005078FC" w:rsidRDefault="005078FC" w:rsidP="005078F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5078F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CLP Power</w:t>
            </w:r>
          </w:p>
        </w:tc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8FC" w:rsidRPr="005078FC" w:rsidRDefault="005078FC" w:rsidP="005078F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5078F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4.69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8FC" w:rsidRPr="005078FC" w:rsidRDefault="005078FC" w:rsidP="005078F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5078F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12.80</w:t>
            </w:r>
          </w:p>
        </w:tc>
      </w:tr>
      <w:tr w:rsidR="005078FC" w:rsidRPr="005078FC" w:rsidTr="005078FC">
        <w:trPr>
          <w:trHeight w:val="255"/>
          <w:jc w:val="center"/>
        </w:trPr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78FC" w:rsidRPr="005078FC" w:rsidRDefault="005078FC" w:rsidP="005078F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5078F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Henderson Land</w:t>
            </w:r>
          </w:p>
        </w:tc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8FC" w:rsidRPr="005078FC" w:rsidRDefault="005078FC" w:rsidP="005078F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5078F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5.83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8FC" w:rsidRPr="005078FC" w:rsidRDefault="005078FC" w:rsidP="005078F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5078F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6.96</w:t>
            </w:r>
          </w:p>
        </w:tc>
      </w:tr>
      <w:tr w:rsidR="005078FC" w:rsidRPr="005078FC" w:rsidTr="005078FC">
        <w:trPr>
          <w:trHeight w:val="255"/>
          <w:jc w:val="center"/>
        </w:trPr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78FC" w:rsidRPr="005078FC" w:rsidRDefault="005078FC" w:rsidP="005078F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5078F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China Merchants Group</w:t>
            </w:r>
          </w:p>
        </w:tc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8FC" w:rsidRPr="005078FC" w:rsidRDefault="005078FC" w:rsidP="005078F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5078F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4.42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8FC" w:rsidRPr="005078FC" w:rsidRDefault="005078FC" w:rsidP="005078F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5078F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6.71</w:t>
            </w:r>
          </w:p>
        </w:tc>
      </w:tr>
      <w:tr w:rsidR="005078FC" w:rsidRPr="005078FC" w:rsidTr="005078FC">
        <w:trPr>
          <w:trHeight w:val="255"/>
          <w:jc w:val="center"/>
        </w:trPr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78FC" w:rsidRPr="005078FC" w:rsidRDefault="005078FC" w:rsidP="005078FC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5078F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Sinopec Corporation</w:t>
            </w:r>
          </w:p>
        </w:tc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8FC" w:rsidRPr="005078FC" w:rsidRDefault="005078FC" w:rsidP="005078FC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5078F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3.20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8FC" w:rsidRPr="005078FC" w:rsidRDefault="005078FC" w:rsidP="00AC4946">
            <w:pPr>
              <w:keepNext/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5078FC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7.84</w:t>
            </w:r>
          </w:p>
        </w:tc>
      </w:tr>
    </w:tbl>
    <w:p w:rsidR="00AC4946" w:rsidRPr="00AC4946" w:rsidRDefault="00AC4946" w:rsidP="00AC4946">
      <w:pPr>
        <w:pStyle w:val="aa"/>
        <w:jc w:val="center"/>
        <w:rPr>
          <w:rFonts w:ascii="Arial" w:hAnsi="Arial" w:cs="Arial"/>
          <w:i/>
          <w:sz w:val="22"/>
          <w:szCs w:val="22"/>
        </w:rPr>
      </w:pPr>
      <w:r w:rsidRPr="00AC4946">
        <w:rPr>
          <w:rFonts w:ascii="Arial" w:hAnsi="Arial" w:cs="Arial"/>
          <w:i/>
          <w:sz w:val="22"/>
          <w:szCs w:val="22"/>
        </w:rPr>
        <w:t xml:space="preserve">Table </w:t>
      </w:r>
      <w:r w:rsidRPr="00AC4946">
        <w:rPr>
          <w:rFonts w:ascii="Arial" w:hAnsi="Arial" w:cs="Arial"/>
          <w:i/>
          <w:sz w:val="22"/>
          <w:szCs w:val="22"/>
        </w:rPr>
        <w:fldChar w:fldCharType="begin"/>
      </w:r>
      <w:r w:rsidRPr="00AC4946">
        <w:rPr>
          <w:rFonts w:ascii="Arial" w:hAnsi="Arial" w:cs="Arial"/>
          <w:i/>
          <w:sz w:val="22"/>
          <w:szCs w:val="22"/>
        </w:rPr>
        <w:instrText xml:space="preserve"> SEQ Table \* ARABIC </w:instrText>
      </w:r>
      <w:r w:rsidRPr="00AC4946">
        <w:rPr>
          <w:rFonts w:ascii="Arial" w:hAnsi="Arial" w:cs="Arial"/>
          <w:i/>
          <w:sz w:val="22"/>
          <w:szCs w:val="22"/>
        </w:rPr>
        <w:fldChar w:fldCharType="separate"/>
      </w:r>
      <w:r w:rsidR="00E918EE">
        <w:rPr>
          <w:rFonts w:ascii="Arial" w:hAnsi="Arial" w:cs="Arial"/>
          <w:i/>
          <w:noProof/>
          <w:sz w:val="22"/>
          <w:szCs w:val="22"/>
        </w:rPr>
        <w:t>7</w:t>
      </w:r>
      <w:r w:rsidRPr="00AC4946">
        <w:rPr>
          <w:rFonts w:ascii="Arial" w:hAnsi="Arial" w:cs="Arial"/>
          <w:i/>
          <w:sz w:val="22"/>
          <w:szCs w:val="22"/>
        </w:rPr>
        <w:fldChar w:fldCharType="end"/>
      </w:r>
      <w:r w:rsidRPr="00AC4946">
        <w:rPr>
          <w:rFonts w:ascii="Arial" w:hAnsi="Arial" w:cs="Arial"/>
          <w:i/>
          <w:sz w:val="22"/>
          <w:szCs w:val="22"/>
          <w:lang w:eastAsia="zh-HK"/>
        </w:rPr>
        <w:t>: Return of a few major companies listed in HSI in 2014</w:t>
      </w:r>
      <w:r w:rsidR="00005833">
        <w:rPr>
          <w:rFonts w:ascii="Arial" w:hAnsi="Arial" w:cs="Arial" w:hint="eastAsia"/>
          <w:i/>
          <w:sz w:val="22"/>
          <w:szCs w:val="22"/>
          <w:lang w:eastAsia="zh-HK"/>
        </w:rPr>
        <w:t xml:space="preserve"> </w:t>
      </w:r>
      <w:r w:rsidR="00005833" w:rsidRPr="00005833">
        <w:rPr>
          <w:rFonts w:ascii="Arial" w:hAnsi="Arial" w:cs="Arial" w:hint="eastAsia"/>
          <w:sz w:val="22"/>
          <w:lang w:eastAsia="zh-HK"/>
        </w:rPr>
        <w:t>[</w:t>
      </w:r>
      <w:fldSimple w:instr=" REF _Ref448702374 \r \h  \* MERGEFORMAT ">
        <w:r w:rsidR="00005833" w:rsidRPr="00005833">
          <w:rPr>
            <w:rFonts w:ascii="Arial" w:hAnsi="Arial" w:cs="Arial"/>
            <w:sz w:val="22"/>
            <w:lang w:eastAsia="zh-HK"/>
          </w:rPr>
          <w:t>2</w:t>
        </w:r>
      </w:fldSimple>
      <w:r w:rsidR="00005833" w:rsidRPr="00005833">
        <w:rPr>
          <w:rFonts w:ascii="Arial" w:hAnsi="Arial" w:cs="Arial" w:hint="eastAsia"/>
          <w:sz w:val="22"/>
          <w:lang w:eastAsia="zh-HK"/>
        </w:rPr>
        <w:t>]</w:t>
      </w:r>
    </w:p>
    <w:p w:rsidR="005078FC" w:rsidRPr="005078FC" w:rsidRDefault="005078FC">
      <w:pPr>
        <w:rPr>
          <w:rFonts w:ascii="Arial" w:hAnsi="Arial" w:cs="Arial"/>
          <w:sz w:val="22"/>
          <w:lang w:eastAsia="zh-HK"/>
        </w:rPr>
      </w:pPr>
    </w:p>
    <w:p w:rsidR="00BE3A40" w:rsidRDefault="00BE3A40">
      <w:pPr>
        <w:rPr>
          <w:rFonts w:ascii="Arial" w:hAnsi="Arial" w:cs="Arial"/>
          <w:sz w:val="22"/>
          <w:lang w:eastAsia="zh-HK"/>
        </w:rPr>
      </w:pPr>
      <w:r>
        <w:rPr>
          <w:rFonts w:ascii="Arial" w:hAnsi="Arial" w:cs="Arial" w:hint="eastAsia"/>
          <w:b/>
          <w:lang w:eastAsia="zh-HK"/>
        </w:rPr>
        <w:tab/>
      </w:r>
      <w:r>
        <w:rPr>
          <w:rFonts w:ascii="Arial" w:hAnsi="Arial" w:cs="Arial" w:hint="eastAsia"/>
          <w:b/>
          <w:lang w:eastAsia="zh-HK"/>
        </w:rPr>
        <w:tab/>
      </w:r>
      <w:r w:rsidRPr="009A288E">
        <w:rPr>
          <w:rFonts w:ascii="Arial" w:hAnsi="Arial" w:cs="Arial" w:hint="eastAsia"/>
          <w:b/>
          <w:lang w:eastAsia="zh-HK"/>
        </w:rPr>
        <w:t>5.1.</w:t>
      </w:r>
      <w:r>
        <w:rPr>
          <w:rFonts w:ascii="Arial" w:hAnsi="Arial" w:cs="Arial" w:hint="eastAsia"/>
          <w:b/>
          <w:lang w:eastAsia="zh-HK"/>
        </w:rPr>
        <w:t>4</w:t>
      </w:r>
      <w:r w:rsidRPr="009A288E">
        <w:rPr>
          <w:rFonts w:ascii="Arial" w:hAnsi="Arial" w:cs="Arial" w:hint="eastAsia"/>
          <w:b/>
          <w:lang w:eastAsia="zh-HK"/>
        </w:rPr>
        <w:t xml:space="preserve"> Consolidated </w:t>
      </w:r>
      <w:r>
        <w:rPr>
          <w:rFonts w:ascii="Arial" w:hAnsi="Arial" w:cs="Arial" w:hint="eastAsia"/>
          <w:b/>
          <w:lang w:eastAsia="zh-HK"/>
        </w:rPr>
        <w:t>Income Statement</w:t>
      </w:r>
    </w:p>
    <w:p w:rsidR="00714E92" w:rsidRDefault="00714E92">
      <w:pPr>
        <w:rPr>
          <w:rFonts w:ascii="Arial" w:hAnsi="Arial" w:cs="Arial"/>
          <w:sz w:val="22"/>
          <w:lang w:eastAsia="zh-HK"/>
        </w:rPr>
      </w:pPr>
    </w:p>
    <w:tbl>
      <w:tblPr>
        <w:tblW w:w="8980" w:type="dxa"/>
        <w:jc w:val="center"/>
        <w:tblInd w:w="13" w:type="dxa"/>
        <w:tblCellMar>
          <w:left w:w="28" w:type="dxa"/>
          <w:right w:w="28" w:type="dxa"/>
        </w:tblCellMar>
        <w:tblLook w:val="04A0"/>
      </w:tblPr>
      <w:tblGrid>
        <w:gridCol w:w="4580"/>
        <w:gridCol w:w="880"/>
        <w:gridCol w:w="880"/>
        <w:gridCol w:w="880"/>
        <w:gridCol w:w="880"/>
        <w:gridCol w:w="880"/>
      </w:tblGrid>
      <w:tr w:rsidR="00FF4C50" w:rsidRPr="00FF4C50" w:rsidTr="00A35553">
        <w:trPr>
          <w:trHeight w:val="345"/>
          <w:tblHeader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for the year ended 31 December in HK$ million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2014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2013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2012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2010</w:t>
            </w:r>
          </w:p>
        </w:tc>
      </w:tr>
      <w:tr w:rsidR="00FF4C50" w:rsidRPr="00FF4C50" w:rsidTr="00A35553">
        <w:trPr>
          <w:trHeight w:val="345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b/>
                <w:bCs/>
                <w:color w:val="974807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b/>
                <w:bCs/>
                <w:color w:val="974807"/>
                <w:kern w:val="0"/>
                <w:sz w:val="20"/>
                <w:szCs w:val="20"/>
              </w:rPr>
              <w:t>Profit for the 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15,797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13,208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13,671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15,688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12,172</w:t>
            </w:r>
          </w:p>
        </w:tc>
      </w:tr>
      <w:tr w:rsidR="00FF4C50" w:rsidRPr="00FF4C50" w:rsidTr="00A35553">
        <w:trPr>
          <w:trHeight w:val="900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b/>
                <w:bCs/>
                <w:color w:val="974807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b/>
                <w:bCs/>
                <w:color w:val="974807"/>
                <w:kern w:val="0"/>
                <w:sz w:val="20"/>
                <w:szCs w:val="20"/>
              </w:rPr>
              <w:lastRenderedPageBreak/>
              <w:t>Other comprehensive income for the year (after taxation and reclassification adjustments):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</w:tr>
      <w:tr w:rsidR="00FF4C50" w:rsidRPr="00FF4C50" w:rsidTr="00A35553">
        <w:trPr>
          <w:trHeight w:val="345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Items that will not be reclassified to profit or loss: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</w:tr>
      <w:tr w:rsidR="00FF4C50" w:rsidRPr="00FF4C50" w:rsidTr="00A35553">
        <w:trPr>
          <w:trHeight w:val="600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– Surplus on revaluation of self-occupied land and buildings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298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339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471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285</w:t>
            </w:r>
          </w:p>
        </w:tc>
      </w:tr>
      <w:tr w:rsidR="00FF4C50" w:rsidRPr="00FF4C50" w:rsidTr="00A35553">
        <w:trPr>
          <w:trHeight w:val="600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– Re</w:t>
            </w:r>
            <w:r w:rsidR="00C6231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zh-HK"/>
              </w:rPr>
              <w:t>-</w:t>
            </w: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measurement of net liability of defined benefit plans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-370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686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FF4C50" w:rsidRPr="00FF4C50" w:rsidTr="00A35553">
        <w:trPr>
          <w:trHeight w:val="345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-254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984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339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471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285</w:t>
            </w:r>
          </w:p>
        </w:tc>
      </w:tr>
      <w:tr w:rsidR="00FF4C50" w:rsidRPr="00FF4C50" w:rsidTr="00A35553">
        <w:trPr>
          <w:trHeight w:val="600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Items that may be reclassified subsequently to profit or loss: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</w:tr>
      <w:tr w:rsidR="00FF4C50" w:rsidRPr="00FF4C50" w:rsidTr="00A35553">
        <w:trPr>
          <w:trHeight w:val="345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– Exchange differences on translation of: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</w:tr>
      <w:tr w:rsidR="00FF4C50" w:rsidRPr="00FF4C50" w:rsidTr="00A35553">
        <w:trPr>
          <w:trHeight w:val="600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 xml:space="preserve">    – financial statements of overseas subsidiaries and associates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-95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146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141</w:t>
            </w:r>
          </w:p>
        </w:tc>
      </w:tr>
      <w:tr w:rsidR="00FF4C50" w:rsidRPr="00FF4C50" w:rsidTr="00A35553">
        <w:trPr>
          <w:trHeight w:val="345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 xml:space="preserve">    – non-controlling interests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-26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-35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FF4C50" w:rsidRPr="00FF4C50" w:rsidTr="00A35553">
        <w:trPr>
          <w:trHeight w:val="600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– Cash flow hedges: net movement in hedging reserve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-61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-12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-26</w:t>
            </w:r>
          </w:p>
        </w:tc>
      </w:tr>
      <w:tr w:rsidR="00FF4C50" w:rsidRPr="00FF4C50" w:rsidTr="00A35553">
        <w:trPr>
          <w:trHeight w:val="345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-84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131</w:t>
            </w:r>
          </w:p>
        </w:tc>
      </w:tr>
      <w:tr w:rsidR="00FF4C50" w:rsidRPr="00FF4C50" w:rsidTr="00A35553">
        <w:trPr>
          <w:trHeight w:val="345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-338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997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437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604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416</w:t>
            </w:r>
          </w:p>
        </w:tc>
      </w:tr>
      <w:tr w:rsidR="00FF4C50" w:rsidRPr="00FF4C50" w:rsidTr="00A35553">
        <w:trPr>
          <w:trHeight w:val="360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b/>
                <w:bCs/>
                <w:color w:val="974807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b/>
                <w:bCs/>
                <w:color w:val="974807"/>
                <w:kern w:val="0"/>
                <w:sz w:val="20"/>
                <w:szCs w:val="20"/>
              </w:rPr>
              <w:t>Total comprehensive income for the year</w:t>
            </w:r>
          </w:p>
        </w:tc>
        <w:tc>
          <w:tcPr>
            <w:tcW w:w="8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15,459</w:t>
            </w:r>
          </w:p>
        </w:tc>
        <w:tc>
          <w:tcPr>
            <w:tcW w:w="8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14,205</w:t>
            </w:r>
          </w:p>
        </w:tc>
        <w:tc>
          <w:tcPr>
            <w:tcW w:w="8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14,108</w:t>
            </w:r>
          </w:p>
        </w:tc>
        <w:tc>
          <w:tcPr>
            <w:tcW w:w="8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16,292</w:t>
            </w:r>
          </w:p>
        </w:tc>
        <w:tc>
          <w:tcPr>
            <w:tcW w:w="8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12,588</w:t>
            </w:r>
          </w:p>
        </w:tc>
      </w:tr>
      <w:tr w:rsidR="00FF4C50" w:rsidRPr="00FF4C50" w:rsidTr="00A35553">
        <w:trPr>
          <w:trHeight w:val="360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</w:tr>
      <w:tr w:rsidR="00FF4C50" w:rsidRPr="00FF4C50" w:rsidTr="00A35553">
        <w:trPr>
          <w:trHeight w:val="345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b/>
                <w:bCs/>
                <w:color w:val="974807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b/>
                <w:bCs/>
                <w:color w:val="974807"/>
                <w:kern w:val="0"/>
                <w:sz w:val="20"/>
                <w:szCs w:val="20"/>
              </w:rPr>
              <w:t>Attributable to: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</w:p>
        </w:tc>
      </w:tr>
      <w:tr w:rsidR="00FF4C50" w:rsidRPr="00FF4C50" w:rsidTr="00A35553">
        <w:trPr>
          <w:trHeight w:val="345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– Equity shareholders of the Company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15,294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14,057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13,966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16,161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12,459</w:t>
            </w:r>
          </w:p>
        </w:tc>
      </w:tr>
      <w:tr w:rsidR="00FF4C50" w:rsidRPr="00FF4C50" w:rsidTr="00A35553">
        <w:trPr>
          <w:trHeight w:val="345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– Non-controlling interests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165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148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142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129</w:t>
            </w:r>
          </w:p>
        </w:tc>
      </w:tr>
      <w:tr w:rsidR="00FF4C50" w:rsidRPr="00FF4C50" w:rsidTr="00A35553">
        <w:trPr>
          <w:trHeight w:val="360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4C50" w:rsidRPr="00FF4C50" w:rsidRDefault="00FF4C50" w:rsidP="00FF4C50">
            <w:pPr>
              <w:widowControl/>
              <w:rPr>
                <w:rFonts w:ascii="Arial Unicode MS" w:eastAsia="Arial Unicode MS" w:hAnsi="Arial Unicode MS" w:cs="Arial Unicode MS"/>
                <w:b/>
                <w:bCs/>
                <w:color w:val="974807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b/>
                <w:bCs/>
                <w:color w:val="974807"/>
                <w:kern w:val="0"/>
                <w:sz w:val="20"/>
                <w:szCs w:val="20"/>
              </w:rPr>
              <w:t>Total comprehensive income for the 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15,459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14,205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14,108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FF4C50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16,292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C50" w:rsidRPr="00FF4C50" w:rsidRDefault="00FF4C50" w:rsidP="007073FA">
            <w:pPr>
              <w:keepNext/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r w:rsidRPr="00FF4C5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12,588</w:t>
            </w:r>
          </w:p>
        </w:tc>
      </w:tr>
    </w:tbl>
    <w:p w:rsidR="007073FA" w:rsidRPr="007073FA" w:rsidRDefault="007073FA" w:rsidP="007073FA">
      <w:pPr>
        <w:pStyle w:val="aa"/>
        <w:jc w:val="center"/>
        <w:rPr>
          <w:rFonts w:ascii="Arial" w:hAnsi="Arial" w:cs="Arial"/>
          <w:i/>
          <w:sz w:val="22"/>
          <w:szCs w:val="22"/>
        </w:rPr>
      </w:pPr>
      <w:r w:rsidRPr="007073FA">
        <w:rPr>
          <w:rFonts w:ascii="Arial" w:hAnsi="Arial" w:cs="Arial"/>
          <w:i/>
          <w:sz w:val="22"/>
          <w:szCs w:val="22"/>
        </w:rPr>
        <w:t xml:space="preserve">Table </w:t>
      </w:r>
      <w:r w:rsidRPr="007073FA">
        <w:rPr>
          <w:rFonts w:ascii="Arial" w:hAnsi="Arial" w:cs="Arial"/>
          <w:i/>
          <w:sz w:val="22"/>
          <w:szCs w:val="22"/>
        </w:rPr>
        <w:fldChar w:fldCharType="begin"/>
      </w:r>
      <w:r w:rsidRPr="007073FA">
        <w:rPr>
          <w:rFonts w:ascii="Arial" w:hAnsi="Arial" w:cs="Arial"/>
          <w:i/>
          <w:sz w:val="22"/>
          <w:szCs w:val="22"/>
        </w:rPr>
        <w:instrText xml:space="preserve"> SEQ Table \* ARABIC </w:instrText>
      </w:r>
      <w:r w:rsidRPr="007073FA">
        <w:rPr>
          <w:rFonts w:ascii="Arial" w:hAnsi="Arial" w:cs="Arial"/>
          <w:i/>
          <w:sz w:val="22"/>
          <w:szCs w:val="22"/>
        </w:rPr>
        <w:fldChar w:fldCharType="separate"/>
      </w:r>
      <w:r w:rsidR="00E918EE">
        <w:rPr>
          <w:rFonts w:ascii="Arial" w:hAnsi="Arial" w:cs="Arial"/>
          <w:i/>
          <w:noProof/>
          <w:sz w:val="22"/>
          <w:szCs w:val="22"/>
        </w:rPr>
        <w:t>8</w:t>
      </w:r>
      <w:r w:rsidRPr="007073FA">
        <w:rPr>
          <w:rFonts w:ascii="Arial" w:hAnsi="Arial" w:cs="Arial"/>
          <w:i/>
          <w:sz w:val="22"/>
          <w:szCs w:val="22"/>
        </w:rPr>
        <w:fldChar w:fldCharType="end"/>
      </w:r>
      <w:r w:rsidRPr="007073FA">
        <w:rPr>
          <w:rFonts w:ascii="Arial" w:hAnsi="Arial" w:cs="Arial"/>
          <w:i/>
          <w:sz w:val="22"/>
          <w:szCs w:val="22"/>
          <w:lang w:eastAsia="zh-HK"/>
        </w:rPr>
        <w:t>: Consolidated comprehensive income statement for the last 5 years</w:t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t xml:space="preserve"> [</w:t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begin"/>
      </w:r>
      <w:r w:rsidR="00D31160">
        <w:rPr>
          <w:rFonts w:ascii="Arial" w:hAnsi="Arial" w:cs="Arial"/>
          <w:i/>
          <w:sz w:val="22"/>
          <w:szCs w:val="22"/>
          <w:lang w:eastAsia="zh-HK"/>
        </w:rPr>
        <w:instrText xml:space="preserve"> </w:instrText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instrText>REF _Ref448702403 \r \h</w:instrText>
      </w:r>
      <w:r w:rsidR="00D31160">
        <w:rPr>
          <w:rFonts w:ascii="Arial" w:hAnsi="Arial" w:cs="Arial"/>
          <w:i/>
          <w:sz w:val="22"/>
          <w:szCs w:val="22"/>
          <w:lang w:eastAsia="zh-HK"/>
        </w:rPr>
        <w:instrText xml:space="preserve"> </w:instrText>
      </w:r>
      <w:r w:rsidR="00D31160">
        <w:rPr>
          <w:rFonts w:ascii="Arial" w:hAnsi="Arial" w:cs="Arial"/>
          <w:i/>
          <w:sz w:val="22"/>
          <w:szCs w:val="22"/>
          <w:lang w:eastAsia="zh-HK"/>
        </w:rPr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separate"/>
      </w:r>
      <w:r w:rsidR="00D31160">
        <w:rPr>
          <w:rFonts w:ascii="Arial" w:hAnsi="Arial" w:cs="Arial"/>
          <w:i/>
          <w:sz w:val="22"/>
          <w:szCs w:val="22"/>
          <w:lang w:eastAsia="zh-HK"/>
        </w:rPr>
        <w:t>1</w:t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end"/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t>]</w:t>
      </w:r>
    </w:p>
    <w:p w:rsidR="00782354" w:rsidRDefault="00782354">
      <w:pPr>
        <w:rPr>
          <w:rFonts w:ascii="Arial" w:hAnsi="Arial" w:cs="Arial" w:hint="eastAsia"/>
          <w:sz w:val="22"/>
          <w:lang w:eastAsia="zh-HK"/>
        </w:rPr>
      </w:pPr>
    </w:p>
    <w:p w:rsidR="00827464" w:rsidRPr="00827464" w:rsidRDefault="0016651C">
      <w:pPr>
        <w:rPr>
          <w:rFonts w:ascii="Arial" w:hAnsi="Arial" w:cs="Arial"/>
          <w:sz w:val="22"/>
          <w:lang w:eastAsia="zh-HK"/>
        </w:rPr>
      </w:pPr>
      <w:r>
        <w:rPr>
          <w:rFonts w:ascii="Arial" w:hAnsi="Arial" w:cs="Arial" w:hint="eastAsia"/>
          <w:sz w:val="22"/>
          <w:lang w:eastAsia="zh-HK"/>
        </w:rPr>
        <w:t>Figures in the</w:t>
      </w:r>
      <w:r w:rsidR="00C6231B">
        <w:rPr>
          <w:rFonts w:ascii="Arial" w:hAnsi="Arial" w:cs="Arial" w:hint="eastAsia"/>
          <w:sz w:val="22"/>
          <w:lang w:eastAsia="zh-HK"/>
        </w:rPr>
        <w:t xml:space="preserve"> consolidated comprehensive income statement </w:t>
      </w:r>
      <w:r>
        <w:rPr>
          <w:rFonts w:ascii="Arial" w:hAnsi="Arial" w:cs="Arial" w:hint="eastAsia"/>
          <w:sz w:val="22"/>
          <w:lang w:eastAsia="zh-HK"/>
        </w:rPr>
        <w:t xml:space="preserve">correspond </w:t>
      </w:r>
      <w:r w:rsidR="00D91576">
        <w:rPr>
          <w:rFonts w:ascii="Arial" w:hAnsi="Arial" w:cs="Arial" w:hint="eastAsia"/>
          <w:sz w:val="22"/>
          <w:lang w:eastAsia="zh-HK"/>
        </w:rPr>
        <w:t xml:space="preserve">to the profit &amp; loss statement with no worrying entries observed. </w:t>
      </w:r>
      <w:r w:rsidR="00830303">
        <w:rPr>
          <w:rFonts w:ascii="Arial" w:hAnsi="Arial" w:cs="Arial" w:hint="eastAsia"/>
          <w:sz w:val="22"/>
          <w:lang w:eastAsia="zh-HK"/>
        </w:rPr>
        <w:t xml:space="preserve">Management of MTRC may keep an eye on items like re-measurement of net liability of defined benefit plans, exchange rate difference of overseas subsidiaries to prevent any unexpected </w:t>
      </w:r>
      <w:r w:rsidR="00ED17F3">
        <w:rPr>
          <w:rFonts w:ascii="Arial" w:hAnsi="Arial" w:cs="Arial" w:hint="eastAsia"/>
          <w:sz w:val="22"/>
          <w:lang w:eastAsia="zh-HK"/>
        </w:rPr>
        <w:t>financial losses</w:t>
      </w:r>
      <w:r w:rsidR="00830303">
        <w:rPr>
          <w:rFonts w:ascii="Arial" w:hAnsi="Arial" w:cs="Arial" w:hint="eastAsia"/>
          <w:sz w:val="22"/>
          <w:lang w:eastAsia="zh-HK"/>
        </w:rPr>
        <w:t>.</w:t>
      </w:r>
    </w:p>
    <w:p w:rsidR="007B6C74" w:rsidRPr="00ED17F3" w:rsidRDefault="007B6C74">
      <w:pPr>
        <w:rPr>
          <w:rFonts w:ascii="Arial" w:hAnsi="Arial" w:cs="Arial"/>
          <w:sz w:val="22"/>
          <w:lang w:eastAsia="zh-HK"/>
        </w:rPr>
      </w:pPr>
    </w:p>
    <w:p w:rsidR="00BE3A40" w:rsidRDefault="00BE3A40">
      <w:pPr>
        <w:rPr>
          <w:rFonts w:ascii="Arial" w:hAnsi="Arial" w:cs="Arial"/>
          <w:sz w:val="22"/>
          <w:lang w:eastAsia="zh-HK"/>
        </w:rPr>
      </w:pPr>
      <w:r>
        <w:rPr>
          <w:rFonts w:ascii="Arial" w:hAnsi="Arial" w:cs="Arial" w:hint="eastAsia"/>
          <w:b/>
          <w:lang w:eastAsia="zh-HK"/>
        </w:rPr>
        <w:tab/>
      </w:r>
      <w:r>
        <w:rPr>
          <w:rFonts w:ascii="Arial" w:hAnsi="Arial" w:cs="Arial" w:hint="eastAsia"/>
          <w:b/>
          <w:lang w:eastAsia="zh-HK"/>
        </w:rPr>
        <w:tab/>
      </w:r>
      <w:r w:rsidRPr="009A288E">
        <w:rPr>
          <w:rFonts w:ascii="Arial" w:hAnsi="Arial" w:cs="Arial" w:hint="eastAsia"/>
          <w:b/>
          <w:lang w:eastAsia="zh-HK"/>
        </w:rPr>
        <w:t>5.1.</w:t>
      </w:r>
      <w:r>
        <w:rPr>
          <w:rFonts w:ascii="Arial" w:hAnsi="Arial" w:cs="Arial" w:hint="eastAsia"/>
          <w:b/>
          <w:lang w:eastAsia="zh-HK"/>
        </w:rPr>
        <w:t>5</w:t>
      </w:r>
      <w:r w:rsidR="00DE6473">
        <w:rPr>
          <w:rFonts w:ascii="Arial" w:hAnsi="Arial" w:cs="Arial" w:hint="eastAsia"/>
          <w:b/>
          <w:lang w:eastAsia="zh-HK"/>
        </w:rPr>
        <w:t xml:space="preserve"> </w:t>
      </w:r>
      <w:r>
        <w:rPr>
          <w:rFonts w:ascii="Arial" w:hAnsi="Arial" w:cs="Arial" w:hint="eastAsia"/>
          <w:b/>
          <w:lang w:eastAsia="zh-HK"/>
        </w:rPr>
        <w:t>Retained Earnings Statement</w:t>
      </w:r>
    </w:p>
    <w:p w:rsidR="00BE3A40" w:rsidRDefault="00BE3A40">
      <w:pPr>
        <w:rPr>
          <w:rFonts w:ascii="Arial" w:hAnsi="Arial" w:cs="Arial"/>
          <w:sz w:val="22"/>
          <w:lang w:eastAsia="zh-HK"/>
        </w:rPr>
      </w:pPr>
    </w:p>
    <w:tbl>
      <w:tblPr>
        <w:tblW w:w="8986" w:type="dxa"/>
        <w:jc w:val="center"/>
        <w:tblCellMar>
          <w:left w:w="28" w:type="dxa"/>
          <w:right w:w="28" w:type="dxa"/>
        </w:tblCellMar>
        <w:tblLook w:val="04A0"/>
      </w:tblPr>
      <w:tblGrid>
        <w:gridCol w:w="4386"/>
        <w:gridCol w:w="920"/>
        <w:gridCol w:w="920"/>
        <w:gridCol w:w="920"/>
        <w:gridCol w:w="920"/>
        <w:gridCol w:w="920"/>
      </w:tblGrid>
      <w:tr w:rsidR="0013787B" w:rsidRPr="0013787B" w:rsidTr="0013787B">
        <w:trPr>
          <w:trHeight w:val="345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for the year ended 31 December in HK$ million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2010</w:t>
            </w:r>
          </w:p>
        </w:tc>
      </w:tr>
      <w:tr w:rsidR="0013787B" w:rsidRPr="0013787B" w:rsidTr="0013787B">
        <w:trPr>
          <w:trHeight w:val="510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3787B" w:rsidRPr="0013787B" w:rsidRDefault="0013787B" w:rsidP="0013787B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Balance as at 1 January (start of the current financial year)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104,965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95,832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85,506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71,781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62,705</w:t>
            </w:r>
          </w:p>
        </w:tc>
      </w:tr>
      <w:tr w:rsidR="0013787B" w:rsidRPr="0013787B" w:rsidTr="0013787B">
        <w:trPr>
          <w:trHeight w:val="345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lastRenderedPageBreak/>
              <w:t>Profit for the current year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15,606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13,025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13,375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15,556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12,059</w:t>
            </w:r>
          </w:p>
        </w:tc>
      </w:tr>
      <w:tr w:rsidR="0013787B" w:rsidRPr="0013787B" w:rsidTr="0013787B">
        <w:trPr>
          <w:trHeight w:val="345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Other comprehensive income for the current year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1,344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2,208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13787B" w:rsidRPr="0013787B" w:rsidTr="0013787B">
        <w:trPr>
          <w:trHeight w:val="345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Total comprehensive income for the current year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15,236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13,711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14,719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17,764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12,059</w:t>
            </w:r>
          </w:p>
        </w:tc>
      </w:tr>
      <w:tr w:rsidR="0013787B" w:rsidRPr="0013787B" w:rsidTr="0013787B">
        <w:trPr>
          <w:trHeight w:val="345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Final dividend of previous year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-3,886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-3,130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-2,951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-2,598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-2,177</w:t>
            </w:r>
          </w:p>
        </w:tc>
      </w:tr>
      <w:tr w:rsidR="0013787B" w:rsidRPr="0013787B" w:rsidTr="0013787B">
        <w:trPr>
          <w:trHeight w:val="345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Interim dividend of the current year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-1,455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-1,450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-1,447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-1,446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-807</w:t>
            </w:r>
          </w:p>
        </w:tc>
      </w:tr>
      <w:tr w:rsidR="0013787B" w:rsidRPr="0013787B" w:rsidTr="0013787B">
        <w:trPr>
          <w:trHeight w:val="345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Employee share options forfeited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13787B" w:rsidRPr="0013787B" w:rsidTr="0013787B">
        <w:trPr>
          <w:trHeight w:val="525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3787B" w:rsidRPr="0013787B" w:rsidRDefault="0013787B" w:rsidP="0013787B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Balance as at 31 December (end of the current financial year)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114,863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104,965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95,832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13787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85,506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787B" w:rsidRPr="0013787B" w:rsidRDefault="0013787B" w:rsidP="00E918EE">
            <w:pPr>
              <w:keepNext/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13787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71,781</w:t>
            </w:r>
          </w:p>
        </w:tc>
      </w:tr>
    </w:tbl>
    <w:p w:rsidR="00E918EE" w:rsidRPr="00E918EE" w:rsidRDefault="00E918EE" w:rsidP="00E918EE">
      <w:pPr>
        <w:pStyle w:val="aa"/>
        <w:jc w:val="center"/>
        <w:rPr>
          <w:rFonts w:ascii="Arial" w:hAnsi="Arial" w:cs="Arial"/>
          <w:i/>
          <w:sz w:val="22"/>
          <w:szCs w:val="22"/>
        </w:rPr>
      </w:pPr>
      <w:r w:rsidRPr="00E918EE">
        <w:rPr>
          <w:rFonts w:ascii="Arial" w:hAnsi="Arial" w:cs="Arial"/>
          <w:i/>
          <w:sz w:val="22"/>
          <w:szCs w:val="22"/>
        </w:rPr>
        <w:t xml:space="preserve">Table </w:t>
      </w:r>
      <w:r w:rsidRPr="00E918EE">
        <w:rPr>
          <w:rFonts w:ascii="Arial" w:hAnsi="Arial" w:cs="Arial"/>
          <w:i/>
          <w:sz w:val="22"/>
          <w:szCs w:val="22"/>
        </w:rPr>
        <w:fldChar w:fldCharType="begin"/>
      </w:r>
      <w:r w:rsidRPr="00E918EE">
        <w:rPr>
          <w:rFonts w:ascii="Arial" w:hAnsi="Arial" w:cs="Arial"/>
          <w:i/>
          <w:sz w:val="22"/>
          <w:szCs w:val="22"/>
        </w:rPr>
        <w:instrText xml:space="preserve"> SEQ Table \* ARABIC </w:instrText>
      </w:r>
      <w:r w:rsidRPr="00E918EE">
        <w:rPr>
          <w:rFonts w:ascii="Arial" w:hAnsi="Arial" w:cs="Arial"/>
          <w:i/>
          <w:sz w:val="22"/>
          <w:szCs w:val="22"/>
        </w:rPr>
        <w:fldChar w:fldCharType="separate"/>
      </w:r>
      <w:r>
        <w:rPr>
          <w:rFonts w:ascii="Arial" w:hAnsi="Arial" w:cs="Arial"/>
          <w:i/>
          <w:noProof/>
          <w:sz w:val="22"/>
          <w:szCs w:val="22"/>
        </w:rPr>
        <w:t>9</w:t>
      </w:r>
      <w:r w:rsidRPr="00E918EE">
        <w:rPr>
          <w:rFonts w:ascii="Arial" w:hAnsi="Arial" w:cs="Arial"/>
          <w:i/>
          <w:sz w:val="22"/>
          <w:szCs w:val="22"/>
        </w:rPr>
        <w:fldChar w:fldCharType="end"/>
      </w:r>
      <w:r w:rsidRPr="00E918EE">
        <w:rPr>
          <w:rFonts w:ascii="Arial" w:hAnsi="Arial" w:cs="Arial"/>
          <w:i/>
          <w:sz w:val="22"/>
          <w:szCs w:val="22"/>
          <w:lang w:eastAsia="zh-HK"/>
        </w:rPr>
        <w:t>: Retained earnings for the last 5 years</w:t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t xml:space="preserve"> [</w:t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begin"/>
      </w:r>
      <w:r w:rsidR="00D31160">
        <w:rPr>
          <w:rFonts w:ascii="Arial" w:hAnsi="Arial" w:cs="Arial"/>
          <w:i/>
          <w:sz w:val="22"/>
          <w:szCs w:val="22"/>
          <w:lang w:eastAsia="zh-HK"/>
        </w:rPr>
        <w:instrText xml:space="preserve"> </w:instrText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instrText>REF _Ref448702403 \r \h</w:instrText>
      </w:r>
      <w:r w:rsidR="00D31160">
        <w:rPr>
          <w:rFonts w:ascii="Arial" w:hAnsi="Arial" w:cs="Arial"/>
          <w:i/>
          <w:sz w:val="22"/>
          <w:szCs w:val="22"/>
          <w:lang w:eastAsia="zh-HK"/>
        </w:rPr>
        <w:instrText xml:space="preserve"> </w:instrText>
      </w:r>
      <w:r w:rsidR="00D31160">
        <w:rPr>
          <w:rFonts w:ascii="Arial" w:hAnsi="Arial" w:cs="Arial"/>
          <w:i/>
          <w:sz w:val="22"/>
          <w:szCs w:val="22"/>
          <w:lang w:eastAsia="zh-HK"/>
        </w:rPr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separate"/>
      </w:r>
      <w:r w:rsidR="00D31160">
        <w:rPr>
          <w:rFonts w:ascii="Arial" w:hAnsi="Arial" w:cs="Arial"/>
          <w:i/>
          <w:sz w:val="22"/>
          <w:szCs w:val="22"/>
          <w:lang w:eastAsia="zh-HK"/>
        </w:rPr>
        <w:t>1</w:t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end"/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t>]</w:t>
      </w:r>
    </w:p>
    <w:p w:rsidR="0013787B" w:rsidRPr="0013787B" w:rsidRDefault="0013787B">
      <w:pPr>
        <w:rPr>
          <w:rFonts w:ascii="Arial" w:hAnsi="Arial" w:cs="Arial"/>
          <w:sz w:val="22"/>
          <w:lang w:eastAsia="zh-HK"/>
        </w:rPr>
      </w:pPr>
    </w:p>
    <w:p w:rsidR="00BE3A40" w:rsidRDefault="00BE3A40">
      <w:pPr>
        <w:rPr>
          <w:rFonts w:ascii="Arial" w:hAnsi="Arial" w:cs="Arial"/>
          <w:sz w:val="22"/>
          <w:lang w:eastAsia="zh-HK"/>
        </w:rPr>
      </w:pPr>
      <w:r>
        <w:rPr>
          <w:rFonts w:ascii="Arial" w:hAnsi="Arial" w:cs="Arial" w:hint="eastAsia"/>
          <w:sz w:val="22"/>
          <w:lang w:eastAsia="zh-HK"/>
        </w:rPr>
        <w:t>As seen from the table</w:t>
      </w:r>
      <w:r w:rsidR="008D375F">
        <w:rPr>
          <w:rFonts w:ascii="Arial" w:hAnsi="Arial" w:cs="Arial" w:hint="eastAsia"/>
          <w:sz w:val="22"/>
          <w:lang w:eastAsia="zh-HK"/>
        </w:rPr>
        <w:t xml:space="preserve"> above</w:t>
      </w:r>
      <w:r>
        <w:rPr>
          <w:rFonts w:ascii="Arial" w:hAnsi="Arial" w:cs="Arial" w:hint="eastAsia"/>
          <w:sz w:val="22"/>
          <w:lang w:eastAsia="zh-HK"/>
        </w:rPr>
        <w:t>, with a stable level of profit</w:t>
      </w:r>
      <w:r w:rsidR="00AD7C61">
        <w:rPr>
          <w:rFonts w:ascii="Arial" w:hAnsi="Arial" w:cs="Arial" w:hint="eastAsia"/>
          <w:sz w:val="22"/>
          <w:lang w:eastAsia="zh-HK"/>
        </w:rPr>
        <w:t xml:space="preserve">, the retained </w:t>
      </w:r>
      <w:r w:rsidR="00AD7C61">
        <w:rPr>
          <w:rFonts w:ascii="Arial" w:hAnsi="Arial" w:cs="Arial"/>
          <w:sz w:val="22"/>
          <w:lang w:eastAsia="zh-HK"/>
        </w:rPr>
        <w:t>earnings</w:t>
      </w:r>
      <w:r w:rsidR="00AD7C61">
        <w:rPr>
          <w:rFonts w:ascii="Arial" w:hAnsi="Arial" w:cs="Arial" w:hint="eastAsia"/>
          <w:sz w:val="22"/>
          <w:lang w:eastAsia="zh-HK"/>
        </w:rPr>
        <w:t xml:space="preserve"> of MTRC in 2014</w:t>
      </w:r>
      <w:r w:rsidR="00F312ED">
        <w:rPr>
          <w:rFonts w:ascii="Arial" w:hAnsi="Arial" w:cs="Arial" w:hint="eastAsia"/>
          <w:sz w:val="22"/>
          <w:lang w:eastAsia="zh-HK"/>
        </w:rPr>
        <w:t xml:space="preserve"> </w:t>
      </w:r>
      <w:r w:rsidR="00AD7C61">
        <w:rPr>
          <w:rFonts w:ascii="Arial" w:hAnsi="Arial" w:cs="Arial" w:hint="eastAsia"/>
          <w:sz w:val="22"/>
          <w:lang w:eastAsia="zh-HK"/>
        </w:rPr>
        <w:t xml:space="preserve">accumulated to $114,863 million which was a </w:t>
      </w:r>
      <w:r w:rsidR="00754185">
        <w:rPr>
          <w:rFonts w:ascii="Arial" w:hAnsi="Arial" w:cs="Arial" w:hint="eastAsia"/>
          <w:sz w:val="22"/>
          <w:lang w:eastAsia="zh-HK"/>
        </w:rPr>
        <w:t xml:space="preserve">positive trend. </w:t>
      </w:r>
    </w:p>
    <w:p w:rsidR="00BE3A40" w:rsidRDefault="00BE3A40">
      <w:pPr>
        <w:rPr>
          <w:rFonts w:ascii="Arial" w:hAnsi="Arial" w:cs="Arial"/>
          <w:sz w:val="22"/>
          <w:lang w:eastAsia="zh-HK"/>
        </w:rPr>
      </w:pPr>
    </w:p>
    <w:p w:rsidR="00BE3A40" w:rsidRDefault="00BE3A40">
      <w:pPr>
        <w:rPr>
          <w:rFonts w:ascii="Arial" w:hAnsi="Arial" w:cs="Arial"/>
          <w:sz w:val="22"/>
          <w:lang w:eastAsia="zh-HK"/>
        </w:rPr>
      </w:pPr>
      <w:r>
        <w:rPr>
          <w:rFonts w:ascii="Arial" w:hAnsi="Arial" w:cs="Arial" w:hint="eastAsia"/>
          <w:b/>
          <w:lang w:eastAsia="zh-HK"/>
        </w:rPr>
        <w:tab/>
      </w:r>
      <w:r>
        <w:rPr>
          <w:rFonts w:ascii="Arial" w:hAnsi="Arial" w:cs="Arial" w:hint="eastAsia"/>
          <w:b/>
          <w:lang w:eastAsia="zh-HK"/>
        </w:rPr>
        <w:tab/>
      </w:r>
      <w:r w:rsidRPr="009A288E">
        <w:rPr>
          <w:rFonts w:ascii="Arial" w:hAnsi="Arial" w:cs="Arial" w:hint="eastAsia"/>
          <w:b/>
          <w:lang w:eastAsia="zh-HK"/>
        </w:rPr>
        <w:t>5.1.</w:t>
      </w:r>
      <w:r>
        <w:rPr>
          <w:rFonts w:ascii="Arial" w:hAnsi="Arial" w:cs="Arial" w:hint="eastAsia"/>
          <w:b/>
          <w:lang w:eastAsia="zh-HK"/>
        </w:rPr>
        <w:t>6</w:t>
      </w:r>
      <w:r w:rsidR="00DE6473">
        <w:rPr>
          <w:rFonts w:ascii="Arial" w:hAnsi="Arial" w:cs="Arial" w:hint="eastAsia"/>
          <w:b/>
          <w:lang w:eastAsia="zh-HK"/>
        </w:rPr>
        <w:t xml:space="preserve"> </w:t>
      </w:r>
      <w:r w:rsidR="008D375F">
        <w:rPr>
          <w:rFonts w:ascii="Arial" w:hAnsi="Arial" w:cs="Arial" w:hint="eastAsia"/>
          <w:b/>
          <w:lang w:eastAsia="zh-HK"/>
        </w:rPr>
        <w:t>Consolidated</w:t>
      </w:r>
      <w:r>
        <w:rPr>
          <w:rFonts w:ascii="Arial" w:hAnsi="Arial" w:cs="Arial" w:hint="eastAsia"/>
          <w:b/>
          <w:lang w:eastAsia="zh-HK"/>
        </w:rPr>
        <w:t xml:space="preserve"> Cash Flow Statement</w:t>
      </w:r>
    </w:p>
    <w:p w:rsidR="00BE3A40" w:rsidRDefault="00BE3A40">
      <w:pPr>
        <w:rPr>
          <w:rFonts w:ascii="Arial" w:hAnsi="Arial" w:cs="Arial"/>
          <w:sz w:val="22"/>
          <w:lang w:eastAsia="zh-HK"/>
        </w:rPr>
      </w:pPr>
    </w:p>
    <w:tbl>
      <w:tblPr>
        <w:tblW w:w="9360" w:type="dxa"/>
        <w:jc w:val="center"/>
        <w:tblInd w:w="14" w:type="dxa"/>
        <w:tblCellMar>
          <w:left w:w="28" w:type="dxa"/>
          <w:right w:w="28" w:type="dxa"/>
        </w:tblCellMar>
        <w:tblLook w:val="04A0"/>
      </w:tblPr>
      <w:tblGrid>
        <w:gridCol w:w="4760"/>
        <w:gridCol w:w="920"/>
        <w:gridCol w:w="920"/>
        <w:gridCol w:w="920"/>
        <w:gridCol w:w="920"/>
        <w:gridCol w:w="920"/>
      </w:tblGrid>
      <w:tr w:rsidR="002F4B5B" w:rsidRPr="002F4B5B" w:rsidTr="00A35553">
        <w:trPr>
          <w:trHeight w:val="345"/>
          <w:tblHeader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for the year ended 31 December in HK$ million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AC090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2010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Cash flows from operating activities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Cash generated from operations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16,519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15,446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14,701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12,489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11,920</w:t>
            </w:r>
          </w:p>
        </w:tc>
      </w:tr>
      <w:tr w:rsidR="002F4B5B" w:rsidRPr="002F4B5B" w:rsidTr="00A35553">
        <w:trPr>
          <w:trHeight w:val="510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Receipt of government subsidy for Shenzhen Metro Longhua Line operation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652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661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637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638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Current tax paid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Hong Kong Profits Tax paid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-954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-1,183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-1,699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-1,949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-1,007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Mainland of China and overseas tax paid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-173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-154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Net cash generated from operating activities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16,044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14,764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13,539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11,024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10,909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Cash flows from investing activities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Capital expenditure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2F4B5B" w:rsidRPr="002F4B5B" w:rsidTr="00A35553">
        <w:trPr>
          <w:trHeight w:val="510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Purchase of assets for Hong Kong transport and related operations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-2,889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-2,790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-2,327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-2,102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-1,953</w:t>
            </w:r>
          </w:p>
        </w:tc>
      </w:tr>
      <w:tr w:rsidR="002F4B5B" w:rsidRPr="002F4B5B" w:rsidTr="00A35553">
        <w:trPr>
          <w:trHeight w:val="510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Shenzhen Metro Longhua Line Project and related operations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-471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-577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-852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-1,385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-1,846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Island Line Extension Project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-2,760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-2,537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-2,897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-3,111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-3,218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South Island Line (East) Project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-2,611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-3,283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-2,480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-1,467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-347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Kwun Tong Line Extension Project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-969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-1,029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-976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-190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Shenzhen Longhua Line Depot Property Development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-681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-2,146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Hong Kong Property Development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-550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-1,440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-1,075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-4,444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– Investment property projects and fitting out work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-1,497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-366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-255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-173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lastRenderedPageBreak/>
              <w:t>– Other capital projects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-71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-165</w:t>
            </w:r>
          </w:p>
        </w:tc>
      </w:tr>
      <w:tr w:rsidR="002F4B5B" w:rsidRPr="002F4B5B" w:rsidTr="00A35553">
        <w:trPr>
          <w:trHeight w:val="510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Net cash (payment)/receipt in respect of entrustment works of Shatin to Central Link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170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84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Fixed annual payment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-750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-750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-750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-750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-750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Variable annual payment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-1,247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-883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-647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</w:tr>
      <w:tr w:rsidR="002F4B5B" w:rsidRPr="002F4B5B" w:rsidTr="00A35553">
        <w:trPr>
          <w:trHeight w:val="510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Receipts in respect of Hong Kong property development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9,176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3,937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5,677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1,593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5,249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Receipt of loan repayment from a property developer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2,000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</w:tr>
      <w:tr w:rsidR="002F4B5B" w:rsidRPr="002F4B5B" w:rsidTr="00A35553">
        <w:trPr>
          <w:trHeight w:val="510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Receipt of government grant for West Island Line Project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12,252</w:t>
            </w:r>
          </w:p>
        </w:tc>
      </w:tr>
      <w:tr w:rsidR="002F4B5B" w:rsidRPr="002F4B5B" w:rsidTr="00A35553">
        <w:trPr>
          <w:trHeight w:val="510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Decrease / (Increase) in bank deposits with more than three months to maturity when placed or pledged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6,607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3,463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-831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-3,063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-9,610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Purchase of investments in securities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-192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-3,844</w:t>
            </w:r>
          </w:p>
        </w:tc>
      </w:tr>
      <w:tr w:rsidR="002F4B5B" w:rsidRPr="002F4B5B" w:rsidTr="00A35553">
        <w:trPr>
          <w:trHeight w:val="510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Proceeds from sale or redemption of investments in securities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2,846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1,094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159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Proceeds from disposal of fixed assets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Investment in an associate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-294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-1,111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-2,734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Proceeds from disposal of an associate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Receipt of loan repayment from an associate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Settlement of loan repayment to an associate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</w:tr>
      <w:tr w:rsidR="002F4B5B" w:rsidRPr="002F4B5B" w:rsidTr="00A35553">
        <w:trPr>
          <w:trHeight w:val="510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Dividends received from and non-controlled subsidiaries and associates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197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465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144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2F4B5B" w:rsidRPr="002F4B5B" w:rsidTr="00A35553">
        <w:trPr>
          <w:trHeight w:val="510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Net cash generated from/(used in) investing activities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1,131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-8,495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-7,475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-9,055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-8,714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Cash flows from financing activities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Proceeds from shares issued under share option schemes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136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186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Drawdown of loans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11,171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2,229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1,392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8,153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Proceeds from issuance of capital market instruments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543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3,248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5,998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2,198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Repayment of loans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-10,205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-918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-6,319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-1,111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-5,390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Repayment of capital market instruments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-5,158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-3,336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-500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-5,778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Interest paid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-791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-967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-727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-603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-861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Interest received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253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342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194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123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Finance charges paid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-53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-19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lastRenderedPageBreak/>
              <w:t>Dividends paid to equity shareholders of the Company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-4,944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-4,580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-4,398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-3,754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-1,814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Dividends paid to holders of non-controlling interests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-153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-192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-121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-88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-58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b/>
                <w:bCs/>
                <w:color w:val="974807"/>
                <w:kern w:val="0"/>
                <w:sz w:val="20"/>
                <w:szCs w:val="20"/>
              </w:rPr>
              <w:t>Net cash used in financing activities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-8,971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-4,165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-4,386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-2,250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-5,581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Net increase in cash and cash equivalents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8,204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2,104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1,678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-281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-3,386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Cash and cash equivalents at 1 January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7,209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5,105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3,427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3,708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7,094</w:t>
            </w:r>
          </w:p>
        </w:tc>
      </w:tr>
      <w:tr w:rsidR="002F4B5B" w:rsidRPr="002F4B5B" w:rsidTr="00A35553">
        <w:trPr>
          <w:trHeight w:val="345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4B5B" w:rsidRPr="002F4B5B" w:rsidRDefault="002F4B5B" w:rsidP="002F4B5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Cash and cash equivalents at 31 December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15,413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7,209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5,105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2F4B5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3,427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B5B" w:rsidRPr="002F4B5B" w:rsidRDefault="002F4B5B" w:rsidP="00E918EE">
            <w:pPr>
              <w:keepNext/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2F4B5B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3,708</w:t>
            </w:r>
          </w:p>
        </w:tc>
      </w:tr>
    </w:tbl>
    <w:p w:rsidR="00E918EE" w:rsidRPr="00E918EE" w:rsidRDefault="00E918EE" w:rsidP="00E918EE">
      <w:pPr>
        <w:pStyle w:val="aa"/>
        <w:jc w:val="center"/>
        <w:rPr>
          <w:rFonts w:ascii="Arial" w:hAnsi="Arial" w:cs="Arial"/>
          <w:i/>
          <w:sz w:val="22"/>
          <w:szCs w:val="22"/>
        </w:rPr>
      </w:pPr>
      <w:r w:rsidRPr="00E918EE">
        <w:rPr>
          <w:rFonts w:ascii="Arial" w:hAnsi="Arial" w:cs="Arial"/>
          <w:i/>
          <w:sz w:val="22"/>
          <w:szCs w:val="22"/>
        </w:rPr>
        <w:t xml:space="preserve">Table </w:t>
      </w:r>
      <w:r w:rsidRPr="00E918EE">
        <w:rPr>
          <w:rFonts w:ascii="Arial" w:hAnsi="Arial" w:cs="Arial"/>
          <w:i/>
          <w:sz w:val="22"/>
          <w:szCs w:val="22"/>
        </w:rPr>
        <w:fldChar w:fldCharType="begin"/>
      </w:r>
      <w:r w:rsidRPr="00E918EE">
        <w:rPr>
          <w:rFonts w:ascii="Arial" w:hAnsi="Arial" w:cs="Arial"/>
          <w:i/>
          <w:sz w:val="22"/>
          <w:szCs w:val="22"/>
        </w:rPr>
        <w:instrText xml:space="preserve"> SEQ Table \* ARABIC </w:instrText>
      </w:r>
      <w:r w:rsidRPr="00E918EE">
        <w:rPr>
          <w:rFonts w:ascii="Arial" w:hAnsi="Arial" w:cs="Arial"/>
          <w:i/>
          <w:sz w:val="22"/>
          <w:szCs w:val="22"/>
        </w:rPr>
        <w:fldChar w:fldCharType="separate"/>
      </w:r>
      <w:r w:rsidRPr="00E918EE">
        <w:rPr>
          <w:rFonts w:ascii="Arial" w:hAnsi="Arial" w:cs="Arial"/>
          <w:i/>
          <w:noProof/>
          <w:sz w:val="22"/>
          <w:szCs w:val="22"/>
        </w:rPr>
        <w:t>10</w:t>
      </w:r>
      <w:r w:rsidRPr="00E918EE">
        <w:rPr>
          <w:rFonts w:ascii="Arial" w:hAnsi="Arial" w:cs="Arial"/>
          <w:i/>
          <w:sz w:val="22"/>
          <w:szCs w:val="22"/>
        </w:rPr>
        <w:fldChar w:fldCharType="end"/>
      </w:r>
      <w:r w:rsidRPr="00E918EE">
        <w:rPr>
          <w:rFonts w:ascii="Arial" w:hAnsi="Arial" w:cs="Arial"/>
          <w:i/>
          <w:sz w:val="22"/>
          <w:szCs w:val="22"/>
          <w:lang w:eastAsia="zh-HK"/>
        </w:rPr>
        <w:t>: Consolidated cash flow statement for the last 5 years</w:t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t xml:space="preserve"> [</w:t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begin"/>
      </w:r>
      <w:r w:rsidR="00D31160">
        <w:rPr>
          <w:rFonts w:ascii="Arial" w:hAnsi="Arial" w:cs="Arial"/>
          <w:i/>
          <w:sz w:val="22"/>
          <w:szCs w:val="22"/>
          <w:lang w:eastAsia="zh-HK"/>
        </w:rPr>
        <w:instrText xml:space="preserve"> </w:instrText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instrText>REF _Ref448702403 \r \h</w:instrText>
      </w:r>
      <w:r w:rsidR="00D31160">
        <w:rPr>
          <w:rFonts w:ascii="Arial" w:hAnsi="Arial" w:cs="Arial"/>
          <w:i/>
          <w:sz w:val="22"/>
          <w:szCs w:val="22"/>
          <w:lang w:eastAsia="zh-HK"/>
        </w:rPr>
        <w:instrText xml:space="preserve"> </w:instrText>
      </w:r>
      <w:r w:rsidR="00D31160">
        <w:rPr>
          <w:rFonts w:ascii="Arial" w:hAnsi="Arial" w:cs="Arial"/>
          <w:i/>
          <w:sz w:val="22"/>
          <w:szCs w:val="22"/>
          <w:lang w:eastAsia="zh-HK"/>
        </w:rPr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separate"/>
      </w:r>
      <w:r w:rsidR="00D31160">
        <w:rPr>
          <w:rFonts w:ascii="Arial" w:hAnsi="Arial" w:cs="Arial"/>
          <w:i/>
          <w:sz w:val="22"/>
          <w:szCs w:val="22"/>
          <w:lang w:eastAsia="zh-HK"/>
        </w:rPr>
        <w:t>1</w:t>
      </w:r>
      <w:r w:rsidR="00D31160">
        <w:rPr>
          <w:rFonts w:ascii="Arial" w:hAnsi="Arial" w:cs="Arial"/>
          <w:i/>
          <w:sz w:val="22"/>
          <w:szCs w:val="22"/>
          <w:lang w:eastAsia="zh-HK"/>
        </w:rPr>
        <w:fldChar w:fldCharType="end"/>
      </w:r>
      <w:r w:rsidR="00D31160">
        <w:rPr>
          <w:rFonts w:ascii="Arial" w:hAnsi="Arial" w:cs="Arial" w:hint="eastAsia"/>
          <w:i/>
          <w:sz w:val="22"/>
          <w:szCs w:val="22"/>
          <w:lang w:eastAsia="zh-HK"/>
        </w:rPr>
        <w:t>]</w:t>
      </w:r>
    </w:p>
    <w:p w:rsidR="00C470D0" w:rsidRDefault="00C470D0">
      <w:pPr>
        <w:rPr>
          <w:rFonts w:ascii="Arial" w:hAnsi="Arial" w:cs="Arial" w:hint="eastAsia"/>
          <w:sz w:val="22"/>
          <w:lang w:eastAsia="zh-HK"/>
        </w:rPr>
      </w:pPr>
    </w:p>
    <w:p w:rsidR="003B55AD" w:rsidRDefault="00CB33BB">
      <w:pPr>
        <w:rPr>
          <w:rFonts w:ascii="Arial" w:hAnsi="Arial" w:cs="Arial" w:hint="eastAsia"/>
          <w:sz w:val="22"/>
          <w:lang w:eastAsia="zh-HK"/>
        </w:rPr>
      </w:pPr>
      <w:r>
        <w:rPr>
          <w:rFonts w:ascii="Arial" w:hAnsi="Arial" w:cs="Arial" w:hint="eastAsia"/>
          <w:sz w:val="22"/>
          <w:lang w:eastAsia="zh-HK"/>
        </w:rPr>
        <w:t>The consolidated cash flow statement for the last 5 years is shown in the table above. T</w:t>
      </w:r>
      <w:r w:rsidR="003B55AD">
        <w:rPr>
          <w:rFonts w:ascii="Arial" w:hAnsi="Arial" w:cs="Arial" w:hint="eastAsia"/>
          <w:sz w:val="22"/>
          <w:lang w:eastAsia="zh-HK"/>
        </w:rPr>
        <w:t xml:space="preserve">he major sources of cash are </w:t>
      </w:r>
      <w:r w:rsidR="007E19F7">
        <w:rPr>
          <w:rFonts w:ascii="Arial" w:hAnsi="Arial" w:cs="Arial" w:hint="eastAsia"/>
          <w:sz w:val="22"/>
          <w:lang w:eastAsia="zh-HK"/>
        </w:rPr>
        <w:t>operating activities and</w:t>
      </w:r>
      <w:r w:rsidR="003B55AD">
        <w:rPr>
          <w:rFonts w:ascii="Arial" w:hAnsi="Arial" w:cs="Arial" w:hint="eastAsia"/>
          <w:sz w:val="22"/>
          <w:lang w:eastAsia="zh-HK"/>
        </w:rPr>
        <w:t xml:space="preserve"> </w:t>
      </w:r>
      <w:r w:rsidR="007E19F7">
        <w:rPr>
          <w:rFonts w:ascii="Arial" w:hAnsi="Arial" w:cs="Arial" w:hint="eastAsia"/>
          <w:sz w:val="22"/>
          <w:lang w:eastAsia="zh-HK"/>
        </w:rPr>
        <w:t>receipts in respect of HK property development.</w:t>
      </w:r>
      <w:r>
        <w:rPr>
          <w:rFonts w:ascii="Arial" w:hAnsi="Arial" w:cs="Arial" w:hint="eastAsia"/>
          <w:sz w:val="22"/>
          <w:lang w:eastAsia="zh-HK"/>
        </w:rPr>
        <w:t xml:space="preserve"> T</w:t>
      </w:r>
      <w:r w:rsidR="007E19F7">
        <w:rPr>
          <w:rFonts w:ascii="Arial" w:hAnsi="Arial" w:cs="Arial" w:hint="eastAsia"/>
          <w:sz w:val="22"/>
          <w:lang w:eastAsia="zh-HK"/>
        </w:rPr>
        <w:t xml:space="preserve">he major uses of cash are repayment of loans </w:t>
      </w:r>
      <w:r w:rsidR="001675F5">
        <w:rPr>
          <w:rFonts w:ascii="Arial" w:hAnsi="Arial" w:cs="Arial" w:hint="eastAsia"/>
          <w:sz w:val="22"/>
          <w:lang w:eastAsia="zh-HK"/>
        </w:rPr>
        <w:t xml:space="preserve">/ capital market instruments </w:t>
      </w:r>
      <w:r w:rsidR="007E19F7">
        <w:rPr>
          <w:rFonts w:ascii="Arial" w:hAnsi="Arial" w:cs="Arial" w:hint="eastAsia"/>
          <w:sz w:val="22"/>
          <w:lang w:eastAsia="zh-HK"/>
        </w:rPr>
        <w:t xml:space="preserve">and extension projects. </w:t>
      </w:r>
      <w:r w:rsidR="003B55AD">
        <w:rPr>
          <w:rFonts w:ascii="Arial" w:hAnsi="Arial" w:cs="Arial" w:hint="eastAsia"/>
          <w:sz w:val="22"/>
          <w:lang w:eastAsia="zh-HK"/>
        </w:rPr>
        <w:t>Cash reserve in the business has been improved since 2012</w:t>
      </w:r>
      <w:r w:rsidR="003F232D">
        <w:rPr>
          <w:rFonts w:ascii="Arial" w:hAnsi="Arial" w:cs="Arial" w:hint="eastAsia"/>
          <w:sz w:val="22"/>
          <w:lang w:eastAsia="zh-HK"/>
        </w:rPr>
        <w:t>. This is due to the recent realisation of return from HK property development</w:t>
      </w:r>
      <w:r w:rsidR="000805F9">
        <w:rPr>
          <w:rFonts w:ascii="Arial" w:hAnsi="Arial" w:cs="Arial" w:hint="eastAsia"/>
          <w:sz w:val="22"/>
          <w:lang w:eastAsia="zh-HK"/>
        </w:rPr>
        <w:t xml:space="preserve"> and </w:t>
      </w:r>
      <w:r>
        <w:rPr>
          <w:rFonts w:ascii="Arial" w:hAnsi="Arial" w:cs="Arial" w:hint="eastAsia"/>
          <w:sz w:val="22"/>
          <w:lang w:eastAsia="zh-HK"/>
        </w:rPr>
        <w:t>less</w:t>
      </w:r>
      <w:r w:rsidR="000805F9">
        <w:rPr>
          <w:rFonts w:ascii="Arial" w:hAnsi="Arial" w:cs="Arial" w:hint="eastAsia"/>
          <w:sz w:val="22"/>
          <w:lang w:eastAsia="zh-HK"/>
        </w:rPr>
        <w:t xml:space="preserve"> amount of cash being spent on </w:t>
      </w:r>
      <w:r w:rsidR="008E6DA0">
        <w:rPr>
          <w:rFonts w:ascii="Arial" w:hAnsi="Arial" w:cs="Arial" w:hint="eastAsia"/>
          <w:sz w:val="22"/>
          <w:lang w:eastAsia="zh-HK"/>
        </w:rPr>
        <w:t xml:space="preserve">property development &amp; security purchase in </w:t>
      </w:r>
      <w:r>
        <w:rPr>
          <w:rFonts w:ascii="Arial" w:hAnsi="Arial" w:cs="Arial" w:hint="eastAsia"/>
          <w:sz w:val="22"/>
          <w:lang w:eastAsia="zh-HK"/>
        </w:rPr>
        <w:t xml:space="preserve">recent </w:t>
      </w:r>
      <w:r w:rsidR="008E6DA0">
        <w:rPr>
          <w:rFonts w:ascii="Arial" w:hAnsi="Arial" w:cs="Arial" w:hint="eastAsia"/>
          <w:sz w:val="22"/>
          <w:lang w:eastAsia="zh-HK"/>
        </w:rPr>
        <w:t>years</w:t>
      </w:r>
      <w:r w:rsidR="003F232D">
        <w:rPr>
          <w:rFonts w:ascii="Arial" w:hAnsi="Arial" w:cs="Arial" w:hint="eastAsia"/>
          <w:sz w:val="22"/>
          <w:lang w:eastAsia="zh-HK"/>
        </w:rPr>
        <w:t xml:space="preserve">. </w:t>
      </w:r>
      <w:r>
        <w:rPr>
          <w:rFonts w:ascii="Arial" w:hAnsi="Arial" w:cs="Arial" w:hint="eastAsia"/>
          <w:sz w:val="22"/>
          <w:lang w:eastAsia="zh-HK"/>
        </w:rPr>
        <w:t xml:space="preserve">Overall, the statement shows a healthy situation in cash flow. </w:t>
      </w:r>
    </w:p>
    <w:p w:rsidR="00B64F84" w:rsidRDefault="00B64F84">
      <w:pPr>
        <w:rPr>
          <w:rFonts w:ascii="Arial" w:hAnsi="Arial" w:cs="Arial"/>
          <w:sz w:val="22"/>
          <w:lang w:eastAsia="zh-HK"/>
        </w:rPr>
      </w:pPr>
    </w:p>
    <w:p w:rsidR="00B15242" w:rsidRPr="00E04C92" w:rsidRDefault="00E04C92">
      <w:pPr>
        <w:rPr>
          <w:rFonts w:ascii="Arial" w:hAnsi="Arial" w:cs="Arial" w:hint="eastAsia"/>
          <w:b/>
          <w:sz w:val="32"/>
          <w:szCs w:val="32"/>
          <w:lang w:eastAsia="zh-HK"/>
        </w:rPr>
      </w:pPr>
      <w:r>
        <w:rPr>
          <w:rFonts w:ascii="Arial" w:hAnsi="Arial" w:cs="Arial" w:hint="eastAsia"/>
          <w:b/>
          <w:sz w:val="32"/>
          <w:szCs w:val="32"/>
          <w:lang w:eastAsia="zh-HK"/>
        </w:rPr>
        <w:t xml:space="preserve">List of </w:t>
      </w:r>
      <w:r w:rsidR="00B15242" w:rsidRPr="00E04C92">
        <w:rPr>
          <w:rFonts w:ascii="Arial" w:hAnsi="Arial" w:cs="Arial" w:hint="eastAsia"/>
          <w:b/>
          <w:sz w:val="32"/>
          <w:szCs w:val="32"/>
          <w:lang w:eastAsia="zh-HK"/>
        </w:rPr>
        <w:t>References</w:t>
      </w:r>
    </w:p>
    <w:p w:rsidR="00B15242" w:rsidRDefault="00B15242">
      <w:pPr>
        <w:rPr>
          <w:rFonts w:ascii="Arial" w:hAnsi="Arial" w:cs="Arial" w:hint="eastAsia"/>
          <w:sz w:val="22"/>
          <w:lang w:eastAsia="zh-HK"/>
        </w:rPr>
      </w:pPr>
    </w:p>
    <w:p w:rsidR="00B15242" w:rsidRPr="00FD3630" w:rsidRDefault="00B15242" w:rsidP="00FD3630">
      <w:pPr>
        <w:pStyle w:val="a9"/>
        <w:numPr>
          <w:ilvl w:val="0"/>
          <w:numId w:val="2"/>
        </w:numPr>
        <w:ind w:leftChars="0"/>
        <w:rPr>
          <w:rFonts w:ascii="Arial" w:hAnsi="Arial" w:cs="Arial" w:hint="eastAsia"/>
          <w:sz w:val="22"/>
          <w:lang w:eastAsia="zh-HK"/>
        </w:rPr>
      </w:pPr>
      <w:bookmarkStart w:id="8" w:name="_Ref448702403"/>
      <w:r w:rsidRPr="00FD3630">
        <w:rPr>
          <w:rFonts w:ascii="Arial" w:hAnsi="Arial" w:cs="Arial" w:hint="eastAsia"/>
          <w:sz w:val="22"/>
          <w:lang w:eastAsia="zh-HK"/>
        </w:rPr>
        <w:t xml:space="preserve">MTRC Website: </w:t>
      </w:r>
      <w:r w:rsidRPr="00FD3630">
        <w:rPr>
          <w:rFonts w:ascii="Arial" w:hAnsi="Arial" w:cs="Arial"/>
          <w:sz w:val="22"/>
          <w:lang w:eastAsia="zh-HK"/>
        </w:rPr>
        <w:t>http://www.mtr.com.hk/en/corporate/investor/2014frpt.html</w:t>
      </w:r>
      <w:bookmarkEnd w:id="8"/>
    </w:p>
    <w:p w:rsidR="00B15242" w:rsidRPr="00FD3630" w:rsidRDefault="00B15242" w:rsidP="00FD3630">
      <w:pPr>
        <w:pStyle w:val="a9"/>
        <w:numPr>
          <w:ilvl w:val="0"/>
          <w:numId w:val="2"/>
        </w:numPr>
        <w:ind w:leftChars="0"/>
        <w:rPr>
          <w:rFonts w:ascii="Arial" w:hAnsi="Arial" w:cs="Arial" w:hint="eastAsia"/>
          <w:sz w:val="22"/>
          <w:lang w:eastAsia="zh-HK"/>
        </w:rPr>
      </w:pPr>
      <w:bookmarkStart w:id="9" w:name="_Ref448702374"/>
      <w:r w:rsidRPr="00FD3630">
        <w:rPr>
          <w:rFonts w:ascii="Arial" w:hAnsi="Arial" w:cs="Arial" w:hint="eastAsia"/>
          <w:sz w:val="22"/>
          <w:lang w:eastAsia="zh-HK"/>
        </w:rPr>
        <w:t xml:space="preserve">AA Stocks Website: </w:t>
      </w:r>
      <w:r w:rsidRPr="00FD3630">
        <w:rPr>
          <w:rFonts w:ascii="Arial" w:hAnsi="Arial" w:cs="Arial"/>
          <w:sz w:val="22"/>
          <w:lang w:eastAsia="zh-HK"/>
        </w:rPr>
        <w:t>http://www.aastocks.com/tc/stocks/market/index/hk-index-con.aspx?index=HSI&amp;t=4&amp;hk=0&amp;s=1&amp;o=1</w:t>
      </w:r>
      <w:bookmarkEnd w:id="9"/>
    </w:p>
    <w:p w:rsidR="00B15242" w:rsidRDefault="00B15242">
      <w:pPr>
        <w:rPr>
          <w:rFonts w:ascii="Arial" w:hAnsi="Arial" w:cs="Arial" w:hint="eastAsia"/>
          <w:sz w:val="22"/>
          <w:lang w:eastAsia="zh-HK"/>
        </w:rPr>
      </w:pPr>
    </w:p>
    <w:p w:rsidR="00A10E8E" w:rsidRPr="00E03B47" w:rsidRDefault="00A10E8E">
      <w:pPr>
        <w:rPr>
          <w:rFonts w:ascii="Arial" w:hAnsi="Arial" w:cs="Arial"/>
          <w:lang w:eastAsia="zh-HK"/>
        </w:rPr>
      </w:pPr>
    </w:p>
    <w:p w:rsidR="00E77A7C" w:rsidRPr="00E03B47" w:rsidRDefault="00E77A7C">
      <w:pPr>
        <w:rPr>
          <w:rFonts w:ascii="Arial" w:hAnsi="Arial" w:cs="Arial"/>
          <w:lang w:eastAsia="zh-HK"/>
        </w:rPr>
      </w:pPr>
    </w:p>
    <w:sectPr w:rsidR="00E77A7C" w:rsidRPr="00E03B47" w:rsidSect="004F29D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753" w:rsidRDefault="00183753" w:rsidP="004F29D2">
      <w:r>
        <w:separator/>
      </w:r>
    </w:p>
  </w:endnote>
  <w:endnote w:type="continuationSeparator" w:id="1">
    <w:p w:rsidR="00183753" w:rsidRDefault="00183753" w:rsidP="004F29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753" w:rsidRDefault="00183753" w:rsidP="004F29D2">
      <w:r>
        <w:separator/>
      </w:r>
    </w:p>
  </w:footnote>
  <w:footnote w:type="continuationSeparator" w:id="1">
    <w:p w:rsidR="00183753" w:rsidRDefault="00183753" w:rsidP="004F29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10B6D"/>
    <w:multiLevelType w:val="hybridMultilevel"/>
    <w:tmpl w:val="F56837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AA3470A"/>
    <w:multiLevelType w:val="hybridMultilevel"/>
    <w:tmpl w:val="E9145420"/>
    <w:lvl w:ilvl="0" w:tplc="46267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A38"/>
    <w:rsid w:val="00005833"/>
    <w:rsid w:val="00006734"/>
    <w:rsid w:val="00011071"/>
    <w:rsid w:val="00022A7D"/>
    <w:rsid w:val="00031D65"/>
    <w:rsid w:val="000359E4"/>
    <w:rsid w:val="00041F9F"/>
    <w:rsid w:val="000520CF"/>
    <w:rsid w:val="00066C06"/>
    <w:rsid w:val="000803F5"/>
    <w:rsid w:val="00080553"/>
    <w:rsid w:val="000805F9"/>
    <w:rsid w:val="0008451B"/>
    <w:rsid w:val="00087793"/>
    <w:rsid w:val="00093E50"/>
    <w:rsid w:val="0009705D"/>
    <w:rsid w:val="00097C63"/>
    <w:rsid w:val="000D228B"/>
    <w:rsid w:val="000D6F9C"/>
    <w:rsid w:val="00101437"/>
    <w:rsid w:val="0011431E"/>
    <w:rsid w:val="00115DDE"/>
    <w:rsid w:val="001376CE"/>
    <w:rsid w:val="0013787B"/>
    <w:rsid w:val="00157D5B"/>
    <w:rsid w:val="0016651C"/>
    <w:rsid w:val="001675F5"/>
    <w:rsid w:val="00183753"/>
    <w:rsid w:val="001864C4"/>
    <w:rsid w:val="001D0396"/>
    <w:rsid w:val="001D4141"/>
    <w:rsid w:val="001E3115"/>
    <w:rsid w:val="001E37F5"/>
    <w:rsid w:val="001F21CE"/>
    <w:rsid w:val="00206A38"/>
    <w:rsid w:val="00212DF9"/>
    <w:rsid w:val="00213BA5"/>
    <w:rsid w:val="0023409A"/>
    <w:rsid w:val="00234272"/>
    <w:rsid w:val="0025679D"/>
    <w:rsid w:val="002716C3"/>
    <w:rsid w:val="002A4D66"/>
    <w:rsid w:val="002C44A9"/>
    <w:rsid w:val="002D021A"/>
    <w:rsid w:val="002D1384"/>
    <w:rsid w:val="002D7454"/>
    <w:rsid w:val="002E05FB"/>
    <w:rsid w:val="002E7A5C"/>
    <w:rsid w:val="002F4B5B"/>
    <w:rsid w:val="00303C09"/>
    <w:rsid w:val="00333DB1"/>
    <w:rsid w:val="00336064"/>
    <w:rsid w:val="00354E38"/>
    <w:rsid w:val="00364D50"/>
    <w:rsid w:val="00376E47"/>
    <w:rsid w:val="00380CC2"/>
    <w:rsid w:val="00397C87"/>
    <w:rsid w:val="003A303A"/>
    <w:rsid w:val="003A3604"/>
    <w:rsid w:val="003B55AD"/>
    <w:rsid w:val="003F232D"/>
    <w:rsid w:val="0041309F"/>
    <w:rsid w:val="00424278"/>
    <w:rsid w:val="00424BD0"/>
    <w:rsid w:val="00434CE6"/>
    <w:rsid w:val="00443161"/>
    <w:rsid w:val="004726A1"/>
    <w:rsid w:val="004939B5"/>
    <w:rsid w:val="00494562"/>
    <w:rsid w:val="004A1117"/>
    <w:rsid w:val="004D3405"/>
    <w:rsid w:val="004E68ED"/>
    <w:rsid w:val="004F29D2"/>
    <w:rsid w:val="004F7A2F"/>
    <w:rsid w:val="00502F47"/>
    <w:rsid w:val="005078FC"/>
    <w:rsid w:val="0050798F"/>
    <w:rsid w:val="00515455"/>
    <w:rsid w:val="00526702"/>
    <w:rsid w:val="0055205B"/>
    <w:rsid w:val="005631AB"/>
    <w:rsid w:val="005749BA"/>
    <w:rsid w:val="0058656A"/>
    <w:rsid w:val="00590BB1"/>
    <w:rsid w:val="0059105B"/>
    <w:rsid w:val="005A3451"/>
    <w:rsid w:val="005B35E9"/>
    <w:rsid w:val="005B4298"/>
    <w:rsid w:val="005C30DB"/>
    <w:rsid w:val="005E5DAC"/>
    <w:rsid w:val="005F0E87"/>
    <w:rsid w:val="00603FD3"/>
    <w:rsid w:val="00632E1C"/>
    <w:rsid w:val="00634B8B"/>
    <w:rsid w:val="0068339C"/>
    <w:rsid w:val="00686A86"/>
    <w:rsid w:val="006925AC"/>
    <w:rsid w:val="00694ADA"/>
    <w:rsid w:val="006B09C5"/>
    <w:rsid w:val="006B7C9A"/>
    <w:rsid w:val="006C521B"/>
    <w:rsid w:val="006D6F80"/>
    <w:rsid w:val="006E7AD3"/>
    <w:rsid w:val="00705E0D"/>
    <w:rsid w:val="007073FA"/>
    <w:rsid w:val="00712D59"/>
    <w:rsid w:val="00714E92"/>
    <w:rsid w:val="00754185"/>
    <w:rsid w:val="00760CE7"/>
    <w:rsid w:val="00761E4F"/>
    <w:rsid w:val="00762093"/>
    <w:rsid w:val="00782354"/>
    <w:rsid w:val="007A2620"/>
    <w:rsid w:val="007B5474"/>
    <w:rsid w:val="007B6C74"/>
    <w:rsid w:val="007B7260"/>
    <w:rsid w:val="007D67D8"/>
    <w:rsid w:val="007E19F7"/>
    <w:rsid w:val="007E3D81"/>
    <w:rsid w:val="007F0D78"/>
    <w:rsid w:val="00816C7E"/>
    <w:rsid w:val="008234AA"/>
    <w:rsid w:val="00827464"/>
    <w:rsid w:val="00830303"/>
    <w:rsid w:val="008705C3"/>
    <w:rsid w:val="008A7A41"/>
    <w:rsid w:val="008A7AB3"/>
    <w:rsid w:val="008C5E1C"/>
    <w:rsid w:val="008D375F"/>
    <w:rsid w:val="008E6DA0"/>
    <w:rsid w:val="00906BBB"/>
    <w:rsid w:val="009573E3"/>
    <w:rsid w:val="0096099A"/>
    <w:rsid w:val="009928FF"/>
    <w:rsid w:val="009A288E"/>
    <w:rsid w:val="009E4048"/>
    <w:rsid w:val="00A04893"/>
    <w:rsid w:val="00A079F3"/>
    <w:rsid w:val="00A10E8E"/>
    <w:rsid w:val="00A14675"/>
    <w:rsid w:val="00A30072"/>
    <w:rsid w:val="00A35553"/>
    <w:rsid w:val="00A53670"/>
    <w:rsid w:val="00A67224"/>
    <w:rsid w:val="00AA4A88"/>
    <w:rsid w:val="00AC4946"/>
    <w:rsid w:val="00AD7C61"/>
    <w:rsid w:val="00AE667D"/>
    <w:rsid w:val="00AF0965"/>
    <w:rsid w:val="00B15242"/>
    <w:rsid w:val="00B26273"/>
    <w:rsid w:val="00B4585C"/>
    <w:rsid w:val="00B64F84"/>
    <w:rsid w:val="00B81F9C"/>
    <w:rsid w:val="00B9374A"/>
    <w:rsid w:val="00B93EAE"/>
    <w:rsid w:val="00BA0034"/>
    <w:rsid w:val="00BA2B22"/>
    <w:rsid w:val="00BA75EB"/>
    <w:rsid w:val="00BE0B1B"/>
    <w:rsid w:val="00BE3A40"/>
    <w:rsid w:val="00BF090F"/>
    <w:rsid w:val="00C10B09"/>
    <w:rsid w:val="00C470D0"/>
    <w:rsid w:val="00C56B05"/>
    <w:rsid w:val="00C60C04"/>
    <w:rsid w:val="00C6231B"/>
    <w:rsid w:val="00C7227C"/>
    <w:rsid w:val="00C74867"/>
    <w:rsid w:val="00C809C5"/>
    <w:rsid w:val="00C9143E"/>
    <w:rsid w:val="00CA30C5"/>
    <w:rsid w:val="00CB33BB"/>
    <w:rsid w:val="00CE60AB"/>
    <w:rsid w:val="00CF5E1F"/>
    <w:rsid w:val="00D10053"/>
    <w:rsid w:val="00D20643"/>
    <w:rsid w:val="00D2307C"/>
    <w:rsid w:val="00D23AA6"/>
    <w:rsid w:val="00D31160"/>
    <w:rsid w:val="00D36A7B"/>
    <w:rsid w:val="00D51BB1"/>
    <w:rsid w:val="00D55735"/>
    <w:rsid w:val="00D91576"/>
    <w:rsid w:val="00DA0DDF"/>
    <w:rsid w:val="00DA71EE"/>
    <w:rsid w:val="00DC1D9E"/>
    <w:rsid w:val="00DD51FE"/>
    <w:rsid w:val="00DE6473"/>
    <w:rsid w:val="00DF30E2"/>
    <w:rsid w:val="00DF724A"/>
    <w:rsid w:val="00DF78A0"/>
    <w:rsid w:val="00E02792"/>
    <w:rsid w:val="00E03B47"/>
    <w:rsid w:val="00E04C92"/>
    <w:rsid w:val="00E112F8"/>
    <w:rsid w:val="00E26339"/>
    <w:rsid w:val="00E33FEC"/>
    <w:rsid w:val="00E7092F"/>
    <w:rsid w:val="00E77A7C"/>
    <w:rsid w:val="00E8398B"/>
    <w:rsid w:val="00E86484"/>
    <w:rsid w:val="00E87FCD"/>
    <w:rsid w:val="00E918EE"/>
    <w:rsid w:val="00EA5F44"/>
    <w:rsid w:val="00EA6AC5"/>
    <w:rsid w:val="00EB3329"/>
    <w:rsid w:val="00ED17F3"/>
    <w:rsid w:val="00EF1B39"/>
    <w:rsid w:val="00EF61DA"/>
    <w:rsid w:val="00EF6526"/>
    <w:rsid w:val="00F00657"/>
    <w:rsid w:val="00F141AA"/>
    <w:rsid w:val="00F14FD3"/>
    <w:rsid w:val="00F15ABA"/>
    <w:rsid w:val="00F1726E"/>
    <w:rsid w:val="00F241BF"/>
    <w:rsid w:val="00F312ED"/>
    <w:rsid w:val="00F659FE"/>
    <w:rsid w:val="00F66A44"/>
    <w:rsid w:val="00F82127"/>
    <w:rsid w:val="00F94758"/>
    <w:rsid w:val="00FA503B"/>
    <w:rsid w:val="00FB2292"/>
    <w:rsid w:val="00FD3630"/>
    <w:rsid w:val="00FE1697"/>
    <w:rsid w:val="00FF3C81"/>
    <w:rsid w:val="00FF4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1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29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F29D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F29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F29D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D51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D51F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FD3630"/>
    <w:pPr>
      <w:ind w:leftChars="200" w:left="480"/>
    </w:pPr>
  </w:style>
  <w:style w:type="paragraph" w:styleId="aa">
    <w:name w:val="caption"/>
    <w:basedOn w:val="a"/>
    <w:next w:val="a"/>
    <w:uiPriority w:val="35"/>
    <w:unhideWhenUsed/>
    <w:qFormat/>
    <w:rsid w:val="00FA503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FA994-215F-40CC-A237-1F31A10A6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5332</TotalTime>
  <Pages>13</Pages>
  <Words>3603</Words>
  <Characters>20538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KKWONG</dc:creator>
  <cp:lastModifiedBy>KKWONG</cp:lastModifiedBy>
  <cp:revision>174</cp:revision>
  <dcterms:created xsi:type="dcterms:W3CDTF">2016-04-03T11:37:00Z</dcterms:created>
  <dcterms:modified xsi:type="dcterms:W3CDTF">2016-04-17T16:25:00Z</dcterms:modified>
</cp:coreProperties>
</file>