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D6B71" w14:textId="2CC8A1EC" w:rsidR="00F75345" w:rsidRPr="007C17EA" w:rsidRDefault="00F75345" w:rsidP="00883ACE">
      <w:pPr>
        <w:pStyle w:val="Heading2"/>
      </w:pPr>
      <w:bookmarkStart w:id="0" w:name="_GoBack"/>
      <w:bookmarkEnd w:id="0"/>
      <w:r>
        <w:t>Beoordeling van investeringsprojecten</w:t>
      </w:r>
      <w:r w:rsidR="00624AD8">
        <w:t xml:space="preserve"> (Hoofdstuk 9)</w:t>
      </w:r>
    </w:p>
    <w:p w14:paraId="014FAAF7" w14:textId="7EC1AB25" w:rsidR="00F75345" w:rsidRPr="007C17EA" w:rsidRDefault="00624AD8" w:rsidP="00883ACE">
      <w:pPr>
        <w:pStyle w:val="Heading3"/>
      </w:pPr>
      <w:r>
        <w:t xml:space="preserve">Bepalen en </w:t>
      </w:r>
      <w:r w:rsidR="00F75345" w:rsidRPr="008A4584">
        <w:t>waarderen</w:t>
      </w:r>
      <w:r w:rsidR="00F75345" w:rsidRPr="007C17EA">
        <w:t xml:space="preserve"> van kasstromen</w:t>
      </w:r>
      <w:r w:rsidR="001716E2">
        <w:t xml:space="preserve"> </w:t>
      </w:r>
    </w:p>
    <w:p w14:paraId="0D2EA647" w14:textId="060B2D72" w:rsidR="008A4584" w:rsidRDefault="008A4584" w:rsidP="00883ACE">
      <w:pPr>
        <w:pStyle w:val="Caption"/>
      </w:pPr>
      <w:r>
        <w:t xml:space="preserve">Oefening </w:t>
      </w:r>
      <w:r w:rsidR="00E804FB">
        <w:t>3</w:t>
      </w:r>
      <w:r>
        <w:noBreakHyphen/>
      </w:r>
      <w:fldSimple w:instr=" SEQ Oefening \* ARABIC \s 2 ">
        <w:r w:rsidR="002964CA">
          <w:rPr>
            <w:noProof/>
          </w:rPr>
          <w:t>1</w:t>
        </w:r>
      </w:fldSimple>
    </w:p>
    <w:p w14:paraId="01F501D8" w14:textId="2085BDD3" w:rsidR="00C56C16" w:rsidRPr="00C3414F" w:rsidRDefault="00416469" w:rsidP="00883ACE">
      <w:r w:rsidRPr="00C3414F">
        <w:t>Computer Systems NV</w:t>
      </w:r>
      <w:r>
        <w:t>, e</w:t>
      </w:r>
      <w:r w:rsidR="00C56C16" w:rsidRPr="00C3414F">
        <w:t>en onderneming die al jarenlang prachtige resultaten boekt, heef</w:t>
      </w:r>
      <w:r>
        <w:t>t</w:t>
      </w:r>
      <w:r w:rsidR="00C56C16" w:rsidRPr="00C3414F">
        <w:t xml:space="preserve"> het plan opgevat om een nieuwe personal computer op de markt te brengen.</w:t>
      </w:r>
    </w:p>
    <w:p w14:paraId="01F501D9" w14:textId="3E6586A1" w:rsidR="00C56C16" w:rsidRPr="00C3414F" w:rsidRDefault="00C56C16" w:rsidP="00883ACE">
      <w:r w:rsidRPr="00C3414F">
        <w:t>De verkopen voor de volgende drie jaar worden respectie</w:t>
      </w:r>
      <w:r w:rsidR="00416469">
        <w:t>velijk op 20, 30 en 36 miljoen e</w:t>
      </w:r>
      <w:r w:rsidRPr="00C3414F">
        <w:t>ur</w:t>
      </w:r>
      <w:r w:rsidR="00416469">
        <w:t>o</w:t>
      </w:r>
      <w:r w:rsidRPr="00C3414F">
        <w:t xml:space="preserve"> geschat. De bedrijfskosten exclusief afschrijvingen bedragen 60 % van de omzet en 50 % van deze bedrijfskosten </w:t>
      </w:r>
      <w:r w:rsidRPr="008A4584">
        <w:t>bestaat</w:t>
      </w:r>
      <w:r w:rsidRPr="00C3414F">
        <w:t xml:space="preserve"> uit aankopen. Het aantal dagen klantenkrediet wordt geschat op 2 maanden, de voorraadrotatie (uitgedrukt in verkopen) op 8 en het aantal dagen leverancierskrediet (uitgedrukt in aankopen) op 75 dagen. </w:t>
      </w:r>
    </w:p>
    <w:p w14:paraId="01F501DA" w14:textId="47AB6074" w:rsidR="00C56C16" w:rsidRPr="00C3414F" w:rsidRDefault="00C56C16" w:rsidP="00883ACE">
      <w:r w:rsidRPr="00C3414F">
        <w:t>Het totale investe</w:t>
      </w:r>
      <w:r w:rsidR="00416469">
        <w:t>ringsprogramma zal 15 miljoen euro</w:t>
      </w:r>
      <w:r w:rsidRPr="00C3414F">
        <w:t xml:space="preserve"> kosten. De aangekochte uitrusting kan enkel voor de productie van deze nieuwe personal computers gebruikt worden, zodat de verkoopwaarde op het einde van jaar 3 kan verwaarloosd worden. </w:t>
      </w:r>
    </w:p>
    <w:p w14:paraId="01F501DB" w14:textId="7988B32F" w:rsidR="00C56C16" w:rsidRPr="00C3414F" w:rsidRDefault="00C56C16" w:rsidP="00883ACE">
      <w:r w:rsidRPr="00C3414F">
        <w:t>De relevante belastingvoet bedraagt 34 %. Investeringsgoederen dienen afgeschreven te worden op 5 jaar.</w:t>
      </w:r>
    </w:p>
    <w:p w14:paraId="01F501DD" w14:textId="0541058B" w:rsidR="00C56C16" w:rsidRPr="00416469" w:rsidRDefault="00C56C16" w:rsidP="00883ACE">
      <w:r w:rsidRPr="00416469">
        <w:t>Bepaal de jaarlijkse vrije operationele kasstromen na belastingen</w:t>
      </w:r>
    </w:p>
    <w:p w14:paraId="0DE51AB8" w14:textId="77777777" w:rsidR="00894288" w:rsidRDefault="00894288" w:rsidP="00883ACE">
      <w:pPr>
        <w:pStyle w:val="Caption"/>
      </w:pPr>
    </w:p>
    <w:p w14:paraId="6DFF89D9" w14:textId="722E9F51" w:rsidR="008A4584" w:rsidRDefault="008A4584" w:rsidP="00883ACE">
      <w:pPr>
        <w:pStyle w:val="Caption"/>
      </w:pPr>
      <w:r>
        <w:t xml:space="preserve">Oefening </w:t>
      </w:r>
      <w:r w:rsidR="00E804FB">
        <w:t>3</w:t>
      </w:r>
      <w:r>
        <w:noBreakHyphen/>
      </w:r>
      <w:fldSimple w:instr=" SEQ Oefening \* ARABIC \s 2 ">
        <w:r w:rsidR="002964CA">
          <w:rPr>
            <w:noProof/>
          </w:rPr>
          <w:t>2</w:t>
        </w:r>
      </w:fldSimple>
    </w:p>
    <w:p w14:paraId="5B108794" w14:textId="15237438" w:rsidR="00624AD8" w:rsidRPr="007C17EA" w:rsidRDefault="00624AD8" w:rsidP="00883ACE">
      <w:r w:rsidRPr="007C17EA">
        <w:rPr>
          <w:spacing w:val="-3"/>
        </w:rPr>
        <w:t>Een belegger</w:t>
      </w:r>
      <w:r w:rsidRPr="007C17EA">
        <w:t xml:space="preserve"> overweegt </w:t>
      </w:r>
      <w:r>
        <w:t>te beleggen</w:t>
      </w:r>
      <w:r w:rsidRPr="007C17EA">
        <w:t xml:space="preserve"> in een aandeel dat afgelopen jaar </w:t>
      </w:r>
      <w:r w:rsidR="005A35DA">
        <w:t>een dividend betaalde van 10 euro</w:t>
      </w:r>
      <w:r w:rsidRPr="007C17EA">
        <w:t>. Men verwacht dat het dividend de volgende 2 jaar zal toenemen met 8% per jaar, gevolgd door een periode van 2 jaar met een dividendgroei van 6% per jaar. Nadien verwacht me</w:t>
      </w:r>
      <w:r>
        <w:t>n dat de groeivoet zich stabilis</w:t>
      </w:r>
      <w:r w:rsidRPr="007C17EA">
        <w:t>eert op 4% per jaar.</w:t>
      </w:r>
      <w:r w:rsidR="001716E2">
        <w:t xml:space="preserve"> </w:t>
      </w:r>
      <w:r w:rsidRPr="007C17EA">
        <w:t>Indien deze belegger een rendement van 10% wenst te beha</w:t>
      </w:r>
      <w:r>
        <w:t>len op zijn/haar belegging, wat</w:t>
      </w:r>
      <w:r w:rsidRPr="007C17EA">
        <w:t xml:space="preserve"> is d</w:t>
      </w:r>
      <w:r>
        <w:t>an de hoogste prijs die hij voor dit aandeel zal willen betalen</w:t>
      </w:r>
      <w:r w:rsidRPr="007C17EA">
        <w:t>?</w:t>
      </w:r>
    </w:p>
    <w:p w14:paraId="293EBB18" w14:textId="77777777" w:rsidR="00894288" w:rsidRDefault="00894288" w:rsidP="00883ACE">
      <w:pPr>
        <w:pStyle w:val="Caption"/>
      </w:pPr>
    </w:p>
    <w:p w14:paraId="1AE6F5F1" w14:textId="6073CBDF" w:rsidR="008A4584" w:rsidRDefault="008A4584" w:rsidP="00883ACE">
      <w:pPr>
        <w:pStyle w:val="Caption"/>
      </w:pPr>
      <w:r>
        <w:t xml:space="preserve">Oefening </w:t>
      </w:r>
      <w:r w:rsidR="00E804FB">
        <w:t>3</w:t>
      </w:r>
      <w:r>
        <w:noBreakHyphen/>
      </w:r>
      <w:fldSimple w:instr=" SEQ Oefening \* ARABIC \s 2 ">
        <w:r w:rsidR="002964CA">
          <w:rPr>
            <w:noProof/>
          </w:rPr>
          <w:t>3</w:t>
        </w:r>
      </w:fldSimple>
    </w:p>
    <w:p w14:paraId="35E72207" w14:textId="39475D2E" w:rsidR="00624AD8" w:rsidRPr="007C17EA" w:rsidRDefault="00624AD8" w:rsidP="00883ACE">
      <w:r w:rsidRPr="007C17EA">
        <w:t>Een bedrijf is eigenaar van een oliebron die volgend jaar een kasstroom oplevert van 2 miljoen euro. De uitbatingskosten zijn te verwaarlozen. Men voorziet dat de oliebron gedurende een zeer lange tijd kan geëxploiteerd worden. Men verwacht echter dat de te realiseren kasstromen elk jaar zullen afnemen met 4%. De disconteringsvoet is 10%.</w:t>
      </w:r>
    </w:p>
    <w:p w14:paraId="7F1149AB" w14:textId="2C55FD49" w:rsidR="00624AD8" w:rsidRPr="008A4584" w:rsidRDefault="00624AD8" w:rsidP="00883ACE">
      <w:pPr>
        <w:pStyle w:val="ListParagraph"/>
        <w:numPr>
          <w:ilvl w:val="0"/>
          <w:numId w:val="18"/>
        </w:numPr>
      </w:pPr>
      <w:r w:rsidRPr="007C17EA">
        <w:t xml:space="preserve">Wat is de </w:t>
      </w:r>
      <w:r w:rsidRPr="008A4584">
        <w:t>waarde van de oliebron ?</w:t>
      </w:r>
    </w:p>
    <w:p w14:paraId="01F501E0" w14:textId="1B43E81C" w:rsidR="00C56C16" w:rsidRPr="007C17EA" w:rsidRDefault="00624AD8" w:rsidP="00247093">
      <w:pPr>
        <w:pStyle w:val="ListParagraph"/>
        <w:numPr>
          <w:ilvl w:val="0"/>
          <w:numId w:val="18"/>
        </w:numPr>
      </w:pPr>
      <w:r w:rsidRPr="008A4584">
        <w:t>Wat is de waarde van de oliebron indien wordt aangenomen dat de bron na 20 jaar plots is opgedroogd en</w:t>
      </w:r>
      <w:r w:rsidRPr="007C17EA">
        <w:t xml:space="preserve"> derhalve vanaf jaar 21 geen kasstromen meer kan opleveren ?</w:t>
      </w:r>
    </w:p>
    <w:p w14:paraId="4C97ED4B" w14:textId="0AAEC7DB" w:rsidR="008A4584" w:rsidRDefault="008A4584" w:rsidP="00247093">
      <w:pPr>
        <w:pStyle w:val="Caption"/>
        <w:keepNext/>
      </w:pPr>
      <w:r>
        <w:lastRenderedPageBreak/>
        <w:t xml:space="preserve">Oefening </w:t>
      </w:r>
      <w:r w:rsidR="00E804FB">
        <w:t>3</w:t>
      </w:r>
      <w:r>
        <w:noBreakHyphen/>
      </w:r>
      <w:fldSimple w:instr=" SEQ Oefening \* ARABIC \s 2 ">
        <w:r w:rsidR="002964CA">
          <w:rPr>
            <w:noProof/>
          </w:rPr>
          <w:t>4</w:t>
        </w:r>
      </w:fldSimple>
    </w:p>
    <w:p w14:paraId="01F501E2" w14:textId="1AAE3DEE" w:rsidR="00C56C16" w:rsidRPr="008A4584" w:rsidRDefault="00416469" w:rsidP="00247093">
      <w:pPr>
        <w:keepNext/>
      </w:pPr>
      <w:r w:rsidRPr="008A4584">
        <w:t>Veronderstel</w:t>
      </w:r>
      <w:r w:rsidR="00C56C16" w:rsidRPr="008A4584">
        <w:t xml:space="preserve"> dat u een keuze moet</w:t>
      </w:r>
      <w:r w:rsidRPr="008A4584">
        <w:t xml:space="preserve"> maken</w:t>
      </w:r>
      <w:r w:rsidR="00C56C16" w:rsidRPr="008A4584">
        <w:t xml:space="preserve"> </w:t>
      </w:r>
      <w:r w:rsidRPr="008A4584">
        <w:t>tussen</w:t>
      </w:r>
      <w:r w:rsidR="001716E2" w:rsidRPr="008A4584">
        <w:t xml:space="preserve"> </w:t>
      </w:r>
      <w:r w:rsidRPr="008A4584">
        <w:t xml:space="preserve">project A en </w:t>
      </w:r>
      <w:r w:rsidR="00C56C16" w:rsidRPr="008A4584">
        <w:t>project B:</w:t>
      </w:r>
    </w:p>
    <w:tbl>
      <w:tblPr>
        <w:tblW w:w="0" w:type="auto"/>
        <w:jc w:val="center"/>
        <w:tblLayout w:type="fixed"/>
        <w:tblLook w:val="0000" w:firstRow="0" w:lastRow="0" w:firstColumn="0" w:lastColumn="0" w:noHBand="0" w:noVBand="0"/>
      </w:tblPr>
      <w:tblGrid>
        <w:gridCol w:w="684"/>
        <w:gridCol w:w="1548"/>
        <w:gridCol w:w="1540"/>
      </w:tblGrid>
      <w:tr w:rsidR="00585DB4" w:rsidRPr="007C17EA" w14:paraId="01F501E9" w14:textId="77777777" w:rsidTr="00EE0A5F">
        <w:trPr>
          <w:trHeight w:val="20"/>
          <w:jc w:val="center"/>
        </w:trPr>
        <w:tc>
          <w:tcPr>
            <w:tcW w:w="684" w:type="dxa"/>
            <w:tcBorders>
              <w:bottom w:val="single" w:sz="6" w:space="0" w:color="auto"/>
            </w:tcBorders>
          </w:tcPr>
          <w:p w14:paraId="01F501E5" w14:textId="6C2320CD" w:rsidR="00585DB4" w:rsidRPr="007C17EA" w:rsidRDefault="00585DB4" w:rsidP="00247093">
            <w:pPr>
              <w:pStyle w:val="Tabeltekst"/>
              <w:keepNext/>
            </w:pPr>
            <w:r w:rsidRPr="007C17EA">
              <w:t>Jaar</w:t>
            </w:r>
          </w:p>
        </w:tc>
        <w:tc>
          <w:tcPr>
            <w:tcW w:w="1548" w:type="dxa"/>
            <w:tcBorders>
              <w:left w:val="single" w:sz="6" w:space="0" w:color="auto"/>
              <w:bottom w:val="single" w:sz="6" w:space="0" w:color="auto"/>
              <w:right w:val="single" w:sz="6" w:space="0" w:color="auto"/>
            </w:tcBorders>
          </w:tcPr>
          <w:p w14:paraId="01F501E6" w14:textId="77777777" w:rsidR="00585DB4" w:rsidRPr="007C17EA" w:rsidRDefault="00585DB4" w:rsidP="00247093">
            <w:pPr>
              <w:pStyle w:val="Tabeltekst"/>
              <w:keepNext/>
              <w:jc w:val="right"/>
            </w:pPr>
            <w:r w:rsidRPr="007C17EA">
              <w:t>kasstromen A</w:t>
            </w:r>
          </w:p>
        </w:tc>
        <w:tc>
          <w:tcPr>
            <w:tcW w:w="1540" w:type="dxa"/>
            <w:tcBorders>
              <w:left w:val="nil"/>
              <w:bottom w:val="single" w:sz="6" w:space="0" w:color="auto"/>
            </w:tcBorders>
          </w:tcPr>
          <w:p w14:paraId="01F501E7" w14:textId="77777777" w:rsidR="00585DB4" w:rsidRPr="007C17EA" w:rsidRDefault="00585DB4" w:rsidP="00247093">
            <w:pPr>
              <w:pStyle w:val="Tabeltekst"/>
              <w:keepNext/>
              <w:jc w:val="right"/>
            </w:pPr>
            <w:r w:rsidRPr="007C17EA">
              <w:t>kasstromen B</w:t>
            </w:r>
          </w:p>
        </w:tc>
      </w:tr>
      <w:tr w:rsidR="00585DB4" w:rsidRPr="007C17EA" w14:paraId="01F501EF" w14:textId="77777777" w:rsidTr="00585DB4">
        <w:trPr>
          <w:trHeight w:val="20"/>
          <w:jc w:val="center"/>
        </w:trPr>
        <w:tc>
          <w:tcPr>
            <w:tcW w:w="684" w:type="dxa"/>
          </w:tcPr>
          <w:p w14:paraId="01F501EB" w14:textId="77777777" w:rsidR="00585DB4" w:rsidRPr="007C17EA" w:rsidRDefault="00585DB4" w:rsidP="00247093">
            <w:pPr>
              <w:pStyle w:val="Tabeltekst"/>
              <w:keepNext/>
            </w:pPr>
            <w:r w:rsidRPr="007C17EA">
              <w:t>0</w:t>
            </w:r>
          </w:p>
        </w:tc>
        <w:tc>
          <w:tcPr>
            <w:tcW w:w="1548" w:type="dxa"/>
            <w:tcBorders>
              <w:left w:val="single" w:sz="6" w:space="0" w:color="auto"/>
              <w:right w:val="single" w:sz="6" w:space="0" w:color="auto"/>
            </w:tcBorders>
          </w:tcPr>
          <w:p w14:paraId="01F501EC" w14:textId="77777777" w:rsidR="00585DB4" w:rsidRPr="007C17EA" w:rsidRDefault="00585DB4" w:rsidP="00247093">
            <w:pPr>
              <w:pStyle w:val="Tabeltekst"/>
              <w:keepNext/>
              <w:jc w:val="right"/>
            </w:pPr>
            <w:r w:rsidRPr="007C17EA">
              <w:t>- 60 000</w:t>
            </w:r>
          </w:p>
        </w:tc>
        <w:tc>
          <w:tcPr>
            <w:tcW w:w="1540" w:type="dxa"/>
            <w:tcBorders>
              <w:left w:val="nil"/>
            </w:tcBorders>
          </w:tcPr>
          <w:p w14:paraId="01F501ED" w14:textId="77777777" w:rsidR="00585DB4" w:rsidRPr="007C17EA" w:rsidRDefault="00585DB4" w:rsidP="00247093">
            <w:pPr>
              <w:pStyle w:val="Tabeltekst"/>
              <w:keepNext/>
              <w:jc w:val="right"/>
            </w:pPr>
            <w:r w:rsidRPr="007C17EA">
              <w:t>- 70 000</w:t>
            </w:r>
          </w:p>
        </w:tc>
      </w:tr>
      <w:tr w:rsidR="00585DB4" w:rsidRPr="007C17EA" w14:paraId="01F501F5" w14:textId="77777777" w:rsidTr="00585DB4">
        <w:trPr>
          <w:trHeight w:val="20"/>
          <w:jc w:val="center"/>
        </w:trPr>
        <w:tc>
          <w:tcPr>
            <w:tcW w:w="684" w:type="dxa"/>
          </w:tcPr>
          <w:p w14:paraId="01F501F1" w14:textId="77777777" w:rsidR="00585DB4" w:rsidRPr="007C17EA" w:rsidRDefault="00585DB4" w:rsidP="00883ACE">
            <w:pPr>
              <w:pStyle w:val="Tabeltekst"/>
            </w:pPr>
            <w:r w:rsidRPr="007C17EA">
              <w:t>1</w:t>
            </w:r>
          </w:p>
        </w:tc>
        <w:tc>
          <w:tcPr>
            <w:tcW w:w="1548" w:type="dxa"/>
            <w:tcBorders>
              <w:left w:val="single" w:sz="6" w:space="0" w:color="auto"/>
              <w:right w:val="single" w:sz="6" w:space="0" w:color="auto"/>
            </w:tcBorders>
          </w:tcPr>
          <w:p w14:paraId="01F501F2" w14:textId="145FCA5B" w:rsidR="00585DB4" w:rsidRPr="007C17EA" w:rsidRDefault="00585DB4" w:rsidP="00883ACE">
            <w:pPr>
              <w:pStyle w:val="Tabeltekst"/>
              <w:jc w:val="right"/>
            </w:pPr>
            <w:r>
              <w:t xml:space="preserve"> </w:t>
            </w:r>
            <w:r w:rsidRPr="007C17EA">
              <w:t>10 000</w:t>
            </w:r>
          </w:p>
        </w:tc>
        <w:tc>
          <w:tcPr>
            <w:tcW w:w="1540" w:type="dxa"/>
            <w:tcBorders>
              <w:left w:val="nil"/>
            </w:tcBorders>
          </w:tcPr>
          <w:p w14:paraId="01F501F3" w14:textId="77777777" w:rsidR="00585DB4" w:rsidRPr="007C17EA" w:rsidRDefault="00585DB4" w:rsidP="00883ACE">
            <w:pPr>
              <w:pStyle w:val="Tabeltekst"/>
              <w:jc w:val="right"/>
            </w:pPr>
            <w:r w:rsidRPr="007C17EA">
              <w:t xml:space="preserve"> 60 000</w:t>
            </w:r>
          </w:p>
        </w:tc>
      </w:tr>
      <w:tr w:rsidR="00585DB4" w:rsidRPr="007C17EA" w14:paraId="01F501FB" w14:textId="77777777" w:rsidTr="00585DB4">
        <w:trPr>
          <w:trHeight w:val="20"/>
          <w:jc w:val="center"/>
        </w:trPr>
        <w:tc>
          <w:tcPr>
            <w:tcW w:w="684" w:type="dxa"/>
          </w:tcPr>
          <w:p w14:paraId="01F501F7" w14:textId="77777777" w:rsidR="00585DB4" w:rsidRPr="007C17EA" w:rsidRDefault="00585DB4" w:rsidP="00883ACE">
            <w:pPr>
              <w:pStyle w:val="Tabeltekst"/>
            </w:pPr>
            <w:r w:rsidRPr="007C17EA">
              <w:t>2</w:t>
            </w:r>
          </w:p>
        </w:tc>
        <w:tc>
          <w:tcPr>
            <w:tcW w:w="1548" w:type="dxa"/>
            <w:tcBorders>
              <w:left w:val="single" w:sz="6" w:space="0" w:color="auto"/>
              <w:right w:val="single" w:sz="6" w:space="0" w:color="auto"/>
            </w:tcBorders>
          </w:tcPr>
          <w:p w14:paraId="01F501F8" w14:textId="21860458" w:rsidR="00585DB4" w:rsidRPr="007C17EA" w:rsidRDefault="00585DB4" w:rsidP="00883ACE">
            <w:pPr>
              <w:pStyle w:val="Tabeltekst"/>
              <w:jc w:val="right"/>
            </w:pPr>
            <w:r>
              <w:t xml:space="preserve"> </w:t>
            </w:r>
            <w:r w:rsidRPr="007C17EA">
              <w:t>13 000</w:t>
            </w:r>
          </w:p>
        </w:tc>
        <w:tc>
          <w:tcPr>
            <w:tcW w:w="1540" w:type="dxa"/>
            <w:tcBorders>
              <w:left w:val="nil"/>
            </w:tcBorders>
          </w:tcPr>
          <w:p w14:paraId="01F501F9" w14:textId="77777777" w:rsidR="00585DB4" w:rsidRPr="007C17EA" w:rsidRDefault="00585DB4" w:rsidP="00883ACE">
            <w:pPr>
              <w:pStyle w:val="Tabeltekst"/>
              <w:jc w:val="right"/>
            </w:pPr>
            <w:r w:rsidRPr="007C17EA">
              <w:t xml:space="preserve"> 15 000</w:t>
            </w:r>
          </w:p>
        </w:tc>
      </w:tr>
      <w:tr w:rsidR="00585DB4" w:rsidRPr="007C17EA" w14:paraId="01F50201" w14:textId="77777777" w:rsidTr="00585DB4">
        <w:trPr>
          <w:trHeight w:val="20"/>
          <w:jc w:val="center"/>
        </w:trPr>
        <w:tc>
          <w:tcPr>
            <w:tcW w:w="684" w:type="dxa"/>
          </w:tcPr>
          <w:p w14:paraId="01F501FD" w14:textId="77777777" w:rsidR="00585DB4" w:rsidRPr="007C17EA" w:rsidRDefault="00585DB4" w:rsidP="00883ACE">
            <w:pPr>
              <w:pStyle w:val="Tabeltekst"/>
            </w:pPr>
            <w:r w:rsidRPr="007C17EA">
              <w:t>3</w:t>
            </w:r>
          </w:p>
        </w:tc>
        <w:tc>
          <w:tcPr>
            <w:tcW w:w="1548" w:type="dxa"/>
            <w:tcBorders>
              <w:left w:val="single" w:sz="6" w:space="0" w:color="auto"/>
              <w:right w:val="single" w:sz="6" w:space="0" w:color="auto"/>
            </w:tcBorders>
          </w:tcPr>
          <w:p w14:paraId="01F501FE" w14:textId="0CAEE7B5" w:rsidR="00585DB4" w:rsidRPr="007C17EA" w:rsidRDefault="00585DB4" w:rsidP="00883ACE">
            <w:pPr>
              <w:pStyle w:val="Tabeltekst"/>
              <w:jc w:val="right"/>
            </w:pPr>
            <w:r>
              <w:t xml:space="preserve"> </w:t>
            </w:r>
            <w:r w:rsidRPr="007C17EA">
              <w:t>72 000</w:t>
            </w:r>
          </w:p>
        </w:tc>
        <w:tc>
          <w:tcPr>
            <w:tcW w:w="1540" w:type="dxa"/>
            <w:tcBorders>
              <w:left w:val="nil"/>
            </w:tcBorders>
          </w:tcPr>
          <w:p w14:paraId="01F501FF" w14:textId="512AEA31" w:rsidR="00585DB4" w:rsidRPr="007C17EA" w:rsidRDefault="00585DB4" w:rsidP="00883ACE">
            <w:pPr>
              <w:pStyle w:val="Tabeltekst"/>
              <w:jc w:val="right"/>
            </w:pPr>
            <w:r>
              <w:t xml:space="preserve"> </w:t>
            </w:r>
            <w:r w:rsidRPr="007C17EA">
              <w:t>20 000</w:t>
            </w:r>
          </w:p>
        </w:tc>
      </w:tr>
    </w:tbl>
    <w:p w14:paraId="01F50209" w14:textId="77777777" w:rsidR="00C56C16" w:rsidRPr="007C17EA" w:rsidRDefault="00C56C16" w:rsidP="00883ACE">
      <w:r w:rsidRPr="007C17EA">
        <w:t>Het minimaal vereist rendement voor investeringen van dit risiconiveau bedraagt 12%.</w:t>
      </w:r>
    </w:p>
    <w:p w14:paraId="01F5020B" w14:textId="77777777" w:rsidR="00C56C16" w:rsidRPr="007C17EA" w:rsidRDefault="00C56C16" w:rsidP="00883ACE">
      <w:pPr>
        <w:pStyle w:val="ListParagraph"/>
        <w:numPr>
          <w:ilvl w:val="0"/>
          <w:numId w:val="17"/>
        </w:numPr>
      </w:pPr>
      <w:r w:rsidRPr="007C17EA">
        <w:t xml:space="preserve">Bereken de terugverdientijd, de net present </w:t>
      </w:r>
      <w:proofErr w:type="spellStart"/>
      <w:r w:rsidRPr="007C17EA">
        <w:t>value</w:t>
      </w:r>
      <w:proofErr w:type="spellEnd"/>
      <w:r w:rsidRPr="007C17EA">
        <w:t xml:space="preserve"> en het interne rendement.</w:t>
      </w:r>
    </w:p>
    <w:p w14:paraId="01F5020C" w14:textId="77777777" w:rsidR="00C56C16" w:rsidRDefault="00C56C16" w:rsidP="00883ACE">
      <w:pPr>
        <w:pStyle w:val="ListParagraph"/>
        <w:numPr>
          <w:ilvl w:val="0"/>
          <w:numId w:val="17"/>
        </w:numPr>
      </w:pPr>
      <w:r w:rsidRPr="007C17EA">
        <w:t>Welk project zou u verkiezen? Leg uit waarom.</w:t>
      </w:r>
    </w:p>
    <w:p w14:paraId="6E35C458" w14:textId="77777777" w:rsidR="00E804FB" w:rsidRDefault="00E804FB" w:rsidP="00883ACE">
      <w:pPr>
        <w:pStyle w:val="Caption"/>
      </w:pPr>
    </w:p>
    <w:p w14:paraId="4377F712" w14:textId="497A0225" w:rsidR="008A4584" w:rsidRDefault="008A4584" w:rsidP="00883ACE">
      <w:pPr>
        <w:pStyle w:val="Caption"/>
      </w:pPr>
      <w:r>
        <w:t xml:space="preserve">Oefening </w:t>
      </w:r>
      <w:r w:rsidR="00E804FB">
        <w:t>3</w:t>
      </w:r>
      <w:r>
        <w:noBreakHyphen/>
      </w:r>
      <w:fldSimple w:instr=" SEQ Oefening \* ARABIC \s 2 ">
        <w:r w:rsidR="002964CA">
          <w:rPr>
            <w:noProof/>
          </w:rPr>
          <w:t>5</w:t>
        </w:r>
      </w:fldSimple>
    </w:p>
    <w:p w14:paraId="01F50212" w14:textId="3444FF51" w:rsidR="001152E7" w:rsidRPr="008A4584" w:rsidRDefault="001152E7" w:rsidP="00883ACE">
      <w:r w:rsidRPr="008A4584">
        <w:t xml:space="preserve">De onderneming </w:t>
      </w:r>
      <w:proofErr w:type="spellStart"/>
      <w:r w:rsidR="00D92EA1">
        <w:t>Tweety</w:t>
      </w:r>
      <w:proofErr w:type="spellEnd"/>
      <w:r w:rsidRPr="008A4584">
        <w:t xml:space="preserve"> Twister overweegt d</w:t>
      </w:r>
      <w:r w:rsidR="00416469" w:rsidRPr="008A4584">
        <w:t>e aankoop van een nieuwe produc</w:t>
      </w:r>
      <w:r w:rsidRPr="008A4584">
        <w:t>tie-eenheid</w:t>
      </w:r>
      <w:r w:rsidR="00416469" w:rsidRPr="008A4584">
        <w:t xml:space="preserve"> ten bedrage van 120 miljoen euro</w:t>
      </w:r>
      <w:r w:rsidRPr="008A4584">
        <w:t>. De onderneming verwacht dat deze productie</w:t>
      </w:r>
      <w:r w:rsidR="00416469" w:rsidRPr="008A4584">
        <w:t>-</w:t>
      </w:r>
      <w:r w:rsidRPr="008A4584">
        <w:t>eenheid voor de komende dr</w:t>
      </w:r>
      <w:r w:rsidR="00416469" w:rsidRPr="008A4584">
        <w:t>ie jaren jaarlijks een bedrijfs</w:t>
      </w:r>
      <w:r w:rsidRPr="008A4584">
        <w:t>winst voor belastingen en voor rentela</w:t>
      </w:r>
      <w:r w:rsidR="005A35DA">
        <w:t>sten oplevert van 20 miljoen euro</w:t>
      </w:r>
      <w:r w:rsidRPr="008A4584">
        <w:t>. De productie</w:t>
      </w:r>
      <w:r w:rsidR="00416469" w:rsidRPr="008A4584">
        <w:t>-</w:t>
      </w:r>
      <w:r w:rsidRPr="008A4584">
        <w:t>ee</w:t>
      </w:r>
      <w:r w:rsidR="00416469" w:rsidRPr="008A4584">
        <w:t>nheid wordt lineair over 3 jaar</w:t>
      </w:r>
      <w:r w:rsidRPr="008A4584">
        <w:t xml:space="preserve"> afgeschreven</w:t>
      </w:r>
      <w:r w:rsidR="00416469" w:rsidRPr="008A4584">
        <w:t>, de restwaarde na die periode is verwaarloosbaar.</w:t>
      </w:r>
    </w:p>
    <w:p w14:paraId="01F50214" w14:textId="4BEC3E0F" w:rsidR="001152E7" w:rsidRPr="007C17EA" w:rsidRDefault="001152E7" w:rsidP="00883ACE">
      <w:r w:rsidRPr="007C17EA">
        <w:t>Dit project heeft hetzelfde bedrijfsrisico als de onde</w:t>
      </w:r>
      <w:r w:rsidR="00416469">
        <w:t xml:space="preserve">rneming </w:t>
      </w:r>
      <w:proofErr w:type="spellStart"/>
      <w:r w:rsidR="00416469">
        <w:t>Mariachi</w:t>
      </w:r>
      <w:proofErr w:type="spellEnd"/>
      <w:r w:rsidR="00416469">
        <w:t>, die gefinanci</w:t>
      </w:r>
      <w:r w:rsidRPr="007C17EA">
        <w:t>erd is met 70% eigen vermogen. Volgens een gereputeerd effec</w:t>
      </w:r>
      <w:r w:rsidR="00416469">
        <w:t>ten</w:t>
      </w:r>
      <w:r w:rsidR="00416469">
        <w:softHyphen/>
        <w:t>makelaarshuis bedraagt de bè</w:t>
      </w:r>
      <w:r w:rsidRPr="007C17EA">
        <w:t xml:space="preserve">ta-coëfficiënt van </w:t>
      </w:r>
      <w:proofErr w:type="spellStart"/>
      <w:r w:rsidRPr="007C17EA">
        <w:t>Mariachi</w:t>
      </w:r>
      <w:proofErr w:type="spellEnd"/>
      <w:r w:rsidRPr="007C17EA">
        <w:t xml:space="preserve"> 1,20. De risico-vrije rentevoet bedraagt 7% en de marktrisicopremie bedra</w:t>
      </w:r>
      <w:r w:rsidR="00416469">
        <w:t>agt</w:t>
      </w:r>
      <w:r w:rsidR="001716E2">
        <w:t xml:space="preserve"> </w:t>
      </w:r>
      <w:r w:rsidR="00416469">
        <w:t>5%. De relevante belasting</w:t>
      </w:r>
      <w:r w:rsidRPr="007C17EA">
        <w:t>voet op ondernemingswinsten bedraagt</w:t>
      </w:r>
      <w:r w:rsidR="001716E2">
        <w:t xml:space="preserve"> </w:t>
      </w:r>
      <w:r w:rsidRPr="007C17EA">
        <w:t>34%.</w:t>
      </w:r>
      <w:r w:rsidR="001716E2">
        <w:t xml:space="preserve"> </w:t>
      </w:r>
      <w:r w:rsidRPr="007C17EA">
        <w:t xml:space="preserve">De onderneming </w:t>
      </w:r>
      <w:proofErr w:type="spellStart"/>
      <w:r w:rsidR="00D92EA1">
        <w:t>Tweety</w:t>
      </w:r>
      <w:proofErr w:type="spellEnd"/>
      <w:r w:rsidRPr="007C17EA">
        <w:t xml:space="preserve"> Twister zal dit project financieren overeenkomstig haar gewenste kapitaalstructuurpolitiek</w:t>
      </w:r>
      <w:r w:rsidR="00416469">
        <w:t>,</w:t>
      </w:r>
      <w:r w:rsidRPr="007C17EA">
        <w:t xml:space="preserve"> zijnde </w:t>
      </w:r>
      <w:r w:rsidR="00416469">
        <w:t xml:space="preserve">met </w:t>
      </w:r>
      <w:r w:rsidRPr="007C17EA">
        <w:t>60% eigen vermogen en</w:t>
      </w:r>
      <w:r w:rsidR="001716E2">
        <w:t xml:space="preserve"> </w:t>
      </w:r>
      <w:r w:rsidRPr="007C17EA">
        <w:t xml:space="preserve">40% vreemd vermogen. </w:t>
      </w:r>
    </w:p>
    <w:p w14:paraId="01F50216" w14:textId="58DC0ABE" w:rsidR="001152E7" w:rsidRPr="007C17EA" w:rsidRDefault="001152E7" w:rsidP="00883ACE">
      <w:r w:rsidRPr="007C17EA">
        <w:t>Bereken de NPV van het project.</w:t>
      </w:r>
    </w:p>
    <w:p w14:paraId="077573D8" w14:textId="71205B43" w:rsidR="008A4584" w:rsidRDefault="008A4584" w:rsidP="00883ACE">
      <w:pPr>
        <w:pStyle w:val="Caption"/>
      </w:pPr>
      <w:r>
        <w:t xml:space="preserve">Oefening </w:t>
      </w:r>
      <w:r w:rsidR="00E804FB">
        <w:t>3</w:t>
      </w:r>
      <w:r>
        <w:noBreakHyphen/>
      </w:r>
      <w:fldSimple w:instr=" SEQ Oefening \* ARABIC \s 2 ">
        <w:r w:rsidR="002964CA">
          <w:rPr>
            <w:noProof/>
          </w:rPr>
          <w:t>6</w:t>
        </w:r>
      </w:fldSimple>
    </w:p>
    <w:p w14:paraId="38373530" w14:textId="0F15B165" w:rsidR="00A2790F" w:rsidRPr="008A4584" w:rsidRDefault="00A2790F" w:rsidP="00883ACE">
      <w:r w:rsidRPr="008A4584">
        <w:t xml:space="preserve">Vorig jaar kocht The </w:t>
      </w:r>
      <w:proofErr w:type="spellStart"/>
      <w:r w:rsidR="001152E7" w:rsidRPr="008A4584">
        <w:t>Chellin</w:t>
      </w:r>
      <w:proofErr w:type="spellEnd"/>
      <w:r w:rsidR="001152E7" w:rsidRPr="008A4584">
        <w:t xml:space="preserve"> Company </w:t>
      </w:r>
      <w:r w:rsidRPr="008A4584">
        <w:t>een speciaal toestel voor een prijs van 12 000 euro.</w:t>
      </w:r>
      <w:r w:rsidR="001716E2" w:rsidRPr="008A4584">
        <w:t xml:space="preserve"> </w:t>
      </w:r>
      <w:r w:rsidRPr="008A4584">
        <w:t xml:space="preserve">Op dat moment werd verondersteld dat dit toestel een levensduur van 6 jaar had en dat de restwaarde na 6 jaar nul zou zijn. Het gebruik van de machine vergt jaarlijks zo’n 20 000 euro kaskosten. </w:t>
      </w:r>
    </w:p>
    <w:p w14:paraId="01F50223" w14:textId="764A3FD7" w:rsidR="001152E7" w:rsidRDefault="00A2790F" w:rsidP="00883ACE">
      <w:r>
        <w:t xml:space="preserve">Nu is er een nieuwe machine op de markt gebracht, waarmee dezelfde resultaten bereikt kunnen worden, maar tegen lagere jaarlijkse kaskosten (17 000 euro). </w:t>
      </w:r>
      <w:r w:rsidR="00A17538" w:rsidRPr="00A17538">
        <w:t xml:space="preserve">Dit nieuw toestel kost 21 000 euro en heeft een verwachte levensduur van 5 jaar, waarna de restwaarde nul zou zijn. </w:t>
      </w:r>
      <w:r w:rsidR="00A17538">
        <w:t>De oude machine kan voor 8 000 euro verkocht worden aan een schroothandelaar. Machines worden lineair afgeschreven, en de onderneming betaalt 30% vennootschapsbelasting op haar resultaat. De kapitaalkost na belastingen bedraagt 8%.</w:t>
      </w:r>
    </w:p>
    <w:p w14:paraId="4DC214DA" w14:textId="5BB3918F" w:rsidR="00A17538" w:rsidRDefault="00A17538" w:rsidP="00883ACE">
      <w:pPr>
        <w:pStyle w:val="ListParagraph"/>
        <w:numPr>
          <w:ilvl w:val="0"/>
          <w:numId w:val="7"/>
        </w:numPr>
      </w:pPr>
      <w:r>
        <w:t>Hoeveel bedraagt de initiële investering?</w:t>
      </w:r>
    </w:p>
    <w:p w14:paraId="048E21CE" w14:textId="662BF2B3" w:rsidR="00A17538" w:rsidRDefault="00A17538" w:rsidP="00883ACE">
      <w:pPr>
        <w:pStyle w:val="ListParagraph"/>
        <w:numPr>
          <w:ilvl w:val="0"/>
          <w:numId w:val="7"/>
        </w:numPr>
      </w:pPr>
      <w:r>
        <w:t>Bereken de incrementele kasstromen na belastingen.</w:t>
      </w:r>
    </w:p>
    <w:p w14:paraId="01F5022A" w14:textId="56C97F48" w:rsidR="001152E7" w:rsidRPr="008A4584" w:rsidRDefault="00E804FB" w:rsidP="006560E9">
      <w:pPr>
        <w:pStyle w:val="ListParagraph"/>
        <w:numPr>
          <w:ilvl w:val="0"/>
          <w:numId w:val="7"/>
        </w:numPr>
      </w:pPr>
      <w:r>
        <w:t>Bereken de NPV en IRR</w:t>
      </w:r>
    </w:p>
    <w:sectPr w:rsidR="001152E7" w:rsidRPr="008A45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D14A3"/>
    <w:multiLevelType w:val="hybridMultilevel"/>
    <w:tmpl w:val="92CE51A4"/>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D7F1145"/>
    <w:multiLevelType w:val="hybridMultilevel"/>
    <w:tmpl w:val="5A0ACABC"/>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1943760"/>
    <w:multiLevelType w:val="hybridMultilevel"/>
    <w:tmpl w:val="3B98BD1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2D71CA2"/>
    <w:multiLevelType w:val="hybridMultilevel"/>
    <w:tmpl w:val="C2A0F2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6993E5B"/>
    <w:multiLevelType w:val="hybridMultilevel"/>
    <w:tmpl w:val="A262007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C4E46C8"/>
    <w:multiLevelType w:val="hybridMultilevel"/>
    <w:tmpl w:val="5914E26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2DB1972"/>
    <w:multiLevelType w:val="hybridMultilevel"/>
    <w:tmpl w:val="6E2038E8"/>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3346AC5"/>
    <w:multiLevelType w:val="hybridMultilevel"/>
    <w:tmpl w:val="320E97E2"/>
    <w:lvl w:ilvl="0" w:tplc="0813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30746C"/>
    <w:multiLevelType w:val="hybridMultilevel"/>
    <w:tmpl w:val="320E97E2"/>
    <w:lvl w:ilvl="0" w:tplc="0813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641061"/>
    <w:multiLevelType w:val="hybridMultilevel"/>
    <w:tmpl w:val="14F2CA62"/>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CEA0562"/>
    <w:multiLevelType w:val="hybridMultilevel"/>
    <w:tmpl w:val="C35645FE"/>
    <w:lvl w:ilvl="0" w:tplc="9730B2F8">
      <w:start w:val="1"/>
      <w:numFmt w:val="decimal"/>
      <w:pStyle w:val="Heading2"/>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50337B4C"/>
    <w:multiLevelType w:val="hybridMultilevel"/>
    <w:tmpl w:val="DB6409A8"/>
    <w:lvl w:ilvl="0" w:tplc="ABFA0B3A">
      <w:start w:val="1"/>
      <w:numFmt w:val="decimal"/>
      <w:pStyle w:val="ListParagraph"/>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506D2888"/>
    <w:multiLevelType w:val="hybridMultilevel"/>
    <w:tmpl w:val="320E97E2"/>
    <w:lvl w:ilvl="0" w:tplc="0813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9197D"/>
    <w:multiLevelType w:val="hybridMultilevel"/>
    <w:tmpl w:val="34DADF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980E35"/>
    <w:multiLevelType w:val="hybridMultilevel"/>
    <w:tmpl w:val="9C7E37A4"/>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6685EBC"/>
    <w:multiLevelType w:val="hybridMultilevel"/>
    <w:tmpl w:val="459E54B0"/>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6A90572E"/>
    <w:multiLevelType w:val="hybridMultilevel"/>
    <w:tmpl w:val="4DA412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6FF60F5A"/>
    <w:multiLevelType w:val="hybridMultilevel"/>
    <w:tmpl w:val="278C6CA6"/>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76C94F3E"/>
    <w:multiLevelType w:val="hybridMultilevel"/>
    <w:tmpl w:val="55FE4F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6"/>
  </w:num>
  <w:num w:numId="2">
    <w:abstractNumId w:val="13"/>
  </w:num>
  <w:num w:numId="3">
    <w:abstractNumId w:val="2"/>
  </w:num>
  <w:num w:numId="4">
    <w:abstractNumId w:val="9"/>
  </w:num>
  <w:num w:numId="5">
    <w:abstractNumId w:val="0"/>
  </w:num>
  <w:num w:numId="6">
    <w:abstractNumId w:val="12"/>
  </w:num>
  <w:num w:numId="7">
    <w:abstractNumId w:val="17"/>
  </w:num>
  <w:num w:numId="8">
    <w:abstractNumId w:val="11"/>
  </w:num>
  <w:num w:numId="9">
    <w:abstractNumId w:val="16"/>
  </w:num>
  <w:num w:numId="10">
    <w:abstractNumId w:val="5"/>
  </w:num>
  <w:num w:numId="11">
    <w:abstractNumId w:val="18"/>
  </w:num>
  <w:num w:numId="12">
    <w:abstractNumId w:val="4"/>
  </w:num>
  <w:num w:numId="13">
    <w:abstractNumId w:val="14"/>
  </w:num>
  <w:num w:numId="14">
    <w:abstractNumId w:val="10"/>
  </w:num>
  <w:num w:numId="15">
    <w:abstractNumId w:val="3"/>
  </w:num>
  <w:num w:numId="16">
    <w:abstractNumId w:val="11"/>
    <w:lvlOverride w:ilvl="0">
      <w:startOverride w:val="1"/>
    </w:lvlOverride>
  </w:num>
  <w:num w:numId="17">
    <w:abstractNumId w:val="7"/>
  </w:num>
  <w:num w:numId="18">
    <w:abstractNumId w:val="8"/>
  </w:num>
  <w:num w:numId="19">
    <w:abstractNumId w:val="11"/>
    <w:lvlOverride w:ilvl="0">
      <w:startOverride w:val="1"/>
    </w:lvlOverride>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ACD"/>
    <w:rsid w:val="0001266E"/>
    <w:rsid w:val="00026CBC"/>
    <w:rsid w:val="001152E7"/>
    <w:rsid w:val="001210E9"/>
    <w:rsid w:val="001550FC"/>
    <w:rsid w:val="001716E2"/>
    <w:rsid w:val="001A528C"/>
    <w:rsid w:val="001E53E8"/>
    <w:rsid w:val="00247093"/>
    <w:rsid w:val="002964CA"/>
    <w:rsid w:val="002B5032"/>
    <w:rsid w:val="00416469"/>
    <w:rsid w:val="004371C1"/>
    <w:rsid w:val="004642AB"/>
    <w:rsid w:val="00495B00"/>
    <w:rsid w:val="00585DB4"/>
    <w:rsid w:val="005A35DA"/>
    <w:rsid w:val="005D2BEE"/>
    <w:rsid w:val="00624AD8"/>
    <w:rsid w:val="006340D6"/>
    <w:rsid w:val="007C17EA"/>
    <w:rsid w:val="00883ACE"/>
    <w:rsid w:val="00894288"/>
    <w:rsid w:val="008A4584"/>
    <w:rsid w:val="00907D2A"/>
    <w:rsid w:val="009B6C1B"/>
    <w:rsid w:val="009D1D5A"/>
    <w:rsid w:val="009F38C0"/>
    <w:rsid w:val="00A17538"/>
    <w:rsid w:val="00A2790F"/>
    <w:rsid w:val="00B86A49"/>
    <w:rsid w:val="00BA057A"/>
    <w:rsid w:val="00BA5A61"/>
    <w:rsid w:val="00BD4187"/>
    <w:rsid w:val="00C3414F"/>
    <w:rsid w:val="00C56C16"/>
    <w:rsid w:val="00C71225"/>
    <w:rsid w:val="00C71B95"/>
    <w:rsid w:val="00D92EA1"/>
    <w:rsid w:val="00D93337"/>
    <w:rsid w:val="00D97382"/>
    <w:rsid w:val="00DB23ED"/>
    <w:rsid w:val="00E804FB"/>
    <w:rsid w:val="00EE0A5F"/>
    <w:rsid w:val="00F54ACD"/>
    <w:rsid w:val="00F75345"/>
    <w:rsid w:val="00F835A4"/>
    <w:rsid w:val="00FE65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0144"/>
  <w15:docId w15:val="{3F150375-299D-4A7B-AEBA-239C2614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3ACE"/>
    <w:pPr>
      <w:widowControl w:val="0"/>
      <w:autoSpaceDE w:val="0"/>
      <w:autoSpaceDN w:val="0"/>
      <w:jc w:val="both"/>
    </w:pPr>
    <w:rPr>
      <w:rFonts w:eastAsia="Times New Roman" w:cs="Courier New"/>
      <w:lang w:eastAsia="nl-BE"/>
    </w:rPr>
  </w:style>
  <w:style w:type="paragraph" w:styleId="Heading1">
    <w:name w:val="heading 1"/>
    <w:basedOn w:val="Normal"/>
    <w:next w:val="Normal"/>
    <w:link w:val="Heading1Char"/>
    <w:uiPriority w:val="9"/>
    <w:qFormat/>
    <w:rsid w:val="00F7534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716E2"/>
    <w:pPr>
      <w:keepNext/>
      <w:keepLines/>
      <w:pageBreakBefore/>
      <w:numPr>
        <w:numId w:val="14"/>
      </w:numPr>
      <w:spacing w:before="120" w:after="120" w:line="360" w:lineRule="auto"/>
      <w:ind w:left="714" w:hanging="357"/>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A4584"/>
    <w:pPr>
      <w:keepNext/>
      <w:keepLines/>
      <w:spacing w:before="40" w:after="2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ACE"/>
    <w:pPr>
      <w:numPr>
        <w:numId w:val="8"/>
      </w:numPr>
      <w:spacing w:after="60"/>
      <w:ind w:left="714" w:hanging="357"/>
    </w:pPr>
  </w:style>
  <w:style w:type="paragraph" w:styleId="NormalWeb">
    <w:name w:val="Normal (Web)"/>
    <w:basedOn w:val="Normal"/>
    <w:uiPriority w:val="99"/>
    <w:semiHidden/>
    <w:unhideWhenUsed/>
    <w:rsid w:val="00C56C16"/>
    <w:pPr>
      <w:widowControl/>
      <w:autoSpaceDE/>
      <w:autoSpaceDN/>
      <w:spacing w:before="100" w:beforeAutospacing="1" w:after="100" w:afterAutospacing="1"/>
    </w:pPr>
    <w:rPr>
      <w:rFonts w:ascii="Times New Roman" w:hAnsi="Times New Roman" w:cs="Times New Roman"/>
      <w:sz w:val="24"/>
      <w:szCs w:val="24"/>
    </w:rPr>
  </w:style>
  <w:style w:type="table" w:styleId="TableGrid">
    <w:name w:val="Table Grid"/>
    <w:basedOn w:val="TableNormal"/>
    <w:uiPriority w:val="59"/>
    <w:rsid w:val="00121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5345"/>
    <w:rPr>
      <w:rFonts w:asciiTheme="majorHAnsi" w:eastAsiaTheme="majorEastAsia" w:hAnsiTheme="majorHAnsi" w:cstheme="majorBidi"/>
      <w:color w:val="365F91" w:themeColor="accent1" w:themeShade="BF"/>
      <w:sz w:val="32"/>
      <w:szCs w:val="32"/>
      <w:lang w:val="nl-NL"/>
    </w:rPr>
  </w:style>
  <w:style w:type="character" w:customStyle="1" w:styleId="Heading2Char">
    <w:name w:val="Heading 2 Char"/>
    <w:basedOn w:val="DefaultParagraphFont"/>
    <w:link w:val="Heading2"/>
    <w:uiPriority w:val="9"/>
    <w:rsid w:val="001716E2"/>
    <w:rPr>
      <w:rFonts w:asciiTheme="majorHAnsi" w:eastAsiaTheme="majorEastAsia" w:hAnsiTheme="majorHAnsi" w:cstheme="majorBidi"/>
      <w:color w:val="365F91" w:themeColor="accent1" w:themeShade="BF"/>
      <w:sz w:val="26"/>
      <w:szCs w:val="26"/>
      <w:lang w:val="nl-NL"/>
    </w:rPr>
  </w:style>
  <w:style w:type="character" w:customStyle="1" w:styleId="Heading3Char">
    <w:name w:val="Heading 3 Char"/>
    <w:basedOn w:val="DefaultParagraphFont"/>
    <w:link w:val="Heading3"/>
    <w:uiPriority w:val="9"/>
    <w:rsid w:val="008A4584"/>
    <w:rPr>
      <w:rFonts w:asciiTheme="majorHAnsi" w:eastAsiaTheme="majorEastAsia" w:hAnsiTheme="majorHAnsi" w:cstheme="majorBidi"/>
      <w:color w:val="243F60" w:themeColor="accent1" w:themeShade="7F"/>
      <w:sz w:val="24"/>
      <w:szCs w:val="24"/>
      <w:lang w:val="nl-NL"/>
    </w:rPr>
  </w:style>
  <w:style w:type="character" w:styleId="CommentReference">
    <w:name w:val="annotation reference"/>
    <w:basedOn w:val="DefaultParagraphFont"/>
    <w:uiPriority w:val="99"/>
    <w:semiHidden/>
    <w:unhideWhenUsed/>
    <w:rsid w:val="008A4584"/>
    <w:rPr>
      <w:sz w:val="16"/>
      <w:szCs w:val="16"/>
    </w:rPr>
  </w:style>
  <w:style w:type="paragraph" w:styleId="CommentText">
    <w:name w:val="annotation text"/>
    <w:basedOn w:val="Normal"/>
    <w:link w:val="CommentTextChar"/>
    <w:uiPriority w:val="99"/>
    <w:semiHidden/>
    <w:unhideWhenUsed/>
    <w:rsid w:val="008A4584"/>
  </w:style>
  <w:style w:type="character" w:customStyle="1" w:styleId="CommentTextChar">
    <w:name w:val="Comment Text Char"/>
    <w:basedOn w:val="DefaultParagraphFont"/>
    <w:link w:val="CommentText"/>
    <w:uiPriority w:val="99"/>
    <w:semiHidden/>
    <w:rsid w:val="008A4584"/>
    <w:rPr>
      <w:rFonts w:ascii="Courier New" w:eastAsia="Times New Roman" w:hAnsi="Courier New" w:cs="Courier New"/>
      <w:sz w:val="20"/>
      <w:szCs w:val="20"/>
      <w:lang w:val="nl-NL"/>
    </w:rPr>
  </w:style>
  <w:style w:type="paragraph" w:styleId="CommentSubject">
    <w:name w:val="annotation subject"/>
    <w:basedOn w:val="CommentText"/>
    <w:next w:val="CommentText"/>
    <w:link w:val="CommentSubjectChar"/>
    <w:uiPriority w:val="99"/>
    <w:semiHidden/>
    <w:unhideWhenUsed/>
    <w:rsid w:val="008A4584"/>
    <w:rPr>
      <w:b/>
      <w:bCs/>
    </w:rPr>
  </w:style>
  <w:style w:type="character" w:customStyle="1" w:styleId="CommentSubjectChar">
    <w:name w:val="Comment Subject Char"/>
    <w:basedOn w:val="CommentTextChar"/>
    <w:link w:val="CommentSubject"/>
    <w:uiPriority w:val="99"/>
    <w:semiHidden/>
    <w:rsid w:val="008A4584"/>
    <w:rPr>
      <w:rFonts w:ascii="Courier New" w:eastAsia="Times New Roman" w:hAnsi="Courier New" w:cs="Courier New"/>
      <w:b/>
      <w:bCs/>
      <w:sz w:val="20"/>
      <w:szCs w:val="20"/>
      <w:lang w:val="nl-NL"/>
    </w:rPr>
  </w:style>
  <w:style w:type="paragraph" w:styleId="BalloonText">
    <w:name w:val="Balloon Text"/>
    <w:basedOn w:val="Normal"/>
    <w:link w:val="BalloonTextChar"/>
    <w:uiPriority w:val="99"/>
    <w:semiHidden/>
    <w:unhideWhenUsed/>
    <w:rsid w:val="008A45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584"/>
    <w:rPr>
      <w:rFonts w:ascii="Segoe UI" w:eastAsia="Times New Roman" w:hAnsi="Segoe UI" w:cs="Segoe UI"/>
      <w:sz w:val="18"/>
      <w:szCs w:val="18"/>
      <w:lang w:val="nl-NL"/>
    </w:rPr>
  </w:style>
  <w:style w:type="paragraph" w:styleId="Caption">
    <w:name w:val="caption"/>
    <w:basedOn w:val="Normal"/>
    <w:next w:val="Normal"/>
    <w:uiPriority w:val="35"/>
    <w:unhideWhenUsed/>
    <w:qFormat/>
    <w:rsid w:val="008A4584"/>
    <w:rPr>
      <w:i/>
      <w:iCs/>
      <w:color w:val="1F497D" w:themeColor="text2"/>
      <w:szCs w:val="18"/>
    </w:rPr>
  </w:style>
  <w:style w:type="paragraph" w:customStyle="1" w:styleId="Tabeltekst">
    <w:name w:val="Tabeltekst"/>
    <w:basedOn w:val="Normal"/>
    <w:link w:val="TabeltekstChar"/>
    <w:qFormat/>
    <w:rsid w:val="00883ACE"/>
    <w:pPr>
      <w:spacing w:after="0"/>
    </w:pPr>
  </w:style>
  <w:style w:type="character" w:customStyle="1" w:styleId="TabeltekstChar">
    <w:name w:val="Tabeltekst Char"/>
    <w:basedOn w:val="DefaultParagraphFont"/>
    <w:link w:val="Tabeltekst"/>
    <w:rsid w:val="00883ACE"/>
    <w:rPr>
      <w:rFonts w:eastAsia="Times New Roman" w:cs="Courier New"/>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2038">
      <w:bodyDiv w:val="1"/>
      <w:marLeft w:val="0"/>
      <w:marRight w:val="0"/>
      <w:marTop w:val="0"/>
      <w:marBottom w:val="0"/>
      <w:divBdr>
        <w:top w:val="none" w:sz="0" w:space="0" w:color="auto"/>
        <w:left w:val="none" w:sz="0" w:space="0" w:color="auto"/>
        <w:bottom w:val="none" w:sz="0" w:space="0" w:color="auto"/>
        <w:right w:val="none" w:sz="0" w:space="0" w:color="auto"/>
      </w:divBdr>
    </w:div>
    <w:div w:id="176425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F5FE5-A043-4C04-8F92-8C9D5C57D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709</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Laveren Eddy</dc:creator>
  <cp:lastModifiedBy>Alain Praet</cp:lastModifiedBy>
  <cp:revision>2</cp:revision>
  <cp:lastPrinted>2016-01-03T20:29:00Z</cp:lastPrinted>
  <dcterms:created xsi:type="dcterms:W3CDTF">2021-09-07T20:11:00Z</dcterms:created>
  <dcterms:modified xsi:type="dcterms:W3CDTF">2021-09-07T20:11:00Z</dcterms:modified>
</cp:coreProperties>
</file>