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ans CJK TC" w:hAnsi="Noto Sans CJK TC" w:eastAsia="Noto Sans CJK TC"/>
          <w:b/>
          <w:sz w:val="40"/>
        </w:rPr>
        <w:t>泌尿科門診前問診與醫師覆核摘要支持系統</w:t>
      </w:r>
    </w:p>
    <w:p>
      <w:pPr>
        <w:jc w:val="center"/>
      </w:pPr>
      <w:r>
        <w:rPr>
          <w:rFonts w:ascii="Noto Sans CJK TC" w:hAnsi="Noto Sans CJK TC" w:eastAsia="Noto Sans CJK TC"/>
          <w:sz w:val="26"/>
        </w:rPr>
        <w:t>健康台灣深耕計畫｜計畫內容填寫、KPI 與三年 NT$10,000,000 經費規劃審查版</w:t>
      </w:r>
    </w:p>
    <w:p>
      <w:pPr>
        <w:jc w:val="center"/>
      </w:pPr>
      <w:r>
        <w:rPr>
          <w:rFonts w:ascii="Noto Sans CJK TC" w:hAnsi="Noto Sans CJK TC" w:eastAsia="Noto Sans CJK TC"/>
          <w:sz w:val="18"/>
        </w:rPr>
        <w:t>版本：2026-06-19｜依 package 內容與官方資料核實後整理</w:t>
      </w:r>
    </w:p>
    <w:p>
      <w:pPr>
        <w:pStyle w:val="Heading1"/>
      </w:pPr>
      <w:r>
        <w:rPr>
          <w:rFonts w:ascii="Noto Sans CJK TC" w:hAnsi="Noto Sans CJK TC" w:eastAsia="Noto Sans CJK TC"/>
        </w:rPr>
        <w:t>一、結論與審查策略</w:t>
      </w:r>
    </w:p>
    <w:p>
      <w:pPr>
        <w:spacing w:after="100" w:line="259" w:lineRule="auto"/>
      </w:pPr>
      <w:r>
        <w:rPr>
          <w:rFonts w:ascii="Noto Sans CJK TC" w:hAnsi="Noto Sans CJK TC" w:eastAsia="Noto Sans CJK TC"/>
          <w:sz w:val="20"/>
        </w:rPr>
        <w:t>建議採「範疇三：導入智慧科技醫療」為主軸，「範疇一：優化醫療工作條件」為副支援。理由很簡單：官方健康台灣深耕計畫明列智慧科技醫療包含 AI 協助臨床、優化醫療照護流程和效率、醫療數據共享和安全；衛福部專區也鼓勵醫療機構提出創新績效指標與具體可行的衡量方式。這使本案以 guided intake、source label、missing-field visibility、一頁式醫師覆核摘要與 AI/data/security governance 作為核心，是合理且可審查的設計。</w:t>
      </w:r>
    </w:p>
    <w:p>
      <w:pPr>
        <w:spacing w:after="100" w:line="259" w:lineRule="auto"/>
      </w:pPr>
      <w:r>
        <w:rPr>
          <w:rFonts w:ascii="Noto Sans CJK TC" w:hAnsi="Noto Sans CJK TC" w:eastAsia="Noto Sans CJK TC"/>
          <w:sz w:val="20"/>
        </w:rPr>
        <w:t>經費建議維持三年 NT$10,000,000 作為 AI-only 工作額度，不納入 CRM、病人追蹤、HIS/EMR 正式寫回、AI 診斷/治療/分流或國外旅費。這不是保守，而是把評審最容易攻擊的 scope creep 先切掉，集中火力證明：門診前資訊蒐集與醫師覆核摘要可以被治理、被驗收、被量化、被交接。</w:t>
      </w:r>
    </w:p>
    <w:p>
      <w:pPr>
        <w:spacing w:after="100" w:line="259" w:lineRule="auto"/>
      </w:pPr>
      <w:r>
        <w:rPr>
          <w:rFonts w:ascii="Noto Sans CJK TC" w:hAnsi="Noto Sans CJK TC" w:eastAsia="Noto Sans CJK TC"/>
          <w:sz w:val="20"/>
        </w:rPr>
        <w:t>正式表格應把本稿工作包轉成官方科目：人事費、業務費、設備費，並依「健康台灣深耕計畫經費支用標準」逐項列細目、單價、數量、年度、採購註記與驗收證據。資本門本案規劃約 NT$230,000，占總額 2.3%，低於 30% 上限；其餘以人事、流程治理、資料治理、評估與可租用資訊服務為主。</w:t>
      </w:r>
    </w:p>
    <w:p>
      <w:pPr>
        <w:pStyle w:val="Heading1"/>
      </w:pPr>
      <w:r>
        <w:rPr>
          <w:rFonts w:ascii="Noto Sans CJK TC" w:hAnsi="Noto Sans CJK TC" w:eastAsia="Noto Sans CJK TC"/>
        </w:rPr>
        <w:t>二、封面與基本欄位填寫建議</w:t>
      </w:r>
    </w:p>
    <w:tbl>
      <w:tblPr>
        <w:tblStyle w:val="TableGrid"/>
        <w:tblW w:type="auto" w:w="0"/>
        <w:jc w:val="center"/>
        <w:tblLook w:firstColumn="1" w:firstRow="1" w:lastColumn="0" w:lastRow="0" w:noHBand="0" w:noVBand="1" w:val="04A0"/>
      </w:tblPr>
      <w:tblGrid>
        <w:gridCol w:w="5131"/>
        <w:gridCol w:w="5131"/>
        <w:gridCol w:w="5131"/>
      </w:tblGrid>
      <w:tr>
        <w:tc>
          <w:tcPr>
            <w:tcW w:type="dxa" w:w="2304"/>
            <w:vAlign w:val="top"/>
            <w:shd w:fill="0F766E"/>
          </w:tcPr>
          <w:p>
            <w:pPr>
              <w:jc w:val="left"/>
            </w:pPr>
            <w:r/>
            <w:r>
              <w:rPr>
                <w:rFonts w:ascii="Noto Sans CJK TC" w:hAnsi="Noto Sans CJK TC" w:eastAsia="Noto Sans CJK TC"/>
                <w:b/>
                <w:color w:val="FFFFFF"/>
                <w:sz w:val="17"/>
              </w:rPr>
              <w:t>欄位</w:t>
            </w:r>
          </w:p>
        </w:tc>
        <w:tc>
          <w:tcPr>
            <w:tcW w:type="dxa" w:w="5472"/>
            <w:vAlign w:val="top"/>
            <w:shd w:fill="0F766E"/>
          </w:tcPr>
          <w:p>
            <w:pPr>
              <w:jc w:val="left"/>
            </w:pPr>
            <w:r/>
            <w:r>
              <w:rPr>
                <w:rFonts w:ascii="Noto Sans CJK TC" w:hAnsi="Noto Sans CJK TC" w:eastAsia="Noto Sans CJK TC"/>
                <w:b/>
                <w:color w:val="FFFFFF"/>
                <w:sz w:val="17"/>
              </w:rPr>
              <w:t>建議填寫</w:t>
            </w:r>
          </w:p>
        </w:tc>
        <w:tc>
          <w:tcPr>
            <w:tcW w:type="dxa" w:w="7632"/>
            <w:vAlign w:val="top"/>
            <w:shd w:fill="0F766E"/>
          </w:tcPr>
          <w:p>
            <w:pPr>
              <w:jc w:val="left"/>
            </w:pPr>
            <w:r/>
            <w:r>
              <w:rPr>
                <w:rFonts w:ascii="Noto Sans CJK TC" w:hAnsi="Noto Sans CJK TC" w:eastAsia="Noto Sans CJK TC"/>
                <w:b/>
                <w:color w:val="FFFFFF"/>
                <w:sz w:val="17"/>
              </w:rPr>
              <w:t>審查說服點 / 注意事項</w:t>
            </w:r>
          </w:p>
        </w:tc>
      </w:tr>
      <w:tr>
        <w:tc>
          <w:tcPr>
            <w:tcW w:type="dxa" w:w="2304"/>
            <w:vAlign w:val="top"/>
          </w:tcPr>
          <w:p>
            <w:pPr>
              <w:jc w:val="left"/>
            </w:pPr>
            <w:r/>
            <w:r>
              <w:rPr>
                <w:rFonts w:ascii="Noto Sans CJK TC" w:hAnsi="Noto Sans CJK TC" w:eastAsia="Noto Sans CJK TC"/>
                <w:b w:val="0"/>
                <w:sz w:val="17"/>
              </w:rPr>
              <w:t>計畫名稱</w:t>
            </w:r>
          </w:p>
        </w:tc>
        <w:tc>
          <w:tcPr>
            <w:tcW w:type="dxa" w:w="5472"/>
            <w:vAlign w:val="top"/>
          </w:tcPr>
          <w:p>
            <w:pPr>
              <w:jc w:val="left"/>
            </w:pPr>
            <w:r/>
            <w:r>
              <w:rPr>
                <w:rFonts w:ascii="Noto Sans CJK TC" w:hAnsi="Noto Sans CJK TC" w:eastAsia="Noto Sans CJK TC"/>
                <w:b w:val="0"/>
                <w:sz w:val="17"/>
              </w:rPr>
              <w:t>泌尿科門診前問診與醫師覆核摘要支持系統</w:t>
            </w:r>
          </w:p>
        </w:tc>
        <w:tc>
          <w:tcPr>
            <w:tcW w:type="dxa" w:w="7632"/>
            <w:vAlign w:val="top"/>
          </w:tcPr>
          <w:p>
            <w:pPr>
              <w:jc w:val="left"/>
            </w:pPr>
            <w:r/>
            <w:r>
              <w:rPr>
                <w:rFonts w:ascii="Noto Sans CJK TC" w:hAnsi="Noto Sans CJK TC" w:eastAsia="Noto Sans CJK TC"/>
                <w:b w:val="0"/>
                <w:sz w:val="17"/>
              </w:rPr>
              <w:t>名稱直接扣住門診前問診、醫師覆核與摘要支持，不寫 CRM 或 AI 診斷。</w:t>
            </w:r>
          </w:p>
        </w:tc>
      </w:tr>
      <w:tr>
        <w:tc>
          <w:tcPr>
            <w:tcW w:type="dxa" w:w="2304"/>
            <w:vAlign w:val="top"/>
          </w:tcPr>
          <w:p>
            <w:pPr>
              <w:jc w:val="left"/>
            </w:pPr>
            <w:r/>
            <w:r>
              <w:rPr>
                <w:rFonts w:ascii="Noto Sans CJK TC" w:hAnsi="Noto Sans CJK TC" w:eastAsia="Noto Sans CJK TC"/>
                <w:b w:val="0"/>
                <w:sz w:val="17"/>
              </w:rPr>
              <w:t>縣市別</w:t>
            </w:r>
          </w:p>
        </w:tc>
        <w:tc>
          <w:tcPr>
            <w:tcW w:type="dxa" w:w="5472"/>
            <w:vAlign w:val="top"/>
          </w:tcPr>
          <w:p>
            <w:pPr>
              <w:jc w:val="left"/>
            </w:pPr>
            <w:r/>
            <w:r>
              <w:rPr>
                <w:rFonts w:ascii="Noto Sans CJK TC" w:hAnsi="Noto Sans CJK TC" w:eastAsia="Noto Sans CJK TC"/>
                <w:b w:val="0"/>
                <w:sz w:val="17"/>
              </w:rPr>
              <w:t>臺北市</w:t>
            </w:r>
          </w:p>
        </w:tc>
        <w:tc>
          <w:tcPr>
            <w:tcW w:type="dxa" w:w="7632"/>
            <w:vAlign w:val="top"/>
          </w:tcPr>
          <w:p>
            <w:pPr>
              <w:jc w:val="left"/>
            </w:pPr>
            <w:r/>
            <w:r>
              <w:rPr>
                <w:rFonts w:ascii="Noto Sans CJK TC" w:hAnsi="Noto Sans CJK TC" w:eastAsia="Noto Sans CJK TC"/>
                <w:b w:val="0"/>
                <w:sz w:val="17"/>
              </w:rPr>
              <w:t>依 package 與忠孝 / 信義母計畫脈絡。</w:t>
            </w:r>
          </w:p>
        </w:tc>
      </w:tr>
      <w:tr>
        <w:tc>
          <w:tcPr>
            <w:tcW w:type="dxa" w:w="2304"/>
            <w:vAlign w:val="top"/>
          </w:tcPr>
          <w:p>
            <w:pPr>
              <w:jc w:val="left"/>
            </w:pPr>
            <w:r/>
            <w:r>
              <w:rPr>
                <w:rFonts w:ascii="Noto Sans CJK TC" w:hAnsi="Noto Sans CJK TC" w:eastAsia="Noto Sans CJK TC"/>
                <w:b w:val="0"/>
                <w:sz w:val="17"/>
              </w:rPr>
              <w:t>申請模式</w:t>
            </w:r>
          </w:p>
        </w:tc>
        <w:tc>
          <w:tcPr>
            <w:tcW w:type="dxa" w:w="5472"/>
            <w:vAlign w:val="top"/>
          </w:tcPr>
          <w:p>
            <w:pPr>
              <w:jc w:val="left"/>
            </w:pPr>
            <w:r/>
            <w:r>
              <w:rPr>
                <w:rFonts w:ascii="Noto Sans CJK TC" w:hAnsi="Noto Sans CJK TC" w:eastAsia="Noto Sans CJK TC"/>
                <w:b w:val="0"/>
                <w:sz w:val="17"/>
              </w:rPr>
              <w:t>由主提單位確認；本稿先保留 A / A1 路徑</w:t>
            </w:r>
          </w:p>
        </w:tc>
        <w:tc>
          <w:tcPr>
            <w:tcW w:type="dxa" w:w="7632"/>
            <w:vAlign w:val="top"/>
          </w:tcPr>
          <w:p>
            <w:pPr>
              <w:jc w:val="left"/>
            </w:pPr>
            <w:r/>
            <w:r>
              <w:rPr>
                <w:rFonts w:ascii="Noto Sans CJK TC" w:hAnsi="Noto Sans CJK TC" w:eastAsia="Noto Sans CJK TC"/>
                <w:b w:val="0"/>
                <w:sz w:val="17"/>
              </w:rPr>
              <w:t>此欄涉及主提資格與行政路徑，不能由 NYCU 單方定案。</w:t>
            </w:r>
          </w:p>
        </w:tc>
      </w:tr>
      <w:tr>
        <w:tc>
          <w:tcPr>
            <w:tcW w:type="dxa" w:w="2304"/>
            <w:vAlign w:val="top"/>
          </w:tcPr>
          <w:p>
            <w:pPr>
              <w:jc w:val="left"/>
            </w:pPr>
            <w:r/>
            <w:r>
              <w:rPr>
                <w:rFonts w:ascii="Noto Sans CJK TC" w:hAnsi="Noto Sans CJK TC" w:eastAsia="Noto Sans CJK TC"/>
                <w:b w:val="0"/>
                <w:sz w:val="17"/>
              </w:rPr>
              <w:t>計畫範疇</w:t>
            </w:r>
          </w:p>
        </w:tc>
        <w:tc>
          <w:tcPr>
            <w:tcW w:type="dxa" w:w="5472"/>
            <w:vAlign w:val="top"/>
          </w:tcPr>
          <w:p>
            <w:pPr>
              <w:jc w:val="left"/>
            </w:pPr>
            <w:r/>
            <w:r>
              <w:rPr>
                <w:rFonts w:ascii="Noto Sans CJK TC" w:hAnsi="Noto Sans CJK TC" w:eastAsia="Noto Sans CJK TC"/>
                <w:b w:val="0"/>
                <w:sz w:val="17"/>
              </w:rPr>
              <w:t>主：範疇三「導入智慧科技醫療」；副：範疇一「優化醫療工作條件」</w:t>
            </w:r>
          </w:p>
        </w:tc>
        <w:tc>
          <w:tcPr>
            <w:tcW w:type="dxa" w:w="7632"/>
            <w:vAlign w:val="top"/>
          </w:tcPr>
          <w:p>
            <w:pPr>
              <w:jc w:val="left"/>
            </w:pPr>
            <w:r/>
            <w:r>
              <w:rPr>
                <w:rFonts w:ascii="Noto Sans CJK TC" w:hAnsi="Noto Sans CJK TC" w:eastAsia="Noto Sans CJK TC"/>
                <w:b w:val="0"/>
                <w:sz w:val="17"/>
              </w:rPr>
              <w:t>範疇三支撐 AI、流程效率、資料安全；範疇一支撐降低重複問診與資訊整理負擔。</w:t>
            </w:r>
          </w:p>
        </w:tc>
      </w:tr>
      <w:tr>
        <w:tc>
          <w:tcPr>
            <w:tcW w:type="dxa" w:w="2304"/>
            <w:vAlign w:val="top"/>
          </w:tcPr>
          <w:p>
            <w:pPr>
              <w:jc w:val="left"/>
            </w:pPr>
            <w:r/>
            <w:r>
              <w:rPr>
                <w:rFonts w:ascii="Noto Sans CJK TC" w:hAnsi="Noto Sans CJK TC" w:eastAsia="Noto Sans CJK TC"/>
                <w:b w:val="0"/>
                <w:sz w:val="17"/>
              </w:rPr>
              <w:t>主提機構 / PI / 聯絡人</w:t>
            </w:r>
          </w:p>
        </w:tc>
        <w:tc>
          <w:tcPr>
            <w:tcW w:type="dxa" w:w="5472"/>
            <w:vAlign w:val="top"/>
          </w:tcPr>
          <w:p>
            <w:pPr>
              <w:jc w:val="left"/>
            </w:pPr>
            <w:r/>
            <w:r>
              <w:rPr>
                <w:rFonts w:ascii="Noto Sans CJK TC" w:hAnsi="Noto Sans CJK TC" w:eastAsia="Noto Sans CJK TC"/>
                <w:b w:val="0"/>
                <w:sz w:val="17"/>
              </w:rPr>
              <w:t>待主提單位確認</w:t>
            </w:r>
          </w:p>
        </w:tc>
        <w:tc>
          <w:tcPr>
            <w:tcW w:type="dxa" w:w="7632"/>
            <w:vAlign w:val="top"/>
          </w:tcPr>
          <w:p>
            <w:pPr>
              <w:jc w:val="left"/>
            </w:pPr>
            <w:r/>
            <w:r>
              <w:rPr>
                <w:rFonts w:ascii="Noto Sans CJK TC" w:hAnsi="Noto Sans CJK TC" w:eastAsia="Noto Sans CJK TC"/>
                <w:b w:val="0"/>
                <w:sz w:val="17"/>
              </w:rPr>
              <w:t>這些是行政責任欄位；正式送件前必須補齊簽章、醫事機構代碼、利益衝突與參與同意文件。</w:t>
            </w:r>
          </w:p>
        </w:tc>
      </w:tr>
      <w:tr>
        <w:tc>
          <w:tcPr>
            <w:tcW w:type="dxa" w:w="2304"/>
            <w:vAlign w:val="top"/>
          </w:tcPr>
          <w:p>
            <w:pPr>
              <w:jc w:val="left"/>
            </w:pPr>
            <w:r/>
            <w:r>
              <w:rPr>
                <w:rFonts w:ascii="Noto Sans CJK TC" w:hAnsi="Noto Sans CJK TC" w:eastAsia="Noto Sans CJK TC"/>
                <w:b w:val="0"/>
                <w:sz w:val="17"/>
              </w:rPr>
              <w:t>合作機構</w:t>
            </w:r>
          </w:p>
        </w:tc>
        <w:tc>
          <w:tcPr>
            <w:tcW w:type="dxa" w:w="5472"/>
            <w:vAlign w:val="top"/>
          </w:tcPr>
          <w:p>
            <w:pPr>
              <w:jc w:val="left"/>
            </w:pPr>
            <w:r/>
            <w:r>
              <w:rPr>
                <w:rFonts w:ascii="Noto Sans CJK TC" w:hAnsi="Noto Sans CJK TC" w:eastAsia="Noto Sans CJK TC"/>
                <w:b w:val="0"/>
                <w:sz w:val="17"/>
              </w:rPr>
              <w:t>國立陽明交通大學團隊；臺北市立聯合醫院相關院區 / 門診部依主提案確認</w:t>
            </w:r>
          </w:p>
        </w:tc>
        <w:tc>
          <w:tcPr>
            <w:tcW w:type="dxa" w:w="7632"/>
            <w:vAlign w:val="top"/>
          </w:tcPr>
          <w:p>
            <w:pPr>
              <w:jc w:val="left"/>
            </w:pPr>
            <w:r/>
            <w:r>
              <w:rPr>
                <w:rFonts w:ascii="Noto Sans CJK TC" w:hAnsi="Noto Sans CJK TC" w:eastAsia="Noto Sans CJK TC"/>
                <w:b w:val="0"/>
                <w:sz w:val="17"/>
              </w:rPr>
              <w:t>NYCU 擔任 AI workflow、資料治理、KPI evidence、schema 與 prototype 支援角色。</w:t>
            </w:r>
          </w:p>
        </w:tc>
      </w:tr>
      <w:tr>
        <w:tc>
          <w:tcPr>
            <w:tcW w:type="dxa" w:w="2304"/>
            <w:vAlign w:val="top"/>
          </w:tcPr>
          <w:p>
            <w:pPr>
              <w:jc w:val="left"/>
            </w:pPr>
            <w:r/>
            <w:r>
              <w:rPr>
                <w:rFonts w:ascii="Noto Sans CJK TC" w:hAnsi="Noto Sans CJK TC" w:eastAsia="Noto Sans CJK TC"/>
                <w:b w:val="0"/>
                <w:sz w:val="17"/>
              </w:rPr>
              <w:t>申請經費</w:t>
            </w:r>
          </w:p>
        </w:tc>
        <w:tc>
          <w:tcPr>
            <w:tcW w:type="dxa" w:w="5472"/>
            <w:vAlign w:val="top"/>
          </w:tcPr>
          <w:p>
            <w:pPr>
              <w:jc w:val="left"/>
            </w:pPr>
            <w:r/>
            <w:r>
              <w:rPr>
                <w:rFonts w:ascii="Noto Sans CJK TC" w:hAnsi="Noto Sans CJK TC" w:eastAsia="Noto Sans CJK TC"/>
                <w:b w:val="0"/>
                <w:sz w:val="17"/>
              </w:rPr>
              <w:t>三年 NT$10,000,000</w:t>
            </w:r>
          </w:p>
        </w:tc>
        <w:tc>
          <w:tcPr>
            <w:tcW w:type="dxa" w:w="7632"/>
            <w:vAlign w:val="top"/>
          </w:tcPr>
          <w:p>
            <w:pPr>
              <w:jc w:val="left"/>
            </w:pPr>
            <w:r/>
            <w:r>
              <w:rPr>
                <w:rFonts w:ascii="Noto Sans CJK TC" w:hAnsi="Noto Sans CJK TC" w:eastAsia="Noto Sans CJK TC"/>
                <w:b w:val="0"/>
                <w:sz w:val="17"/>
              </w:rPr>
              <w:t>AI 問診與醫師覆核摘要 package 額度；正式科目與配合款由 budget owner 轉表。</w:t>
            </w:r>
          </w:p>
        </w:tc>
      </w:tr>
      <w:tr>
        <w:tc>
          <w:tcPr>
            <w:tcW w:type="dxa" w:w="2304"/>
            <w:vAlign w:val="top"/>
          </w:tcPr>
          <w:p>
            <w:pPr>
              <w:jc w:val="left"/>
            </w:pPr>
            <w:r/>
            <w:r>
              <w:rPr>
                <w:rFonts w:ascii="Noto Sans CJK TC" w:hAnsi="Noto Sans CJK TC" w:eastAsia="Noto Sans CJK TC"/>
                <w:b w:val="0"/>
                <w:sz w:val="17"/>
              </w:rPr>
              <w:t>執行期程</w:t>
            </w:r>
          </w:p>
        </w:tc>
        <w:tc>
          <w:tcPr>
            <w:tcW w:type="dxa" w:w="5472"/>
            <w:vAlign w:val="top"/>
          </w:tcPr>
          <w:p>
            <w:pPr>
              <w:jc w:val="left"/>
            </w:pPr>
            <w:r/>
            <w:r>
              <w:rPr>
                <w:rFonts w:ascii="Noto Sans CJK TC" w:hAnsi="Noto Sans CJK TC" w:eastAsia="Noto Sans CJK TC"/>
                <w:b w:val="0"/>
                <w:sz w:val="17"/>
              </w:rPr>
              <w:t>三年期；Y1 setup、Y2 evaluation、Y3 handoff</w:t>
            </w:r>
          </w:p>
        </w:tc>
        <w:tc>
          <w:tcPr>
            <w:tcW w:type="dxa" w:w="7632"/>
            <w:vAlign w:val="top"/>
          </w:tcPr>
          <w:p>
            <w:pPr>
              <w:jc w:val="left"/>
            </w:pPr>
            <w:r/>
            <w:r>
              <w:rPr>
                <w:rFonts w:ascii="Noto Sans CJK TC" w:hAnsi="Noto Sans CJK TC" w:eastAsia="Noto Sans CJK TC"/>
                <w:b w:val="0"/>
                <w:sz w:val="17"/>
              </w:rPr>
              <w:t>配合年度查核點與管考資料。</w:t>
            </w:r>
          </w:p>
        </w:tc>
      </w:tr>
    </w:tbl>
    <w:p>
      <w:pPr>
        <w:pStyle w:val="Heading1"/>
      </w:pPr>
      <w:r>
        <w:rPr>
          <w:rFonts w:ascii="Noto Sans CJK TC" w:hAnsi="Noto Sans CJK TC" w:eastAsia="Noto Sans CJK TC"/>
        </w:rPr>
        <w:t>三、可直接套入計畫書的內容</w:t>
      </w:r>
    </w:p>
    <w:p>
      <w:pPr>
        <w:pStyle w:val="Heading2"/>
      </w:pPr>
      <w:r>
        <w:rPr>
          <w:rFonts w:ascii="Noto Sans CJK TC" w:hAnsi="Noto Sans CJK TC" w:eastAsia="Noto Sans CJK TC"/>
        </w:rPr>
        <w:t>3.1 計畫概要</w:t>
      </w:r>
    </w:p>
    <w:p>
      <w:pPr>
        <w:spacing w:after="100" w:line="259" w:lineRule="auto"/>
      </w:pPr>
      <w:r>
        <w:rPr>
          <w:rFonts w:ascii="Noto Sans CJK TC" w:hAnsi="Noto Sans CJK TC" w:eastAsia="Noto Sans CJK TC"/>
          <w:sz w:val="20"/>
        </w:rPr>
        <w:t>本子計畫建立泌尿科門診前低摩擦症狀蒐集與醫師覆核摘要支持流程。系統以病人、家屬或工作人員協助填答、來源標記、缺漏欄位可見化、一頁式醫師覆核摘要與治理紀錄為核心，協助臨床團隊在看診前掌握主訴、症狀脈絡、追問方向與需補問資訊。</w:t>
      </w:r>
    </w:p>
    <w:p>
      <w:pPr>
        <w:spacing w:after="100" w:line="259" w:lineRule="auto"/>
      </w:pPr>
      <w:r>
        <w:rPr>
          <w:rFonts w:ascii="Noto Sans CJK TC" w:hAnsi="Noto Sans CJK TC" w:eastAsia="Noto Sans CJK TC"/>
          <w:sz w:val="20"/>
        </w:rPr>
        <w:t>本計畫的主要貢獻是把 AI / APP / ASR / API readiness 放在可治理的門診前資訊整理流程中。AI 支援結構化、缺漏提示、摘要草擬、版本紀錄與人機協作；醫師保留臨床解讀、診斷與處置責任；真實病患資料、HIS/EMR 連接、IRB/QI、資安與採購流程，依院內治理與主提單位決策啟用。</w:t>
      </w:r>
    </w:p>
    <w:p>
      <w:pPr>
        <w:spacing w:after="100" w:line="259" w:lineRule="auto"/>
      </w:pPr>
      <w:r>
        <w:rPr>
          <w:rFonts w:ascii="Noto Sans CJK TC" w:hAnsi="Noto Sans CJK TC" w:eastAsia="Noto Sans CJK TC"/>
          <w:sz w:val="20"/>
        </w:rPr>
        <w:t>若母計畫採用 PSA 社區篩檢或回院路徑，本子計畫可作為 visit readiness 支援層：病人在看診前完成 guided intake，醫師取得一頁式覆核摘要。PSA SOP、CRM、病人追蹤、訊息推播與回診管理，不列入本案承諾。</w:t>
      </w:r>
    </w:p>
    <w:p>
      <w:pPr>
        <w:pStyle w:val="Heading2"/>
      </w:pPr>
      <w:r>
        <w:rPr>
          <w:rFonts w:ascii="Noto Sans CJK TC" w:hAnsi="Noto Sans CJK TC" w:eastAsia="Noto Sans CJK TC"/>
        </w:rPr>
        <w:t>3.2 申請單位簡介與分工</w:t>
      </w:r>
    </w:p>
    <w:p>
      <w:pPr>
        <w:spacing w:after="100" w:line="259" w:lineRule="auto"/>
      </w:pPr>
      <w:r>
        <w:rPr>
          <w:rFonts w:ascii="Noto Sans CJK TC" w:hAnsi="Noto Sans CJK TC" w:eastAsia="Noto Sans CJK TC"/>
          <w:sz w:val="20"/>
        </w:rPr>
        <w:t>陽明交大團隊在本案中擔任智慧醫療工作流、AI 輔助問診、資料治理、KPI evidence 與技術轉譯角色。團隊重點不是建立自動診斷系統，也不是主責 CRM 建置，而是把泌尿科門診前資訊蒐集與醫師覆核摘要整理成可審查、可驗收、可治理的服務系統。</w:t>
      </w:r>
    </w:p>
    <w:p>
      <w:pPr>
        <w:spacing w:after="100" w:line="259" w:lineRule="auto"/>
      </w:pPr>
      <w:r>
        <w:rPr>
          <w:rFonts w:ascii="Noto Sans CJK TC" w:hAnsi="Noto Sans CJK TC" w:eastAsia="Noto Sans CJK TC"/>
          <w:sz w:val="20"/>
        </w:rPr>
        <w:t>主提醫療機構提供臨床場域、病人流程、門診工作流、資安與個資治理、IRB/QI 判定、採購與行政送件路徑。正式合作單位、醫事機構代碼、負責人、計畫主持人、聯絡人與簽章文件由主提案 owner 補齊。</w:t>
      </w:r>
    </w:p>
    <w:p>
      <w:pPr>
        <w:pStyle w:val="Heading2"/>
      </w:pPr>
      <w:r>
        <w:rPr>
          <w:rFonts w:ascii="Noto Sans CJK TC" w:hAnsi="Noto Sans CJK TC" w:eastAsia="Noto Sans CJK TC"/>
        </w:rPr>
        <w:t>3.3 計畫規劃：四大範疇寫法</w:t>
      </w:r>
    </w:p>
    <w:tbl>
      <w:tblPr>
        <w:tblStyle w:val="TableGrid"/>
        <w:tblW w:type="auto" w:w="0"/>
        <w:jc w:val="center"/>
        <w:tblLook w:firstColumn="1" w:firstRow="1" w:lastColumn="0" w:lastRow="0" w:noHBand="0" w:noVBand="1" w:val="04A0"/>
      </w:tblPr>
      <w:tblGrid>
        <w:gridCol w:w="5131"/>
        <w:gridCol w:w="5131"/>
        <w:gridCol w:w="5131"/>
      </w:tblGrid>
      <w:tr>
        <w:tc>
          <w:tcPr>
            <w:tcW w:type="dxa" w:w="2880"/>
            <w:vAlign w:val="top"/>
            <w:shd w:fill="0F766E"/>
          </w:tcPr>
          <w:p>
            <w:pPr>
              <w:jc w:val="left"/>
            </w:pPr>
            <w:r/>
            <w:r>
              <w:rPr>
                <w:rFonts w:ascii="Noto Sans CJK TC" w:hAnsi="Noto Sans CJK TC" w:eastAsia="Noto Sans CJK TC"/>
                <w:b/>
                <w:color w:val="FFFFFF"/>
                <w:sz w:val="17"/>
              </w:rPr>
              <w:t>範疇</w:t>
            </w:r>
          </w:p>
        </w:tc>
        <w:tc>
          <w:tcPr>
            <w:tcW w:type="dxa" w:w="7200"/>
            <w:vAlign w:val="top"/>
            <w:shd w:fill="0F766E"/>
          </w:tcPr>
          <w:p>
            <w:pPr>
              <w:jc w:val="left"/>
            </w:pPr>
            <w:r/>
            <w:r>
              <w:rPr>
                <w:rFonts w:ascii="Noto Sans CJK TC" w:hAnsi="Noto Sans CJK TC" w:eastAsia="Noto Sans CJK TC"/>
                <w:b/>
                <w:color w:val="FFFFFF"/>
                <w:sz w:val="17"/>
              </w:rPr>
              <w:t>建議寫法</w:t>
            </w:r>
          </w:p>
        </w:tc>
        <w:tc>
          <w:tcPr>
            <w:tcW w:type="dxa" w:w="5328"/>
            <w:vAlign w:val="top"/>
            <w:shd w:fill="0F766E"/>
          </w:tcPr>
          <w:p>
            <w:pPr>
              <w:jc w:val="left"/>
            </w:pPr>
            <w:r/>
            <w:r>
              <w:rPr>
                <w:rFonts w:ascii="Noto Sans CJK TC" w:hAnsi="Noto Sans CJK TC" w:eastAsia="Noto Sans CJK TC"/>
                <w:b/>
                <w:color w:val="FFFFFF"/>
                <w:sz w:val="17"/>
              </w:rPr>
              <w:t>避免事項</w:t>
            </w:r>
          </w:p>
        </w:tc>
      </w:tr>
      <w:tr>
        <w:tc>
          <w:tcPr>
            <w:tcW w:type="dxa" w:w="2880"/>
            <w:vAlign w:val="top"/>
          </w:tcPr>
          <w:p>
            <w:pPr>
              <w:jc w:val="left"/>
            </w:pPr>
            <w:r/>
            <w:r>
              <w:rPr>
                <w:rFonts w:ascii="Noto Sans CJK TC" w:hAnsi="Noto Sans CJK TC" w:eastAsia="Noto Sans CJK TC"/>
                <w:b w:val="0"/>
                <w:sz w:val="17"/>
              </w:rPr>
              <w:t>範疇一：優化醫療工作條件</w:t>
            </w:r>
          </w:p>
        </w:tc>
        <w:tc>
          <w:tcPr>
            <w:tcW w:type="dxa" w:w="7200"/>
            <w:vAlign w:val="top"/>
          </w:tcPr>
          <w:p>
            <w:pPr>
              <w:jc w:val="left"/>
            </w:pPr>
            <w:r/>
            <w:r>
              <w:rPr>
                <w:rFonts w:ascii="Noto Sans CJK TC" w:hAnsi="Noto Sans CJK TC" w:eastAsia="Noto Sans CJK TC"/>
                <w:b w:val="0"/>
                <w:sz w:val="17"/>
              </w:rPr>
              <w:t>寫入 guided intake、一頁式醫師覆核摘要、減少重複問診、補問、缺欄整理與資訊分散。</w:t>
            </w:r>
          </w:p>
        </w:tc>
        <w:tc>
          <w:tcPr>
            <w:tcW w:type="dxa" w:w="5328"/>
            <w:vAlign w:val="top"/>
          </w:tcPr>
          <w:p>
            <w:pPr>
              <w:jc w:val="left"/>
            </w:pPr>
            <w:r/>
            <w:r>
              <w:rPr>
                <w:rFonts w:ascii="Noto Sans CJK TC" w:hAnsi="Noto Sans CJK TC" w:eastAsia="Noto Sans CJK TC"/>
                <w:b w:val="0"/>
                <w:sz w:val="17"/>
              </w:rPr>
              <w:t>不要承諾醫師人力留任率或門診總量提升，除非母計畫有基線與可歸因設計。</w:t>
            </w:r>
          </w:p>
        </w:tc>
      </w:tr>
      <w:tr>
        <w:tc>
          <w:tcPr>
            <w:tcW w:type="dxa" w:w="2880"/>
            <w:vAlign w:val="top"/>
          </w:tcPr>
          <w:p>
            <w:pPr>
              <w:jc w:val="left"/>
            </w:pPr>
            <w:r/>
            <w:r>
              <w:rPr>
                <w:rFonts w:ascii="Noto Sans CJK TC" w:hAnsi="Noto Sans CJK TC" w:eastAsia="Noto Sans CJK TC"/>
                <w:b w:val="0"/>
                <w:sz w:val="17"/>
              </w:rPr>
              <w:t>範疇二：多元人才培育</w:t>
            </w:r>
          </w:p>
        </w:tc>
        <w:tc>
          <w:tcPr>
            <w:tcW w:type="dxa" w:w="7200"/>
            <w:vAlign w:val="top"/>
          </w:tcPr>
          <w:p>
            <w:pPr>
              <w:jc w:val="left"/>
            </w:pPr>
            <w:r/>
            <w:r>
              <w:rPr>
                <w:rFonts w:ascii="Noto Sans CJK TC" w:hAnsi="Noto Sans CJK TC" w:eastAsia="Noto Sans CJK TC"/>
                <w:b w:val="0"/>
                <w:sz w:val="17"/>
              </w:rPr>
              <w:t>本案可支援 training / documentation / governance readiness；若母計畫指定 training owner，再列 AI governance、資料最小化、IRB/QI、資安課程。</w:t>
            </w:r>
          </w:p>
        </w:tc>
        <w:tc>
          <w:tcPr>
            <w:tcW w:type="dxa" w:w="5328"/>
            <w:vAlign w:val="top"/>
          </w:tcPr>
          <w:p>
            <w:pPr>
              <w:jc w:val="left"/>
            </w:pPr>
            <w:r/>
            <w:r>
              <w:rPr>
                <w:rFonts w:ascii="Noto Sans CJK TC" w:hAnsi="Noto Sans CJK TC" w:eastAsia="Noto Sans CJK TC"/>
                <w:b w:val="0"/>
                <w:sz w:val="17"/>
              </w:rPr>
              <w:t>第一版不列國外旅費。若要列，需由範疇二 owner 另寫目的、行程、人數、天數、補助比例。</w:t>
            </w:r>
          </w:p>
        </w:tc>
      </w:tr>
      <w:tr>
        <w:tc>
          <w:tcPr>
            <w:tcW w:type="dxa" w:w="2880"/>
            <w:vAlign w:val="top"/>
          </w:tcPr>
          <w:p>
            <w:pPr>
              <w:jc w:val="left"/>
            </w:pPr>
            <w:r/>
            <w:r>
              <w:rPr>
                <w:rFonts w:ascii="Noto Sans CJK TC" w:hAnsi="Noto Sans CJK TC" w:eastAsia="Noto Sans CJK TC"/>
                <w:b w:val="0"/>
                <w:sz w:val="17"/>
              </w:rPr>
              <w:t>範疇三：導入智慧科技醫療</w:t>
            </w:r>
          </w:p>
        </w:tc>
        <w:tc>
          <w:tcPr>
            <w:tcW w:type="dxa" w:w="7200"/>
            <w:vAlign w:val="top"/>
          </w:tcPr>
          <w:p>
            <w:pPr>
              <w:jc w:val="left"/>
            </w:pPr>
            <w:r/>
            <w:r>
              <w:rPr>
                <w:rFonts w:ascii="Noto Sans CJK TC" w:hAnsi="Noto Sans CJK TC" w:eastAsia="Noto Sans CJK TC"/>
                <w:b w:val="0"/>
                <w:sz w:val="17"/>
              </w:rPr>
              <w:t>主打。寫低摩擦問診入口、ASR optional confirmation、question governance、source label、missing-field visibility、一頁式摘要、AI/data/security governance、audit trail。</w:t>
            </w:r>
          </w:p>
        </w:tc>
        <w:tc>
          <w:tcPr>
            <w:tcW w:type="dxa" w:w="5328"/>
            <w:vAlign w:val="top"/>
          </w:tcPr>
          <w:p>
            <w:pPr>
              <w:jc w:val="left"/>
            </w:pPr>
            <w:r/>
            <w:r>
              <w:rPr>
                <w:rFonts w:ascii="Noto Sans CJK TC" w:hAnsi="Noto Sans CJK TC" w:eastAsia="Noto Sans CJK TC"/>
                <w:b w:val="0"/>
                <w:sz w:val="17"/>
              </w:rPr>
              <w:t>不得寫 AI 診斷、治療建議、自動分流、自動 EMR writeback。</w:t>
            </w:r>
          </w:p>
        </w:tc>
      </w:tr>
      <w:tr>
        <w:tc>
          <w:tcPr>
            <w:tcW w:type="dxa" w:w="2880"/>
            <w:vAlign w:val="top"/>
          </w:tcPr>
          <w:p>
            <w:pPr>
              <w:jc w:val="left"/>
            </w:pPr>
            <w:r/>
            <w:r>
              <w:rPr>
                <w:rFonts w:ascii="Noto Sans CJK TC" w:hAnsi="Noto Sans CJK TC" w:eastAsia="Noto Sans CJK TC"/>
                <w:b w:val="0"/>
                <w:sz w:val="17"/>
              </w:rPr>
              <w:t>範疇四：社會責任醫療永續</w:t>
            </w:r>
          </w:p>
        </w:tc>
        <w:tc>
          <w:tcPr>
            <w:tcW w:type="dxa" w:w="7200"/>
            <w:vAlign w:val="top"/>
          </w:tcPr>
          <w:p>
            <w:pPr>
              <w:jc w:val="left"/>
            </w:pPr>
            <w:r/>
            <w:r>
              <w:rPr>
                <w:rFonts w:ascii="Noto Sans CJK TC" w:hAnsi="Noto Sans CJK TC" w:eastAsia="Noto Sans CJK TC"/>
                <w:b w:val="0"/>
                <w:sz w:val="17"/>
              </w:rPr>
              <w:t>條件式支援：若母計畫有社區或篩檢路徑，本案支援回到門診前的資訊整理。</w:t>
            </w:r>
          </w:p>
        </w:tc>
        <w:tc>
          <w:tcPr>
            <w:tcW w:type="dxa" w:w="5328"/>
            <w:vAlign w:val="top"/>
          </w:tcPr>
          <w:p>
            <w:pPr>
              <w:jc w:val="left"/>
            </w:pPr>
            <w:r/>
            <w:r>
              <w:rPr>
                <w:rFonts w:ascii="Noto Sans CJK TC" w:hAnsi="Noto Sans CJK TC" w:eastAsia="Noto Sans CJK TC"/>
                <w:b w:val="0"/>
                <w:sz w:val="17"/>
              </w:rPr>
              <w:t>不主張社區追蹤、CRM、長期病人管理成效。</w:t>
            </w:r>
          </w:p>
        </w:tc>
      </w:tr>
    </w:tbl>
    <w:p>
      <w:pPr>
        <w:pStyle w:val="Heading1"/>
      </w:pPr>
      <w:r>
        <w:rPr>
          <w:rFonts w:ascii="Noto Sans CJK TC" w:hAnsi="Noto Sans CJK TC" w:eastAsia="Noto Sans CJK TC"/>
        </w:rPr>
        <w:t>四、KPI 設計</w:t>
      </w:r>
    </w:p>
    <w:p>
      <w:pPr>
        <w:spacing w:after="100" w:line="259" w:lineRule="auto"/>
      </w:pPr>
      <w:r>
        <w:rPr>
          <w:rFonts w:ascii="Noto Sans CJK TC" w:hAnsi="Noto Sans CJK TC" w:eastAsia="Noto Sans CJK TC"/>
          <w:sz w:val="20"/>
        </w:rPr>
        <w:t>KPI 要分成三層：第一層是 workflow 可用性，第二層是資料完整性與安全，第三層是治理與年度交付。不要在本期主張癌症死亡率、慢性病結局或長期預後，因為三年門診前摘要流程無法單獨歸因。</w:t>
      </w:r>
    </w:p>
    <w:tbl>
      <w:tblPr>
        <w:tblStyle w:val="TableGrid"/>
        <w:tblW w:type="auto" w:w="0"/>
        <w:jc w:val="center"/>
        <w:tblLook w:firstColumn="1" w:firstRow="1" w:lastColumn="0" w:lastRow="0" w:noHBand="0" w:noVBand="1" w:val="04A0"/>
      </w:tblPr>
      <w:tblGrid>
        <w:gridCol w:w="3848"/>
        <w:gridCol w:w="3848"/>
        <w:gridCol w:w="3848"/>
        <w:gridCol w:w="3848"/>
      </w:tblGrid>
      <w:tr>
        <w:tc>
          <w:tcPr>
            <w:tcW w:type="dxa" w:w="3168"/>
            <w:vAlign w:val="top"/>
            <w:shd w:fill="0F766E"/>
          </w:tcPr>
          <w:p>
            <w:pPr>
              <w:jc w:val="left"/>
            </w:pPr>
            <w:r/>
            <w:r>
              <w:rPr>
                <w:rFonts w:ascii="Noto Sans CJK TC" w:hAnsi="Noto Sans CJK TC" w:eastAsia="Noto Sans CJK TC"/>
                <w:b/>
                <w:color w:val="FFFFFF"/>
                <w:sz w:val="16"/>
              </w:rPr>
              <w:t>KPI</w:t>
            </w:r>
          </w:p>
        </w:tc>
        <w:tc>
          <w:tcPr>
            <w:tcW w:type="dxa" w:w="5472"/>
            <w:vAlign w:val="top"/>
            <w:shd w:fill="0F766E"/>
          </w:tcPr>
          <w:p>
            <w:pPr>
              <w:jc w:val="left"/>
            </w:pPr>
            <w:r/>
            <w:r>
              <w:rPr>
                <w:rFonts w:ascii="Noto Sans CJK TC" w:hAnsi="Noto Sans CJK TC" w:eastAsia="Noto Sans CJK TC"/>
                <w:b/>
                <w:color w:val="FFFFFF"/>
                <w:sz w:val="16"/>
              </w:rPr>
              <w:t>定義</w:t>
            </w:r>
          </w:p>
        </w:tc>
        <w:tc>
          <w:tcPr>
            <w:tcW w:type="dxa" w:w="5184"/>
            <w:vAlign w:val="top"/>
            <w:shd w:fill="0F766E"/>
          </w:tcPr>
          <w:p>
            <w:pPr>
              <w:jc w:val="left"/>
            </w:pPr>
            <w:r/>
            <w:r>
              <w:rPr>
                <w:rFonts w:ascii="Noto Sans CJK TC" w:hAnsi="Noto Sans CJK TC" w:eastAsia="Noto Sans CJK TC"/>
                <w:b/>
                <w:color w:val="FFFFFF"/>
                <w:sz w:val="16"/>
              </w:rPr>
              <w:t>年度目標 / 門檻</w:t>
            </w:r>
          </w:p>
        </w:tc>
        <w:tc>
          <w:tcPr>
            <w:tcW w:type="dxa" w:w="1728"/>
            <w:vAlign w:val="top"/>
            <w:shd w:fill="0F766E"/>
          </w:tcPr>
          <w:p>
            <w:pPr>
              <w:jc w:val="left"/>
            </w:pPr>
            <w:r/>
            <w:r>
              <w:rPr>
                <w:rFonts w:ascii="Noto Sans CJK TC" w:hAnsi="Noto Sans CJK TC" w:eastAsia="Noto Sans CJK TC"/>
                <w:b/>
                <w:color w:val="FFFFFF"/>
                <w:sz w:val="16"/>
              </w:rPr>
              <w:t>對應經費</w:t>
            </w:r>
          </w:p>
        </w:tc>
      </w:tr>
      <w:tr>
        <w:tc>
          <w:tcPr>
            <w:tcW w:type="dxa" w:w="3168"/>
            <w:vAlign w:val="top"/>
          </w:tcPr>
          <w:p>
            <w:pPr>
              <w:jc w:val="left"/>
            </w:pPr>
            <w:r/>
            <w:r>
              <w:rPr>
                <w:rFonts w:ascii="Noto Sans CJK TC" w:hAnsi="Noto Sans CJK TC" w:eastAsia="Noto Sans CJK TC"/>
                <w:b w:val="0"/>
                <w:sz w:val="16"/>
              </w:rPr>
              <w:t>摘要閱讀時間</w:t>
            </w:r>
          </w:p>
        </w:tc>
        <w:tc>
          <w:tcPr>
            <w:tcW w:type="dxa" w:w="5472"/>
            <w:vAlign w:val="top"/>
          </w:tcPr>
          <w:p>
            <w:pPr>
              <w:jc w:val="left"/>
            </w:pPr>
            <w:r/>
            <w:r>
              <w:rPr>
                <w:rFonts w:ascii="Noto Sans CJK TC" w:hAnsi="Noto Sans CJK TC" w:eastAsia="Noto Sans CJK TC"/>
                <w:b w:val="0"/>
                <w:sz w:val="16"/>
              </w:rPr>
              <w:t>reviewer 開始閱讀至完成初步掌握之秒數；回報 median 與分布</w:t>
            </w:r>
          </w:p>
        </w:tc>
        <w:tc>
          <w:tcPr>
            <w:tcW w:type="dxa" w:w="5184"/>
            <w:vAlign w:val="top"/>
          </w:tcPr>
          <w:p>
            <w:pPr>
              <w:jc w:val="left"/>
            </w:pPr>
            <w:r/>
            <w:r>
              <w:rPr>
                <w:rFonts w:ascii="Noto Sans CJK TC" w:hAnsi="Noto Sans CJK TC" w:eastAsia="Noto Sans CJK TC"/>
                <w:b w:val="0"/>
                <w:sz w:val="16"/>
              </w:rPr>
              <w:t>Y1 design target ≤60秒；Y2/Y3 回報 approved workflow 或 reviewer evidence</w:t>
            </w:r>
          </w:p>
        </w:tc>
        <w:tc>
          <w:tcPr>
            <w:tcW w:type="dxa" w:w="1728"/>
            <w:vAlign w:val="top"/>
          </w:tcPr>
          <w:p>
            <w:pPr>
              <w:jc w:val="left"/>
            </w:pPr>
            <w:r/>
            <w:r>
              <w:rPr>
                <w:rFonts w:ascii="Noto Sans CJK TC" w:hAnsi="Noto Sans CJK TC" w:eastAsia="Noto Sans CJK TC"/>
                <w:b w:val="0"/>
                <w:sz w:val="16"/>
              </w:rPr>
              <w:t>W2,W3,W4,W6</w:t>
            </w:r>
          </w:p>
        </w:tc>
      </w:tr>
      <w:tr>
        <w:tc>
          <w:tcPr>
            <w:tcW w:type="dxa" w:w="3168"/>
            <w:vAlign w:val="top"/>
          </w:tcPr>
          <w:p>
            <w:pPr>
              <w:jc w:val="left"/>
            </w:pPr>
            <w:r/>
            <w:r>
              <w:rPr>
                <w:rFonts w:ascii="Noto Sans CJK TC" w:hAnsi="Noto Sans CJK TC" w:eastAsia="Noto Sans CJK TC"/>
                <w:b w:val="0"/>
                <w:sz w:val="16"/>
              </w:rPr>
              <w:t>醫師有用性</w:t>
            </w:r>
          </w:p>
        </w:tc>
        <w:tc>
          <w:tcPr>
            <w:tcW w:type="dxa" w:w="5472"/>
            <w:vAlign w:val="top"/>
          </w:tcPr>
          <w:p>
            <w:pPr>
              <w:jc w:val="left"/>
            </w:pPr>
            <w:r/>
            <w:r>
              <w:rPr>
                <w:rFonts w:ascii="Noto Sans CJK TC" w:hAnsi="Noto Sans CJK TC" w:eastAsia="Noto Sans CJK TC"/>
                <w:b w:val="0"/>
                <w:sz w:val="16"/>
              </w:rPr>
              <w:t>5點量表：摘要是否幫助掌握主訴、時序、追問與缺漏</w:t>
            </w:r>
          </w:p>
        </w:tc>
        <w:tc>
          <w:tcPr>
            <w:tcW w:type="dxa" w:w="5184"/>
            <w:vAlign w:val="top"/>
          </w:tcPr>
          <w:p>
            <w:pPr>
              <w:jc w:val="left"/>
            </w:pPr>
            <w:r/>
            <w:r>
              <w:rPr>
                <w:rFonts w:ascii="Noto Sans CJK TC" w:hAnsi="Noto Sans CJK TC" w:eastAsia="Noto Sans CJK TC"/>
                <w:b w:val="0"/>
                <w:sz w:val="16"/>
              </w:rPr>
              <w:t>median ≥4/5；未達標即回 schema 迭代</w:t>
            </w:r>
          </w:p>
        </w:tc>
        <w:tc>
          <w:tcPr>
            <w:tcW w:type="dxa" w:w="1728"/>
            <w:vAlign w:val="top"/>
          </w:tcPr>
          <w:p>
            <w:pPr>
              <w:jc w:val="left"/>
            </w:pPr>
            <w:r/>
            <w:r>
              <w:rPr>
                <w:rFonts w:ascii="Noto Sans CJK TC" w:hAnsi="Noto Sans CJK TC" w:eastAsia="Noto Sans CJK TC"/>
                <w:b w:val="0"/>
                <w:sz w:val="16"/>
              </w:rPr>
              <w:t>W2,W6</w:t>
            </w:r>
          </w:p>
        </w:tc>
      </w:tr>
      <w:tr>
        <w:tc>
          <w:tcPr>
            <w:tcW w:type="dxa" w:w="3168"/>
            <w:vAlign w:val="top"/>
          </w:tcPr>
          <w:p>
            <w:pPr>
              <w:jc w:val="left"/>
            </w:pPr>
            <w:r/>
            <w:r>
              <w:rPr>
                <w:rFonts w:ascii="Noto Sans CJK TC" w:hAnsi="Noto Sans CJK TC" w:eastAsia="Noto Sans CJK TC"/>
                <w:b w:val="0"/>
                <w:sz w:val="16"/>
              </w:rPr>
              <w:t>最低必要欄位完成/標示率</w:t>
            </w:r>
          </w:p>
        </w:tc>
        <w:tc>
          <w:tcPr>
            <w:tcW w:type="dxa" w:w="5472"/>
            <w:vAlign w:val="top"/>
          </w:tcPr>
          <w:p>
            <w:pPr>
              <w:jc w:val="left"/>
            </w:pPr>
            <w:r/>
            <w:r>
              <w:rPr>
                <w:rFonts w:ascii="Noto Sans CJK TC" w:hAnsi="Noto Sans CJK TC" w:eastAsia="Noto Sans CJK TC"/>
                <w:b w:val="0"/>
                <w:sz w:val="16"/>
              </w:rPr>
              <w:t>最低必要欄位完成，或明確標示 unknown/missing 之比例</w:t>
            </w:r>
          </w:p>
        </w:tc>
        <w:tc>
          <w:tcPr>
            <w:tcW w:type="dxa" w:w="5184"/>
            <w:vAlign w:val="top"/>
          </w:tcPr>
          <w:p>
            <w:pPr>
              <w:jc w:val="left"/>
            </w:pPr>
            <w:r/>
            <w:r>
              <w:rPr>
                <w:rFonts w:ascii="Noto Sans CJK TC" w:hAnsi="Noto Sans CJK TC" w:eastAsia="Noto Sans CJK TC"/>
                <w:b w:val="0"/>
                <w:sz w:val="16"/>
              </w:rPr>
              <w:t>≥90%；不可把未填當完成</w:t>
            </w:r>
          </w:p>
        </w:tc>
        <w:tc>
          <w:tcPr>
            <w:tcW w:type="dxa" w:w="1728"/>
            <w:vAlign w:val="top"/>
          </w:tcPr>
          <w:p>
            <w:pPr>
              <w:jc w:val="left"/>
            </w:pPr>
            <w:r/>
            <w:r>
              <w:rPr>
                <w:rFonts w:ascii="Noto Sans CJK TC" w:hAnsi="Noto Sans CJK TC" w:eastAsia="Noto Sans CJK TC"/>
                <w:b w:val="0"/>
                <w:sz w:val="16"/>
              </w:rPr>
              <w:t>W3,W4,W6</w:t>
            </w:r>
          </w:p>
        </w:tc>
      </w:tr>
      <w:tr>
        <w:tc>
          <w:tcPr>
            <w:tcW w:type="dxa" w:w="3168"/>
            <w:vAlign w:val="top"/>
          </w:tcPr>
          <w:p>
            <w:pPr>
              <w:jc w:val="left"/>
            </w:pPr>
            <w:r/>
            <w:r>
              <w:rPr>
                <w:rFonts w:ascii="Noto Sans CJK TC" w:hAnsi="Noto Sans CJK TC" w:eastAsia="Noto Sans CJK TC"/>
                <w:b w:val="0"/>
                <w:sz w:val="16"/>
              </w:rPr>
              <w:t>缺漏欄位可見率</w:t>
            </w:r>
          </w:p>
        </w:tc>
        <w:tc>
          <w:tcPr>
            <w:tcW w:type="dxa" w:w="5472"/>
            <w:vAlign w:val="top"/>
          </w:tcPr>
          <w:p>
            <w:pPr>
              <w:jc w:val="left"/>
            </w:pPr>
            <w:r/>
            <w:r>
              <w:rPr>
                <w:rFonts w:ascii="Noto Sans CJK TC" w:hAnsi="Noto Sans CJK TC" w:eastAsia="Noto Sans CJK TC"/>
                <w:b w:val="0"/>
                <w:sz w:val="16"/>
              </w:rPr>
              <w:t>應標示的重要缺漏中，被摘要明確標示之比例</w:t>
            </w:r>
          </w:p>
        </w:tc>
        <w:tc>
          <w:tcPr>
            <w:tcW w:type="dxa" w:w="5184"/>
            <w:vAlign w:val="top"/>
          </w:tcPr>
          <w:p>
            <w:pPr>
              <w:jc w:val="left"/>
            </w:pPr>
            <w:r/>
            <w:r>
              <w:rPr>
                <w:rFonts w:ascii="Noto Sans CJK TC" w:hAnsi="Noto Sans CJK TC" w:eastAsia="Noto Sans CJK TC"/>
                <w:b w:val="0"/>
                <w:sz w:val="16"/>
              </w:rPr>
              <w:t>≥90%；重大缺漏未顯示即 fail-safe 修改</w:t>
            </w:r>
          </w:p>
        </w:tc>
        <w:tc>
          <w:tcPr>
            <w:tcW w:type="dxa" w:w="1728"/>
            <w:vAlign w:val="top"/>
          </w:tcPr>
          <w:p>
            <w:pPr>
              <w:jc w:val="left"/>
            </w:pPr>
            <w:r/>
            <w:r>
              <w:rPr>
                <w:rFonts w:ascii="Noto Sans CJK TC" w:hAnsi="Noto Sans CJK TC" w:eastAsia="Noto Sans CJK TC"/>
                <w:b w:val="0"/>
                <w:sz w:val="16"/>
              </w:rPr>
              <w:t>W2,W3,W4</w:t>
            </w:r>
          </w:p>
        </w:tc>
      </w:tr>
      <w:tr>
        <w:tc>
          <w:tcPr>
            <w:tcW w:type="dxa" w:w="3168"/>
            <w:vAlign w:val="top"/>
          </w:tcPr>
          <w:p>
            <w:pPr>
              <w:jc w:val="left"/>
            </w:pPr>
            <w:r/>
            <w:r>
              <w:rPr>
                <w:rFonts w:ascii="Noto Sans CJK TC" w:hAnsi="Noto Sans CJK TC" w:eastAsia="Noto Sans CJK TC"/>
                <w:b w:val="0"/>
                <w:sz w:val="16"/>
              </w:rPr>
              <w:t>source label 完整率</w:t>
            </w:r>
          </w:p>
        </w:tc>
        <w:tc>
          <w:tcPr>
            <w:tcW w:type="dxa" w:w="5472"/>
            <w:vAlign w:val="top"/>
          </w:tcPr>
          <w:p>
            <w:pPr>
              <w:jc w:val="left"/>
            </w:pPr>
            <w:r/>
            <w:r>
              <w:rPr>
                <w:rFonts w:ascii="Noto Sans CJK TC" w:hAnsi="Noto Sans CJK TC" w:eastAsia="Noto Sans CJK TC"/>
                <w:b w:val="0"/>
                <w:sz w:val="16"/>
              </w:rPr>
              <w:t>每一條摘要資訊皆標示來源：病人、家屬、工作人員、ASR-confirmed 等</w:t>
            </w:r>
          </w:p>
        </w:tc>
        <w:tc>
          <w:tcPr>
            <w:tcW w:type="dxa" w:w="5184"/>
            <w:vAlign w:val="top"/>
          </w:tcPr>
          <w:p>
            <w:pPr>
              <w:jc w:val="left"/>
            </w:pPr>
            <w:r/>
            <w:r>
              <w:rPr>
                <w:rFonts w:ascii="Noto Sans CJK TC" w:hAnsi="Noto Sans CJK TC" w:eastAsia="Noto Sans CJK TC"/>
                <w:b w:val="0"/>
                <w:sz w:val="16"/>
              </w:rPr>
              <w:t>100%；無來源 AI 推論不得進醫師摘要</w:t>
            </w:r>
          </w:p>
        </w:tc>
        <w:tc>
          <w:tcPr>
            <w:tcW w:type="dxa" w:w="1728"/>
            <w:vAlign w:val="top"/>
          </w:tcPr>
          <w:p>
            <w:pPr>
              <w:jc w:val="left"/>
            </w:pPr>
            <w:r/>
            <w:r>
              <w:rPr>
                <w:rFonts w:ascii="Noto Sans CJK TC" w:hAnsi="Noto Sans CJK TC" w:eastAsia="Noto Sans CJK TC"/>
                <w:b w:val="0"/>
                <w:sz w:val="16"/>
              </w:rPr>
              <w:t>W3,W4,W5</w:t>
            </w:r>
          </w:p>
        </w:tc>
      </w:tr>
      <w:tr>
        <w:tc>
          <w:tcPr>
            <w:tcW w:type="dxa" w:w="3168"/>
            <w:vAlign w:val="top"/>
          </w:tcPr>
          <w:p>
            <w:pPr>
              <w:jc w:val="left"/>
            </w:pPr>
            <w:r/>
            <w:r>
              <w:rPr>
                <w:rFonts w:ascii="Noto Sans CJK TC" w:hAnsi="Noto Sans CJK TC" w:eastAsia="Noto Sans CJK TC"/>
                <w:b w:val="0"/>
                <w:sz w:val="16"/>
              </w:rPr>
              <w:t>unsafe wording unresolved count</w:t>
            </w:r>
          </w:p>
        </w:tc>
        <w:tc>
          <w:tcPr>
            <w:tcW w:type="dxa" w:w="5472"/>
            <w:vAlign w:val="top"/>
          </w:tcPr>
          <w:p>
            <w:pPr>
              <w:jc w:val="left"/>
            </w:pPr>
            <w:r/>
            <w:r>
              <w:rPr>
                <w:rFonts w:ascii="Noto Sans CJK TC" w:hAnsi="Noto Sans CJK TC" w:eastAsia="Noto Sans CJK TC"/>
                <w:b w:val="0"/>
                <w:sz w:val="16"/>
              </w:rPr>
              <w:t>診斷、治療、自動分流、EMR writeback 等未核准語句</w:t>
            </w:r>
          </w:p>
        </w:tc>
        <w:tc>
          <w:tcPr>
            <w:tcW w:type="dxa" w:w="5184"/>
            <w:vAlign w:val="top"/>
          </w:tcPr>
          <w:p>
            <w:pPr>
              <w:jc w:val="left"/>
            </w:pPr>
            <w:r/>
            <w:r>
              <w:rPr>
                <w:rFonts w:ascii="Noto Sans CJK TC" w:hAnsi="Noto Sans CJK TC" w:eastAsia="Noto Sans CJK TC"/>
                <w:b w:val="0"/>
                <w:sz w:val="16"/>
              </w:rPr>
              <w:t>0 unresolved；出現即 freeze release</w:t>
            </w:r>
          </w:p>
        </w:tc>
        <w:tc>
          <w:tcPr>
            <w:tcW w:type="dxa" w:w="1728"/>
            <w:vAlign w:val="top"/>
          </w:tcPr>
          <w:p>
            <w:pPr>
              <w:jc w:val="left"/>
            </w:pPr>
            <w:r/>
            <w:r>
              <w:rPr>
                <w:rFonts w:ascii="Noto Sans CJK TC" w:hAnsi="Noto Sans CJK TC" w:eastAsia="Noto Sans CJK TC"/>
                <w:b w:val="0"/>
                <w:sz w:val="16"/>
              </w:rPr>
              <w:t>W4,W5</w:t>
            </w:r>
          </w:p>
        </w:tc>
      </w:tr>
      <w:tr>
        <w:tc>
          <w:tcPr>
            <w:tcW w:type="dxa" w:w="3168"/>
            <w:vAlign w:val="top"/>
          </w:tcPr>
          <w:p>
            <w:pPr>
              <w:jc w:val="left"/>
            </w:pPr>
            <w:r/>
            <w:r>
              <w:rPr>
                <w:rFonts w:ascii="Noto Sans CJK TC" w:hAnsi="Noto Sans CJK TC" w:eastAsia="Noto Sans CJK TC"/>
                <w:b w:val="0"/>
                <w:sz w:val="16"/>
              </w:rPr>
              <w:t>staff-friction pass</w:t>
            </w:r>
          </w:p>
        </w:tc>
        <w:tc>
          <w:tcPr>
            <w:tcW w:type="dxa" w:w="5472"/>
            <w:vAlign w:val="top"/>
          </w:tcPr>
          <w:p>
            <w:pPr>
              <w:jc w:val="left"/>
            </w:pPr>
            <w:r/>
            <w:r>
              <w:rPr>
                <w:rFonts w:ascii="Noto Sans CJK TC" w:hAnsi="Noto Sans CJK TC" w:eastAsia="Noto Sans CJK TC"/>
                <w:b w:val="0"/>
                <w:sz w:val="16"/>
              </w:rPr>
              <w:t>護理、櫃台、醫師端不增加不可接受的重複輸入、點擊、例外處理</w:t>
            </w:r>
          </w:p>
        </w:tc>
        <w:tc>
          <w:tcPr>
            <w:tcW w:type="dxa" w:w="5184"/>
            <w:vAlign w:val="top"/>
          </w:tcPr>
          <w:p>
            <w:pPr>
              <w:jc w:val="left"/>
            </w:pPr>
            <w:r/>
            <w:r>
              <w:rPr>
                <w:rFonts w:ascii="Noto Sans CJK TC" w:hAnsi="Noto Sans CJK TC" w:eastAsia="Noto Sans CJK TC"/>
                <w:b w:val="0"/>
                <w:sz w:val="16"/>
              </w:rPr>
              <w:t>Y1 walkthrough；Y2 一輪改版後通過；Y3 SOP</w:t>
            </w:r>
          </w:p>
        </w:tc>
        <w:tc>
          <w:tcPr>
            <w:tcW w:type="dxa" w:w="1728"/>
            <w:vAlign w:val="top"/>
          </w:tcPr>
          <w:p>
            <w:pPr>
              <w:jc w:val="left"/>
            </w:pPr>
            <w:r/>
            <w:r>
              <w:rPr>
                <w:rFonts w:ascii="Noto Sans CJK TC" w:hAnsi="Noto Sans CJK TC" w:eastAsia="Noto Sans CJK TC"/>
                <w:b w:val="0"/>
                <w:sz w:val="16"/>
              </w:rPr>
              <w:t>W2,W3,W7</w:t>
            </w:r>
          </w:p>
        </w:tc>
      </w:tr>
      <w:tr>
        <w:tc>
          <w:tcPr>
            <w:tcW w:type="dxa" w:w="3168"/>
            <w:vAlign w:val="top"/>
          </w:tcPr>
          <w:p>
            <w:pPr>
              <w:jc w:val="left"/>
            </w:pPr>
            <w:r/>
            <w:r>
              <w:rPr>
                <w:rFonts w:ascii="Noto Sans CJK TC" w:hAnsi="Noto Sans CJK TC" w:eastAsia="Noto Sans CJK TC"/>
                <w:b w:val="0"/>
                <w:sz w:val="16"/>
              </w:rPr>
              <w:t>governance readiness</w:t>
            </w:r>
          </w:p>
        </w:tc>
        <w:tc>
          <w:tcPr>
            <w:tcW w:type="dxa" w:w="5472"/>
            <w:vAlign w:val="top"/>
          </w:tcPr>
          <w:p>
            <w:pPr>
              <w:jc w:val="left"/>
            </w:pPr>
            <w:r/>
            <w:r>
              <w:rPr>
                <w:rFonts w:ascii="Noto Sans CJK TC" w:hAnsi="Noto Sans CJK TC" w:eastAsia="Noto Sans CJK TC"/>
                <w:b w:val="0"/>
                <w:sz w:val="16"/>
              </w:rPr>
              <w:t>AI/data/security/IRB/procurement owner 是否命名；進場 route 是否完成</w:t>
            </w:r>
          </w:p>
        </w:tc>
        <w:tc>
          <w:tcPr>
            <w:tcW w:type="dxa" w:w="5184"/>
            <w:vAlign w:val="top"/>
          </w:tcPr>
          <w:p>
            <w:pPr>
              <w:jc w:val="left"/>
            </w:pPr>
            <w:r/>
            <w:r>
              <w:rPr>
                <w:rFonts w:ascii="Noto Sans CJK TC" w:hAnsi="Noto Sans CJK TC" w:eastAsia="Noto Sans CJK TC"/>
                <w:b w:val="0"/>
                <w:sz w:val="16"/>
              </w:rPr>
              <w:t>未命名 owner 不碰真實資料</w:t>
            </w:r>
          </w:p>
        </w:tc>
        <w:tc>
          <w:tcPr>
            <w:tcW w:type="dxa" w:w="1728"/>
            <w:vAlign w:val="top"/>
          </w:tcPr>
          <w:p>
            <w:pPr>
              <w:jc w:val="left"/>
            </w:pPr>
            <w:r/>
            <w:r>
              <w:rPr>
                <w:rFonts w:ascii="Noto Sans CJK TC" w:hAnsi="Noto Sans CJK TC" w:eastAsia="Noto Sans CJK TC"/>
                <w:b w:val="0"/>
                <w:sz w:val="16"/>
              </w:rPr>
              <w:t>W5,W6</w:t>
            </w:r>
          </w:p>
        </w:tc>
      </w:tr>
      <w:tr>
        <w:tc>
          <w:tcPr>
            <w:tcW w:type="dxa" w:w="3168"/>
            <w:vAlign w:val="top"/>
          </w:tcPr>
          <w:p>
            <w:pPr>
              <w:jc w:val="left"/>
            </w:pPr>
            <w:r/>
            <w:r>
              <w:rPr>
                <w:rFonts w:ascii="Noto Sans CJK TC" w:hAnsi="Noto Sans CJK TC" w:eastAsia="Noto Sans CJK TC"/>
                <w:b w:val="0"/>
                <w:sz w:val="16"/>
              </w:rPr>
              <w:t>KPI-to-budget mapping</w:t>
            </w:r>
          </w:p>
        </w:tc>
        <w:tc>
          <w:tcPr>
            <w:tcW w:type="dxa" w:w="5472"/>
            <w:vAlign w:val="top"/>
          </w:tcPr>
          <w:p>
            <w:pPr>
              <w:jc w:val="left"/>
            </w:pPr>
            <w:r/>
            <w:r>
              <w:rPr>
                <w:rFonts w:ascii="Noto Sans CJK TC" w:hAnsi="Noto Sans CJK TC" w:eastAsia="Noto Sans CJK TC"/>
                <w:b w:val="0"/>
                <w:sz w:val="16"/>
              </w:rPr>
              <w:t>每一經費列有 KPI、owner、source、evidence</w:t>
            </w:r>
          </w:p>
        </w:tc>
        <w:tc>
          <w:tcPr>
            <w:tcW w:type="dxa" w:w="5184"/>
            <w:vAlign w:val="top"/>
          </w:tcPr>
          <w:p>
            <w:pPr>
              <w:jc w:val="left"/>
            </w:pPr>
            <w:r/>
            <w:r>
              <w:rPr>
                <w:rFonts w:ascii="Noto Sans CJK TC" w:hAnsi="Noto Sans CJK TC" w:eastAsia="Noto Sans CJK TC"/>
                <w:b w:val="0"/>
                <w:sz w:val="16"/>
              </w:rPr>
              <w:t>100%；未映射項目刪除或改列</w:t>
            </w:r>
          </w:p>
        </w:tc>
        <w:tc>
          <w:tcPr>
            <w:tcW w:type="dxa" w:w="1728"/>
            <w:vAlign w:val="top"/>
          </w:tcPr>
          <w:p>
            <w:pPr>
              <w:jc w:val="left"/>
            </w:pPr>
            <w:r/>
            <w:r>
              <w:rPr>
                <w:rFonts w:ascii="Noto Sans CJK TC" w:hAnsi="Noto Sans CJK TC" w:eastAsia="Noto Sans CJK TC"/>
                <w:b w:val="0"/>
                <w:sz w:val="16"/>
              </w:rPr>
              <w:t>ALL</w:t>
            </w:r>
          </w:p>
        </w:tc>
      </w:tr>
    </w:tbl>
    <w:p>
      <w:pPr>
        <w:pStyle w:val="Heading1"/>
      </w:pPr>
      <w:r>
        <w:rPr>
          <w:rFonts w:ascii="Noto Sans CJK TC" w:hAnsi="Noto Sans CJK TC" w:eastAsia="Noto Sans CJK TC"/>
        </w:rPr>
        <w:t>五、經費規劃：三年 NT$10,000,000</w:t>
      </w:r>
    </w:p>
    <w:p>
      <w:pPr>
        <w:spacing w:after="100" w:line="259" w:lineRule="auto"/>
      </w:pPr>
      <w:r>
        <w:rPr>
          <w:rFonts w:ascii="Noto Sans CJK TC" w:hAnsi="Noto Sans CJK TC" w:eastAsia="Noto Sans CJK TC"/>
          <w:sz w:val="20"/>
        </w:rPr>
        <w:t>經費設計採「工作包＋官方科目轉表」兩層。工作包對評審說明為什麼花錢；官方科目對主計與核銷說明怎麼支用。正式送件前，budget owner 必須把每項轉成健康台灣支用標準的項目名稱、單價、數量、年度、採購與驗收文件。</w:t>
      </w:r>
    </w:p>
    <w:tbl>
      <w:tblPr>
        <w:tblStyle w:val="TableGrid"/>
        <w:tblW w:type="auto" w:w="0"/>
        <w:jc w:val="center"/>
        <w:tblLook w:firstColumn="1" w:firstRow="1" w:lastColumn="0" w:lastRow="0" w:noHBand="0" w:noVBand="1" w:val="04A0"/>
      </w:tblPr>
      <w:tblGrid>
        <w:gridCol w:w="2566"/>
        <w:gridCol w:w="2566"/>
        <w:gridCol w:w="2566"/>
        <w:gridCol w:w="2566"/>
        <w:gridCol w:w="2566"/>
        <w:gridCol w:w="2566"/>
      </w:tblGrid>
      <w:tr>
        <w:tc>
          <w:tcPr>
            <w:tcW w:type="dxa" w:w="5760"/>
            <w:vAlign w:val="top"/>
            <w:shd w:fill="0F766E"/>
          </w:tcPr>
          <w:p>
            <w:pPr>
              <w:jc w:val="left"/>
            </w:pPr>
            <w:r/>
            <w:r>
              <w:rPr>
                <w:rFonts w:ascii="Noto Sans CJK TC" w:hAnsi="Noto Sans CJK TC" w:eastAsia="Noto Sans CJK TC"/>
                <w:b/>
                <w:color w:val="FFFFFF"/>
                <w:sz w:val="16"/>
              </w:rPr>
              <w:t>工作包</w:t>
            </w:r>
          </w:p>
        </w:tc>
        <w:tc>
          <w:tcPr>
            <w:tcW w:type="dxa" w:w="1584"/>
            <w:vAlign w:val="top"/>
            <w:shd w:fill="0F766E"/>
          </w:tcPr>
          <w:p>
            <w:pPr>
              <w:jc w:val="left"/>
            </w:pPr>
            <w:r/>
            <w:r>
              <w:rPr>
                <w:rFonts w:ascii="Noto Sans CJK TC" w:hAnsi="Noto Sans CJK TC" w:eastAsia="Noto Sans CJK TC"/>
                <w:b/>
                <w:color w:val="FFFFFF"/>
                <w:sz w:val="16"/>
              </w:rPr>
              <w:t>第一年</w:t>
            </w:r>
          </w:p>
        </w:tc>
        <w:tc>
          <w:tcPr>
            <w:tcW w:type="dxa" w:w="1584"/>
            <w:vAlign w:val="top"/>
            <w:shd w:fill="0F766E"/>
          </w:tcPr>
          <w:p>
            <w:pPr>
              <w:jc w:val="left"/>
            </w:pPr>
            <w:r/>
            <w:r>
              <w:rPr>
                <w:rFonts w:ascii="Noto Sans CJK TC" w:hAnsi="Noto Sans CJK TC" w:eastAsia="Noto Sans CJK TC"/>
                <w:b/>
                <w:color w:val="FFFFFF"/>
                <w:sz w:val="16"/>
              </w:rPr>
              <w:t>第二年</w:t>
            </w:r>
          </w:p>
        </w:tc>
        <w:tc>
          <w:tcPr>
            <w:tcW w:type="dxa" w:w="1584"/>
            <w:vAlign w:val="top"/>
            <w:shd w:fill="0F766E"/>
          </w:tcPr>
          <w:p>
            <w:pPr>
              <w:jc w:val="left"/>
            </w:pPr>
            <w:r/>
            <w:r>
              <w:rPr>
                <w:rFonts w:ascii="Noto Sans CJK TC" w:hAnsi="Noto Sans CJK TC" w:eastAsia="Noto Sans CJK TC"/>
                <w:b/>
                <w:color w:val="FFFFFF"/>
                <w:sz w:val="16"/>
              </w:rPr>
              <w:t>第三年</w:t>
            </w:r>
          </w:p>
        </w:tc>
        <w:tc>
          <w:tcPr>
            <w:tcW w:type="dxa" w:w="1728"/>
            <w:vAlign w:val="top"/>
            <w:shd w:fill="0F766E"/>
          </w:tcPr>
          <w:p>
            <w:pPr>
              <w:jc w:val="left"/>
            </w:pPr>
            <w:r/>
            <w:r>
              <w:rPr>
                <w:rFonts w:ascii="Noto Sans CJK TC" w:hAnsi="Noto Sans CJK TC" w:eastAsia="Noto Sans CJK TC"/>
                <w:b/>
                <w:color w:val="FFFFFF"/>
                <w:sz w:val="16"/>
              </w:rPr>
              <w:t>三年合計</w:t>
            </w:r>
          </w:p>
        </w:tc>
        <w:tc>
          <w:tcPr>
            <w:tcW w:type="dxa" w:w="3168"/>
            <w:vAlign w:val="top"/>
            <w:shd w:fill="0F766E"/>
          </w:tcPr>
          <w:p>
            <w:pPr>
              <w:jc w:val="left"/>
            </w:pPr>
            <w:r/>
            <w:r>
              <w:rPr>
                <w:rFonts w:ascii="Noto Sans CJK TC" w:hAnsi="Noto Sans CJK TC" w:eastAsia="Noto Sans CJK TC"/>
                <w:b/>
                <w:color w:val="FFFFFF"/>
                <w:sz w:val="16"/>
              </w:rPr>
              <w:t>KPI / evidence</w:t>
            </w:r>
          </w:p>
        </w:tc>
      </w:tr>
      <w:tr>
        <w:tc>
          <w:tcPr>
            <w:tcW w:type="dxa" w:w="5760"/>
            <w:vAlign w:val="top"/>
          </w:tcPr>
          <w:p>
            <w:pPr>
              <w:jc w:val="left"/>
            </w:pPr>
            <w:r/>
            <w:r>
              <w:rPr>
                <w:rFonts w:ascii="Noto Sans CJK TC" w:hAnsi="Noto Sans CJK TC" w:eastAsia="Noto Sans CJK TC"/>
                <w:b w:val="0"/>
                <w:sz w:val="16"/>
              </w:rPr>
              <w:t>W1 Proposal coordination / PM / RA / KPI evidence</w:t>
            </w:r>
          </w:p>
        </w:tc>
        <w:tc>
          <w:tcPr>
            <w:tcW w:type="dxa" w:w="1584"/>
            <w:vAlign w:val="top"/>
          </w:tcPr>
          <w:p>
            <w:pPr>
              <w:jc w:val="left"/>
            </w:pPr>
            <w:r/>
            <w:r>
              <w:rPr>
                <w:rFonts w:ascii="Noto Sans CJK TC" w:hAnsi="Noto Sans CJK TC" w:eastAsia="Noto Sans CJK TC"/>
                <w:b w:val="0"/>
                <w:sz w:val="16"/>
              </w:rPr>
              <w:t>NT$900,000</w:t>
            </w:r>
          </w:p>
        </w:tc>
        <w:tc>
          <w:tcPr>
            <w:tcW w:type="dxa" w:w="1584"/>
            <w:vAlign w:val="top"/>
          </w:tcPr>
          <w:p>
            <w:pPr>
              <w:jc w:val="left"/>
            </w:pPr>
            <w:r/>
            <w:r>
              <w:rPr>
                <w:rFonts w:ascii="Noto Sans CJK TC" w:hAnsi="Noto Sans CJK TC" w:eastAsia="Noto Sans CJK TC"/>
                <w:b w:val="0"/>
                <w:sz w:val="16"/>
              </w:rPr>
              <w:t>NT$900,000</w:t>
            </w:r>
          </w:p>
        </w:tc>
        <w:tc>
          <w:tcPr>
            <w:tcW w:type="dxa" w:w="1584"/>
            <w:vAlign w:val="top"/>
          </w:tcPr>
          <w:p>
            <w:pPr>
              <w:jc w:val="left"/>
            </w:pPr>
            <w:r/>
            <w:r>
              <w:rPr>
                <w:rFonts w:ascii="Noto Sans CJK TC" w:hAnsi="Noto Sans CJK TC" w:eastAsia="Noto Sans CJK TC"/>
                <w:b w:val="0"/>
                <w:sz w:val="16"/>
              </w:rPr>
              <w:t>NT$700,000</w:t>
            </w:r>
          </w:p>
        </w:tc>
        <w:tc>
          <w:tcPr>
            <w:tcW w:type="dxa" w:w="1728"/>
            <w:vAlign w:val="top"/>
          </w:tcPr>
          <w:p>
            <w:pPr>
              <w:jc w:val="left"/>
            </w:pPr>
            <w:r/>
            <w:r>
              <w:rPr>
                <w:rFonts w:ascii="Noto Sans CJK TC" w:hAnsi="Noto Sans CJK TC" w:eastAsia="Noto Sans CJK TC"/>
                <w:b w:val="0"/>
                <w:sz w:val="16"/>
              </w:rPr>
              <w:t>NT$2,500,000</w:t>
            </w:r>
          </w:p>
        </w:tc>
        <w:tc>
          <w:tcPr>
            <w:tcW w:type="dxa" w:w="3168"/>
            <w:vAlign w:val="top"/>
          </w:tcPr>
          <w:p>
            <w:pPr>
              <w:jc w:val="left"/>
            </w:pPr>
            <w:r/>
            <w:r>
              <w:rPr>
                <w:rFonts w:ascii="Noto Sans CJK TC" w:hAnsi="Noto Sans CJK TC" w:eastAsia="Noto Sans CJK TC"/>
                <w:b w:val="0"/>
                <w:sz w:val="16"/>
              </w:rPr>
              <w:t>proposal package、KPI workbook、annual evidence</w:t>
            </w:r>
          </w:p>
        </w:tc>
      </w:tr>
      <w:tr>
        <w:tc>
          <w:tcPr>
            <w:tcW w:type="dxa" w:w="5760"/>
            <w:vAlign w:val="top"/>
          </w:tcPr>
          <w:p>
            <w:pPr>
              <w:jc w:val="left"/>
            </w:pPr>
            <w:r/>
            <w:r>
              <w:rPr>
                <w:rFonts w:ascii="Noto Sans CJK TC" w:hAnsi="Noto Sans CJK TC" w:eastAsia="Noto Sans CJK TC"/>
                <w:b w:val="0"/>
                <w:sz w:val="16"/>
              </w:rPr>
              <w:t>W2 Clinical workflow review / reviewer sessions</w:t>
            </w:r>
          </w:p>
        </w:tc>
        <w:tc>
          <w:tcPr>
            <w:tcW w:type="dxa" w:w="1584"/>
            <w:vAlign w:val="top"/>
          </w:tcPr>
          <w:p>
            <w:pPr>
              <w:jc w:val="left"/>
            </w:pPr>
            <w:r/>
            <w:r>
              <w:rPr>
                <w:rFonts w:ascii="Noto Sans CJK TC" w:hAnsi="Noto Sans CJK TC" w:eastAsia="Noto Sans CJK TC"/>
                <w:b w:val="0"/>
                <w:sz w:val="16"/>
              </w:rPr>
              <w:t>NT$450,000</w:t>
            </w:r>
          </w:p>
        </w:tc>
        <w:tc>
          <w:tcPr>
            <w:tcW w:type="dxa" w:w="1584"/>
            <w:vAlign w:val="top"/>
          </w:tcPr>
          <w:p>
            <w:pPr>
              <w:jc w:val="left"/>
            </w:pPr>
            <w:r/>
            <w:r>
              <w:rPr>
                <w:rFonts w:ascii="Noto Sans CJK TC" w:hAnsi="Noto Sans CJK TC" w:eastAsia="Noto Sans CJK TC"/>
                <w:b w:val="0"/>
                <w:sz w:val="16"/>
              </w:rPr>
              <w:t>NT$450,000</w:t>
            </w:r>
          </w:p>
        </w:tc>
        <w:tc>
          <w:tcPr>
            <w:tcW w:type="dxa" w:w="1584"/>
            <w:vAlign w:val="top"/>
          </w:tcPr>
          <w:p>
            <w:pPr>
              <w:jc w:val="left"/>
            </w:pPr>
            <w:r/>
            <w:r>
              <w:rPr>
                <w:rFonts w:ascii="Noto Sans CJK TC" w:hAnsi="Noto Sans CJK TC" w:eastAsia="Noto Sans CJK TC"/>
                <w:b w:val="0"/>
                <w:sz w:val="16"/>
              </w:rPr>
              <w:t>NT$300,000</w:t>
            </w:r>
          </w:p>
        </w:tc>
        <w:tc>
          <w:tcPr>
            <w:tcW w:type="dxa" w:w="1728"/>
            <w:vAlign w:val="top"/>
          </w:tcPr>
          <w:p>
            <w:pPr>
              <w:jc w:val="left"/>
            </w:pPr>
            <w:r/>
            <w:r>
              <w:rPr>
                <w:rFonts w:ascii="Noto Sans CJK TC" w:hAnsi="Noto Sans CJK TC" w:eastAsia="Noto Sans CJK TC"/>
                <w:b w:val="0"/>
                <w:sz w:val="16"/>
              </w:rPr>
              <w:t>NT$1,200,000</w:t>
            </w:r>
          </w:p>
        </w:tc>
        <w:tc>
          <w:tcPr>
            <w:tcW w:type="dxa" w:w="3168"/>
            <w:vAlign w:val="top"/>
          </w:tcPr>
          <w:p>
            <w:pPr>
              <w:jc w:val="left"/>
            </w:pPr>
            <w:r/>
            <w:r>
              <w:rPr>
                <w:rFonts w:ascii="Noto Sans CJK TC" w:hAnsi="Noto Sans CJK TC" w:eastAsia="Noto Sans CJK TC"/>
                <w:b w:val="0"/>
                <w:sz w:val="16"/>
              </w:rPr>
              <w:t>summary read time、clinician usefulness、staff-friction</w:t>
            </w:r>
          </w:p>
        </w:tc>
      </w:tr>
      <w:tr>
        <w:tc>
          <w:tcPr>
            <w:tcW w:type="dxa" w:w="5760"/>
            <w:vAlign w:val="top"/>
          </w:tcPr>
          <w:p>
            <w:pPr>
              <w:jc w:val="left"/>
            </w:pPr>
            <w:r/>
            <w:r>
              <w:rPr>
                <w:rFonts w:ascii="Noto Sans CJK TC" w:hAnsi="Noto Sans CJK TC" w:eastAsia="Noto Sans CJK TC"/>
                <w:b w:val="0"/>
                <w:sz w:val="16"/>
              </w:rPr>
              <w:t>W3 Question governance / intake / summary schema</w:t>
            </w:r>
          </w:p>
        </w:tc>
        <w:tc>
          <w:tcPr>
            <w:tcW w:type="dxa" w:w="1584"/>
            <w:vAlign w:val="top"/>
          </w:tcPr>
          <w:p>
            <w:pPr>
              <w:jc w:val="left"/>
            </w:pPr>
            <w:r/>
            <w:r>
              <w:rPr>
                <w:rFonts w:ascii="Noto Sans CJK TC" w:hAnsi="Noto Sans CJK TC" w:eastAsia="Noto Sans CJK TC"/>
                <w:b w:val="0"/>
                <w:sz w:val="16"/>
              </w:rPr>
              <w:t>NT$1,000,000</w:t>
            </w:r>
          </w:p>
        </w:tc>
        <w:tc>
          <w:tcPr>
            <w:tcW w:type="dxa" w:w="1584"/>
            <w:vAlign w:val="top"/>
          </w:tcPr>
          <w:p>
            <w:pPr>
              <w:jc w:val="left"/>
            </w:pPr>
            <w:r/>
            <w:r>
              <w:rPr>
                <w:rFonts w:ascii="Noto Sans CJK TC" w:hAnsi="Noto Sans CJK TC" w:eastAsia="Noto Sans CJK TC"/>
                <w:b w:val="0"/>
                <w:sz w:val="16"/>
              </w:rPr>
              <w:t>NT$600,000</w:t>
            </w:r>
          </w:p>
        </w:tc>
        <w:tc>
          <w:tcPr>
            <w:tcW w:type="dxa" w:w="1584"/>
            <w:vAlign w:val="top"/>
          </w:tcPr>
          <w:p>
            <w:pPr>
              <w:jc w:val="left"/>
            </w:pPr>
            <w:r/>
            <w:r>
              <w:rPr>
                <w:rFonts w:ascii="Noto Sans CJK TC" w:hAnsi="Noto Sans CJK TC" w:eastAsia="Noto Sans CJK TC"/>
                <w:b w:val="0"/>
                <w:sz w:val="16"/>
              </w:rPr>
              <w:t>NT$300,000</w:t>
            </w:r>
          </w:p>
        </w:tc>
        <w:tc>
          <w:tcPr>
            <w:tcW w:type="dxa" w:w="1728"/>
            <w:vAlign w:val="top"/>
          </w:tcPr>
          <w:p>
            <w:pPr>
              <w:jc w:val="left"/>
            </w:pPr>
            <w:r/>
            <w:r>
              <w:rPr>
                <w:rFonts w:ascii="Noto Sans CJK TC" w:hAnsi="Noto Sans CJK TC" w:eastAsia="Noto Sans CJK TC"/>
                <w:b w:val="0"/>
                <w:sz w:val="16"/>
              </w:rPr>
              <w:t>NT$1,900,000</w:t>
            </w:r>
          </w:p>
        </w:tc>
        <w:tc>
          <w:tcPr>
            <w:tcW w:type="dxa" w:w="3168"/>
            <w:vAlign w:val="top"/>
          </w:tcPr>
          <w:p>
            <w:pPr>
              <w:jc w:val="left"/>
            </w:pPr>
            <w:r/>
            <w:r>
              <w:rPr>
                <w:rFonts w:ascii="Noto Sans CJK TC" w:hAnsi="Noto Sans CJK TC" w:eastAsia="Noto Sans CJK TC"/>
                <w:b w:val="0"/>
                <w:sz w:val="16"/>
              </w:rPr>
              <w:t>question bank、source label、missing-field</w:t>
            </w:r>
          </w:p>
        </w:tc>
      </w:tr>
      <w:tr>
        <w:tc>
          <w:tcPr>
            <w:tcW w:type="dxa" w:w="5760"/>
            <w:vAlign w:val="top"/>
          </w:tcPr>
          <w:p>
            <w:pPr>
              <w:jc w:val="left"/>
            </w:pPr>
            <w:r/>
            <w:r>
              <w:rPr>
                <w:rFonts w:ascii="Noto Sans CJK TC" w:hAnsi="Noto Sans CJK TC" w:eastAsia="Noto Sans CJK TC"/>
                <w:b w:val="0"/>
                <w:sz w:val="16"/>
              </w:rPr>
              <w:t>W4 AI prototype / summary generation / review evidence</w:t>
            </w:r>
          </w:p>
        </w:tc>
        <w:tc>
          <w:tcPr>
            <w:tcW w:type="dxa" w:w="1584"/>
            <w:vAlign w:val="top"/>
          </w:tcPr>
          <w:p>
            <w:pPr>
              <w:jc w:val="left"/>
            </w:pPr>
            <w:r/>
            <w:r>
              <w:rPr>
                <w:rFonts w:ascii="Noto Sans CJK TC" w:hAnsi="Noto Sans CJK TC" w:eastAsia="Noto Sans CJK TC"/>
                <w:b w:val="0"/>
                <w:sz w:val="16"/>
              </w:rPr>
              <w:t>NT$900,000</w:t>
            </w:r>
          </w:p>
        </w:tc>
        <w:tc>
          <w:tcPr>
            <w:tcW w:type="dxa" w:w="1584"/>
            <w:vAlign w:val="top"/>
          </w:tcPr>
          <w:p>
            <w:pPr>
              <w:jc w:val="left"/>
            </w:pPr>
            <w:r/>
            <w:r>
              <w:rPr>
                <w:rFonts w:ascii="Noto Sans CJK TC" w:hAnsi="Noto Sans CJK TC" w:eastAsia="Noto Sans CJK TC"/>
                <w:b w:val="0"/>
                <w:sz w:val="16"/>
              </w:rPr>
              <w:t>NT$700,000</w:t>
            </w:r>
          </w:p>
        </w:tc>
        <w:tc>
          <w:tcPr>
            <w:tcW w:type="dxa" w:w="1584"/>
            <w:vAlign w:val="top"/>
          </w:tcPr>
          <w:p>
            <w:pPr>
              <w:jc w:val="left"/>
            </w:pPr>
            <w:r/>
            <w:r>
              <w:rPr>
                <w:rFonts w:ascii="Noto Sans CJK TC" w:hAnsi="Noto Sans CJK TC" w:eastAsia="Noto Sans CJK TC"/>
                <w:b w:val="0"/>
                <w:sz w:val="16"/>
              </w:rPr>
              <w:t>NT$300,000</w:t>
            </w:r>
          </w:p>
        </w:tc>
        <w:tc>
          <w:tcPr>
            <w:tcW w:type="dxa" w:w="1728"/>
            <w:vAlign w:val="top"/>
          </w:tcPr>
          <w:p>
            <w:pPr>
              <w:jc w:val="left"/>
            </w:pPr>
            <w:r/>
            <w:r>
              <w:rPr>
                <w:rFonts w:ascii="Noto Sans CJK TC" w:hAnsi="Noto Sans CJK TC" w:eastAsia="Noto Sans CJK TC"/>
                <w:b w:val="0"/>
                <w:sz w:val="16"/>
              </w:rPr>
              <w:t>NT$1,900,000</w:t>
            </w:r>
          </w:p>
        </w:tc>
        <w:tc>
          <w:tcPr>
            <w:tcW w:type="dxa" w:w="3168"/>
            <w:vAlign w:val="top"/>
          </w:tcPr>
          <w:p>
            <w:pPr>
              <w:jc w:val="left"/>
            </w:pPr>
            <w:r/>
            <w:r>
              <w:rPr>
                <w:rFonts w:ascii="Noto Sans CJK TC" w:hAnsi="Noto Sans CJK TC" w:eastAsia="Noto Sans CJK TC"/>
                <w:b w:val="0"/>
                <w:sz w:val="16"/>
              </w:rPr>
              <w:t>prototype、trace log、safety audit</w:t>
            </w:r>
          </w:p>
        </w:tc>
      </w:tr>
      <w:tr>
        <w:tc>
          <w:tcPr>
            <w:tcW w:type="dxa" w:w="5760"/>
            <w:vAlign w:val="top"/>
          </w:tcPr>
          <w:p>
            <w:pPr>
              <w:jc w:val="left"/>
            </w:pPr>
            <w:r/>
            <w:r>
              <w:rPr>
                <w:rFonts w:ascii="Noto Sans CJK TC" w:hAnsi="Noto Sans CJK TC" w:eastAsia="Noto Sans CJK TC"/>
                <w:b w:val="0"/>
                <w:sz w:val="16"/>
              </w:rPr>
              <w:t>W5 AI / data / security / privacy governance</w:t>
            </w:r>
          </w:p>
        </w:tc>
        <w:tc>
          <w:tcPr>
            <w:tcW w:type="dxa" w:w="1584"/>
            <w:vAlign w:val="top"/>
          </w:tcPr>
          <w:p>
            <w:pPr>
              <w:jc w:val="left"/>
            </w:pPr>
            <w:r/>
            <w:r>
              <w:rPr>
                <w:rFonts w:ascii="Noto Sans CJK TC" w:hAnsi="Noto Sans CJK TC" w:eastAsia="Noto Sans CJK TC"/>
                <w:b w:val="0"/>
                <w:sz w:val="16"/>
              </w:rPr>
              <w:t>NT$400,000</w:t>
            </w:r>
          </w:p>
        </w:tc>
        <w:tc>
          <w:tcPr>
            <w:tcW w:type="dxa" w:w="1584"/>
            <w:vAlign w:val="top"/>
          </w:tcPr>
          <w:p>
            <w:pPr>
              <w:jc w:val="left"/>
            </w:pPr>
            <w:r/>
            <w:r>
              <w:rPr>
                <w:rFonts w:ascii="Noto Sans CJK TC" w:hAnsi="Noto Sans CJK TC" w:eastAsia="Noto Sans CJK TC"/>
                <w:b w:val="0"/>
                <w:sz w:val="16"/>
              </w:rPr>
              <w:t>NT$350,000</w:t>
            </w:r>
          </w:p>
        </w:tc>
        <w:tc>
          <w:tcPr>
            <w:tcW w:type="dxa" w:w="1584"/>
            <w:vAlign w:val="top"/>
          </w:tcPr>
          <w:p>
            <w:pPr>
              <w:jc w:val="left"/>
            </w:pPr>
            <w:r/>
            <w:r>
              <w:rPr>
                <w:rFonts w:ascii="Noto Sans CJK TC" w:hAnsi="Noto Sans CJK TC" w:eastAsia="Noto Sans CJK TC"/>
                <w:b w:val="0"/>
                <w:sz w:val="16"/>
              </w:rPr>
              <w:t>NT$250,000</w:t>
            </w:r>
          </w:p>
        </w:tc>
        <w:tc>
          <w:tcPr>
            <w:tcW w:type="dxa" w:w="1728"/>
            <w:vAlign w:val="top"/>
          </w:tcPr>
          <w:p>
            <w:pPr>
              <w:jc w:val="left"/>
            </w:pPr>
            <w:r/>
            <w:r>
              <w:rPr>
                <w:rFonts w:ascii="Noto Sans CJK TC" w:hAnsi="Noto Sans CJK TC" w:eastAsia="Noto Sans CJK TC"/>
                <w:b w:val="0"/>
                <w:sz w:val="16"/>
              </w:rPr>
              <w:t>NT$1,000,000</w:t>
            </w:r>
          </w:p>
        </w:tc>
        <w:tc>
          <w:tcPr>
            <w:tcW w:type="dxa" w:w="3168"/>
            <w:vAlign w:val="top"/>
          </w:tcPr>
          <w:p>
            <w:pPr>
              <w:jc w:val="left"/>
            </w:pPr>
            <w:r/>
            <w:r>
              <w:rPr>
                <w:rFonts w:ascii="Noto Sans CJK TC" w:hAnsi="Noto Sans CJK TC" w:eastAsia="Noto Sans CJK TC"/>
                <w:b w:val="0"/>
                <w:sz w:val="16"/>
              </w:rPr>
              <w:t>governance checklist、procurement gate</w:t>
            </w:r>
          </w:p>
        </w:tc>
      </w:tr>
      <w:tr>
        <w:tc>
          <w:tcPr>
            <w:tcW w:type="dxa" w:w="5760"/>
            <w:vAlign w:val="top"/>
          </w:tcPr>
          <w:p>
            <w:pPr>
              <w:jc w:val="left"/>
            </w:pPr>
            <w:r/>
            <w:r>
              <w:rPr>
                <w:rFonts w:ascii="Noto Sans CJK TC" w:hAnsi="Noto Sans CJK TC" w:eastAsia="Noto Sans CJK TC"/>
                <w:b w:val="0"/>
                <w:sz w:val="16"/>
              </w:rPr>
              <w:t>W6 Evaluation / baseline / QI / IRB / limited pilot evidence</w:t>
            </w:r>
          </w:p>
        </w:tc>
        <w:tc>
          <w:tcPr>
            <w:tcW w:type="dxa" w:w="1584"/>
            <w:vAlign w:val="top"/>
          </w:tcPr>
          <w:p>
            <w:pPr>
              <w:jc w:val="left"/>
            </w:pPr>
            <w:r/>
            <w:r>
              <w:rPr>
                <w:rFonts w:ascii="Noto Sans CJK TC" w:hAnsi="Noto Sans CJK TC" w:eastAsia="Noto Sans CJK TC"/>
                <w:b w:val="0"/>
                <w:sz w:val="16"/>
              </w:rPr>
              <w:t>NT$250,000</w:t>
            </w:r>
          </w:p>
        </w:tc>
        <w:tc>
          <w:tcPr>
            <w:tcW w:type="dxa" w:w="1584"/>
            <w:vAlign w:val="top"/>
          </w:tcPr>
          <w:p>
            <w:pPr>
              <w:jc w:val="left"/>
            </w:pPr>
            <w:r/>
            <w:r>
              <w:rPr>
                <w:rFonts w:ascii="Noto Sans CJK TC" w:hAnsi="Noto Sans CJK TC" w:eastAsia="Noto Sans CJK TC"/>
                <w:b w:val="0"/>
                <w:sz w:val="16"/>
              </w:rPr>
              <w:t>NT$400,000</w:t>
            </w:r>
          </w:p>
        </w:tc>
        <w:tc>
          <w:tcPr>
            <w:tcW w:type="dxa" w:w="1584"/>
            <w:vAlign w:val="top"/>
          </w:tcPr>
          <w:p>
            <w:pPr>
              <w:jc w:val="left"/>
            </w:pPr>
            <w:r/>
            <w:r>
              <w:rPr>
                <w:rFonts w:ascii="Noto Sans CJK TC" w:hAnsi="Noto Sans CJK TC" w:eastAsia="Noto Sans CJK TC"/>
                <w:b w:val="0"/>
                <w:sz w:val="16"/>
              </w:rPr>
              <w:t>NT$350,000</w:t>
            </w:r>
          </w:p>
        </w:tc>
        <w:tc>
          <w:tcPr>
            <w:tcW w:type="dxa" w:w="1728"/>
            <w:vAlign w:val="top"/>
          </w:tcPr>
          <w:p>
            <w:pPr>
              <w:jc w:val="left"/>
            </w:pPr>
            <w:r/>
            <w:r>
              <w:rPr>
                <w:rFonts w:ascii="Noto Sans CJK TC" w:hAnsi="Noto Sans CJK TC" w:eastAsia="Noto Sans CJK TC"/>
                <w:b w:val="0"/>
                <w:sz w:val="16"/>
              </w:rPr>
              <w:t>NT$1,000,000</w:t>
            </w:r>
          </w:p>
        </w:tc>
        <w:tc>
          <w:tcPr>
            <w:tcW w:type="dxa" w:w="3168"/>
            <w:vAlign w:val="top"/>
          </w:tcPr>
          <w:p>
            <w:pPr>
              <w:jc w:val="left"/>
            </w:pPr>
            <w:r/>
            <w:r>
              <w:rPr>
                <w:rFonts w:ascii="Noto Sans CJK TC" w:hAnsi="Noto Sans CJK TC" w:eastAsia="Noto Sans CJK TC"/>
                <w:b w:val="0"/>
                <w:sz w:val="16"/>
              </w:rPr>
              <w:t>baseline、QI/IRB、evaluation report</w:t>
            </w:r>
          </w:p>
        </w:tc>
      </w:tr>
      <w:tr>
        <w:tc>
          <w:tcPr>
            <w:tcW w:type="dxa" w:w="5760"/>
            <w:vAlign w:val="top"/>
          </w:tcPr>
          <w:p>
            <w:pPr>
              <w:jc w:val="left"/>
            </w:pPr>
            <w:r/>
            <w:r>
              <w:rPr>
                <w:rFonts w:ascii="Noto Sans CJK TC" w:hAnsi="Noto Sans CJK TC" w:eastAsia="Noto Sans CJK TC"/>
                <w:b w:val="0"/>
                <w:sz w:val="16"/>
              </w:rPr>
              <w:t>W7 Optional ASR / intake station readiness</w:t>
            </w:r>
          </w:p>
        </w:tc>
        <w:tc>
          <w:tcPr>
            <w:tcW w:type="dxa" w:w="1584"/>
            <w:vAlign w:val="top"/>
          </w:tcPr>
          <w:p>
            <w:pPr>
              <w:jc w:val="left"/>
            </w:pPr>
            <w:r/>
            <w:r>
              <w:rPr>
                <w:rFonts w:ascii="Noto Sans CJK TC" w:hAnsi="Noto Sans CJK TC" w:eastAsia="Noto Sans CJK TC"/>
                <w:b w:val="0"/>
                <w:sz w:val="16"/>
              </w:rPr>
              <w:t>NT$350,000</w:t>
            </w:r>
          </w:p>
        </w:tc>
        <w:tc>
          <w:tcPr>
            <w:tcW w:type="dxa" w:w="1584"/>
            <w:vAlign w:val="top"/>
          </w:tcPr>
          <w:p>
            <w:pPr>
              <w:jc w:val="left"/>
            </w:pPr>
            <w:r/>
            <w:r>
              <w:rPr>
                <w:rFonts w:ascii="Noto Sans CJK TC" w:hAnsi="Noto Sans CJK TC" w:eastAsia="Noto Sans CJK TC"/>
                <w:b w:val="0"/>
                <w:sz w:val="16"/>
              </w:rPr>
              <w:t>NT$150,000</w:t>
            </w:r>
          </w:p>
        </w:tc>
        <w:tc>
          <w:tcPr>
            <w:tcW w:type="dxa" w:w="1584"/>
            <w:vAlign w:val="top"/>
          </w:tcPr>
          <w:p>
            <w:pPr>
              <w:jc w:val="left"/>
            </w:pPr>
            <w:r/>
            <w:r>
              <w:rPr>
                <w:rFonts w:ascii="Noto Sans CJK TC" w:hAnsi="Noto Sans CJK TC" w:eastAsia="Noto Sans CJK TC"/>
                <w:b w:val="0"/>
                <w:sz w:val="16"/>
              </w:rPr>
              <w:t>NT$0</w:t>
            </w:r>
          </w:p>
        </w:tc>
        <w:tc>
          <w:tcPr>
            <w:tcW w:type="dxa" w:w="1728"/>
            <w:vAlign w:val="top"/>
          </w:tcPr>
          <w:p>
            <w:pPr>
              <w:jc w:val="left"/>
            </w:pPr>
            <w:r/>
            <w:r>
              <w:rPr>
                <w:rFonts w:ascii="Noto Sans CJK TC" w:hAnsi="Noto Sans CJK TC" w:eastAsia="Noto Sans CJK TC"/>
                <w:b w:val="0"/>
                <w:sz w:val="16"/>
              </w:rPr>
              <w:t>NT$500,000</w:t>
            </w:r>
          </w:p>
        </w:tc>
        <w:tc>
          <w:tcPr>
            <w:tcW w:type="dxa" w:w="3168"/>
            <w:vAlign w:val="top"/>
          </w:tcPr>
          <w:p>
            <w:pPr>
              <w:jc w:val="left"/>
            </w:pPr>
            <w:r/>
            <w:r>
              <w:rPr>
                <w:rFonts w:ascii="Noto Sans CJK TC" w:hAnsi="Noto Sans CJK TC" w:eastAsia="Noto Sans CJK TC"/>
                <w:b w:val="0"/>
                <w:sz w:val="16"/>
              </w:rPr>
              <w:t>ASR-confirmed、intake station readiness</w:t>
            </w:r>
          </w:p>
        </w:tc>
      </w:tr>
      <w:tr>
        <w:tc>
          <w:tcPr>
            <w:tcW w:type="dxa" w:w="5760"/>
            <w:vAlign w:val="top"/>
            <w:shd w:fill="E6FFFA"/>
          </w:tcPr>
          <w:p>
            <w:pPr>
              <w:jc w:val="left"/>
            </w:pPr>
            <w:r/>
            <w:r>
              <w:rPr>
                <w:rFonts w:ascii="Noto Sans CJK TC" w:hAnsi="Noto Sans CJK TC" w:eastAsia="Noto Sans CJK TC"/>
                <w:b w:val="0"/>
                <w:sz w:val="16"/>
              </w:rPr>
              <w:t>總計</w:t>
            </w:r>
          </w:p>
        </w:tc>
        <w:tc>
          <w:tcPr>
            <w:tcW w:type="dxa" w:w="1584"/>
            <w:vAlign w:val="top"/>
            <w:shd w:fill="E6FFFA"/>
          </w:tcPr>
          <w:p>
            <w:pPr>
              <w:jc w:val="left"/>
            </w:pPr>
            <w:r/>
            <w:r>
              <w:rPr>
                <w:rFonts w:ascii="Noto Sans CJK TC" w:hAnsi="Noto Sans CJK TC" w:eastAsia="Noto Sans CJK TC"/>
                <w:b w:val="0"/>
                <w:sz w:val="16"/>
              </w:rPr>
              <w:t>NT$4,250,000</w:t>
            </w:r>
          </w:p>
        </w:tc>
        <w:tc>
          <w:tcPr>
            <w:tcW w:type="dxa" w:w="1584"/>
            <w:vAlign w:val="top"/>
            <w:shd w:fill="E6FFFA"/>
          </w:tcPr>
          <w:p>
            <w:pPr>
              <w:jc w:val="left"/>
            </w:pPr>
            <w:r/>
            <w:r>
              <w:rPr>
                <w:rFonts w:ascii="Noto Sans CJK TC" w:hAnsi="Noto Sans CJK TC" w:eastAsia="Noto Sans CJK TC"/>
                <w:b w:val="0"/>
                <w:sz w:val="16"/>
              </w:rPr>
              <w:t>NT$3,550,000</w:t>
            </w:r>
          </w:p>
        </w:tc>
        <w:tc>
          <w:tcPr>
            <w:tcW w:type="dxa" w:w="1584"/>
            <w:vAlign w:val="top"/>
            <w:shd w:fill="E6FFFA"/>
          </w:tcPr>
          <w:p>
            <w:pPr>
              <w:jc w:val="left"/>
            </w:pPr>
            <w:r/>
            <w:r>
              <w:rPr>
                <w:rFonts w:ascii="Noto Sans CJK TC" w:hAnsi="Noto Sans CJK TC" w:eastAsia="Noto Sans CJK TC"/>
                <w:b w:val="0"/>
                <w:sz w:val="16"/>
              </w:rPr>
              <w:t>NT$2,200,000</w:t>
            </w:r>
          </w:p>
        </w:tc>
        <w:tc>
          <w:tcPr>
            <w:tcW w:type="dxa" w:w="1728"/>
            <w:vAlign w:val="top"/>
            <w:shd w:fill="E6FFFA"/>
          </w:tcPr>
          <w:p>
            <w:pPr>
              <w:jc w:val="left"/>
            </w:pPr>
            <w:r/>
            <w:r>
              <w:rPr>
                <w:rFonts w:ascii="Noto Sans CJK TC" w:hAnsi="Noto Sans CJK TC" w:eastAsia="Noto Sans CJK TC"/>
                <w:b w:val="0"/>
                <w:sz w:val="16"/>
              </w:rPr>
              <w:t>NT$10,000,000</w:t>
            </w:r>
          </w:p>
        </w:tc>
        <w:tc>
          <w:tcPr>
            <w:tcW w:type="dxa" w:w="3168"/>
            <w:vAlign w:val="top"/>
            <w:shd w:fill="E6FFFA"/>
          </w:tcPr>
          <w:p>
            <w:pPr>
              <w:jc w:val="left"/>
            </w:pPr>
            <w:r/>
            <w:r>
              <w:rPr>
                <w:rFonts w:ascii="Noto Sans CJK TC" w:hAnsi="Noto Sans CJK TC" w:eastAsia="Noto Sans CJK TC"/>
                <w:b w:val="0"/>
                <w:sz w:val="16"/>
              </w:rPr>
              <w:t>100% mapped</w:t>
            </w:r>
          </w:p>
        </w:tc>
      </w:tr>
    </w:tbl>
    <w:p>
      <w:pPr>
        <w:pStyle w:val="Heading2"/>
      </w:pPr>
      <w:r>
        <w:rPr>
          <w:rFonts w:ascii="Noto Sans CJK TC" w:hAnsi="Noto Sans CJK TC" w:eastAsia="Noto Sans CJK TC"/>
        </w:rPr>
        <w:t>5.1 官方科目概算</w:t>
      </w:r>
    </w:p>
    <w:tbl>
      <w:tblPr>
        <w:tblStyle w:val="TableGrid"/>
        <w:tblW w:type="auto" w:w="0"/>
        <w:jc w:val="center"/>
        <w:tblLook w:firstColumn="1" w:firstRow="1" w:lastColumn="0" w:lastRow="0" w:noHBand="0" w:noVBand="1" w:val="04A0"/>
      </w:tblPr>
      <w:tblGrid>
        <w:gridCol w:w="5131"/>
        <w:gridCol w:w="5131"/>
        <w:gridCol w:w="5131"/>
      </w:tblGrid>
      <w:tr>
        <w:tc>
          <w:tcPr>
            <w:tcW w:type="dxa" w:w="2016"/>
            <w:vAlign w:val="top"/>
            <w:shd w:fill="0F766E"/>
          </w:tcPr>
          <w:p>
            <w:pPr>
              <w:jc w:val="left"/>
            </w:pPr>
            <w:r/>
            <w:r>
              <w:rPr>
                <w:rFonts w:ascii="Noto Sans CJK TC" w:hAnsi="Noto Sans CJK TC" w:eastAsia="Noto Sans CJK TC"/>
                <w:b/>
                <w:color w:val="FFFFFF"/>
                <w:sz w:val="17"/>
              </w:rPr>
              <w:t>官方科目</w:t>
            </w:r>
          </w:p>
        </w:tc>
        <w:tc>
          <w:tcPr>
            <w:tcW w:type="dxa" w:w="2160"/>
            <w:vAlign w:val="top"/>
            <w:shd w:fill="0F766E"/>
          </w:tcPr>
          <w:p>
            <w:pPr>
              <w:jc w:val="left"/>
            </w:pPr>
            <w:r/>
            <w:r>
              <w:rPr>
                <w:rFonts w:ascii="Noto Sans CJK TC" w:hAnsi="Noto Sans CJK TC" w:eastAsia="Noto Sans CJK TC"/>
                <w:b/>
                <w:color w:val="FFFFFF"/>
                <w:sz w:val="17"/>
              </w:rPr>
              <w:t>三年概算</w:t>
            </w:r>
          </w:p>
        </w:tc>
        <w:tc>
          <w:tcPr>
            <w:tcW w:type="dxa" w:w="11232"/>
            <w:vAlign w:val="top"/>
            <w:shd w:fill="0F766E"/>
          </w:tcPr>
          <w:p>
            <w:pPr>
              <w:jc w:val="left"/>
            </w:pPr>
            <w:r/>
            <w:r>
              <w:rPr>
                <w:rFonts w:ascii="Noto Sans CJK TC" w:hAnsi="Noto Sans CJK TC" w:eastAsia="Noto Sans CJK TC"/>
                <w:b/>
                <w:color w:val="FFFFFF"/>
                <w:sz w:val="17"/>
              </w:rPr>
              <w:t>編列邏輯</w:t>
            </w:r>
          </w:p>
        </w:tc>
      </w:tr>
      <w:tr>
        <w:tc>
          <w:tcPr>
            <w:tcW w:type="dxa" w:w="2016"/>
            <w:vAlign w:val="top"/>
          </w:tcPr>
          <w:p>
            <w:pPr>
              <w:jc w:val="left"/>
            </w:pPr>
            <w:r/>
            <w:r>
              <w:rPr>
                <w:rFonts w:ascii="Noto Sans CJK TC" w:hAnsi="Noto Sans CJK TC" w:eastAsia="Noto Sans CJK TC"/>
                <w:b w:val="0"/>
                <w:sz w:val="17"/>
              </w:rPr>
              <w:t>人事費</w:t>
            </w:r>
          </w:p>
        </w:tc>
        <w:tc>
          <w:tcPr>
            <w:tcW w:type="dxa" w:w="2160"/>
            <w:vAlign w:val="top"/>
          </w:tcPr>
          <w:p>
            <w:pPr>
              <w:jc w:val="left"/>
            </w:pPr>
            <w:r/>
            <w:r>
              <w:rPr>
                <w:rFonts w:ascii="Noto Sans CJK TC" w:hAnsi="Noto Sans CJK TC" w:eastAsia="Noto Sans CJK TC"/>
                <w:b w:val="0"/>
                <w:sz w:val="17"/>
              </w:rPr>
              <w:t>NT$6,140,000</w:t>
            </w:r>
          </w:p>
        </w:tc>
        <w:tc>
          <w:tcPr>
            <w:tcW w:type="dxa" w:w="11232"/>
            <w:vAlign w:val="top"/>
          </w:tcPr>
          <w:p>
            <w:pPr>
              <w:jc w:val="left"/>
            </w:pPr>
            <w:r/>
            <w:r>
              <w:rPr>
                <w:rFonts w:ascii="Noto Sans CJK TC" w:hAnsi="Noto Sans CJK TC" w:eastAsia="Noto Sans CJK TC"/>
                <w:b w:val="0"/>
                <w:sz w:val="17"/>
              </w:rPr>
              <w:t>PM/RA、KPI/evaluation RA、clinical reviewer protected time、question/schema/AI engineering、QA cycle、evaluation analyst。依支用標準與機構薪資核實。</w:t>
            </w:r>
          </w:p>
        </w:tc>
      </w:tr>
      <w:tr>
        <w:tc>
          <w:tcPr>
            <w:tcW w:type="dxa" w:w="2016"/>
            <w:vAlign w:val="top"/>
          </w:tcPr>
          <w:p>
            <w:pPr>
              <w:jc w:val="left"/>
            </w:pPr>
            <w:r/>
            <w:r>
              <w:rPr>
                <w:rFonts w:ascii="Noto Sans CJK TC" w:hAnsi="Noto Sans CJK TC" w:eastAsia="Noto Sans CJK TC"/>
                <w:b w:val="0"/>
                <w:sz w:val="17"/>
              </w:rPr>
              <w:t>業務費</w:t>
            </w:r>
          </w:p>
        </w:tc>
        <w:tc>
          <w:tcPr>
            <w:tcW w:type="dxa" w:w="2160"/>
            <w:vAlign w:val="top"/>
          </w:tcPr>
          <w:p>
            <w:pPr>
              <w:jc w:val="left"/>
            </w:pPr>
            <w:r/>
            <w:r>
              <w:rPr>
                <w:rFonts w:ascii="Noto Sans CJK TC" w:hAnsi="Noto Sans CJK TC" w:eastAsia="Noto Sans CJK TC"/>
                <w:b w:val="0"/>
                <w:sz w:val="17"/>
              </w:rPr>
              <w:t>NT$3,630,000</w:t>
            </w:r>
          </w:p>
        </w:tc>
        <w:tc>
          <w:tcPr>
            <w:tcW w:type="dxa" w:w="11232"/>
            <w:vAlign w:val="top"/>
          </w:tcPr>
          <w:p>
            <w:pPr>
              <w:jc w:val="left"/>
            </w:pPr>
            <w:r/>
            <w:r>
              <w:rPr>
                <w:rFonts w:ascii="Noto Sans CJK TC" w:hAnsi="Noto Sans CJK TC" w:eastAsia="Noto Sans CJK TC"/>
                <w:b w:val="0"/>
                <w:sz w:val="17"/>
              </w:rPr>
              <w:t>外部審查/出席、文件包、資料蒐集、workflow walkthrough、LLM/API/cloud/ASR 租金或權利使用、治理工作坊、IRB、問卷/訪視等。</w:t>
            </w:r>
          </w:p>
        </w:tc>
      </w:tr>
      <w:tr>
        <w:tc>
          <w:tcPr>
            <w:tcW w:type="dxa" w:w="2016"/>
            <w:vAlign w:val="top"/>
          </w:tcPr>
          <w:p>
            <w:pPr>
              <w:jc w:val="left"/>
            </w:pPr>
            <w:r/>
            <w:r>
              <w:rPr>
                <w:rFonts w:ascii="Noto Sans CJK TC" w:hAnsi="Noto Sans CJK TC" w:eastAsia="Noto Sans CJK TC"/>
                <w:b w:val="0"/>
                <w:sz w:val="17"/>
              </w:rPr>
              <w:t>設備費</w:t>
            </w:r>
          </w:p>
        </w:tc>
        <w:tc>
          <w:tcPr>
            <w:tcW w:type="dxa" w:w="2160"/>
            <w:vAlign w:val="top"/>
          </w:tcPr>
          <w:p>
            <w:pPr>
              <w:jc w:val="left"/>
            </w:pPr>
            <w:r/>
            <w:r>
              <w:rPr>
                <w:rFonts w:ascii="Noto Sans CJK TC" w:hAnsi="Noto Sans CJK TC" w:eastAsia="Noto Sans CJK TC"/>
                <w:b w:val="0"/>
                <w:sz w:val="17"/>
              </w:rPr>
              <w:t>NT$230,000</w:t>
            </w:r>
          </w:p>
        </w:tc>
        <w:tc>
          <w:tcPr>
            <w:tcW w:type="dxa" w:w="11232"/>
            <w:vAlign w:val="top"/>
          </w:tcPr>
          <w:p>
            <w:pPr>
              <w:jc w:val="left"/>
            </w:pPr>
            <w:r/>
            <w:r>
              <w:rPr>
                <w:rFonts w:ascii="Noto Sans CJK TC" w:hAnsi="Noto Sans CJK TC" w:eastAsia="Noto Sans CJK TC"/>
                <w:b w:val="0"/>
                <w:sz w:val="17"/>
              </w:rPr>
              <w:t>clinic-owned intake station readiness；若改租用則轉業務費。設備費約占總額 2.3%，低於 30% 資本門上限。</w:t>
            </w:r>
          </w:p>
        </w:tc>
      </w:tr>
      <w:tr>
        <w:tc>
          <w:tcPr>
            <w:tcW w:type="dxa" w:w="2016"/>
            <w:vAlign w:val="top"/>
            <w:shd w:fill="E6FFFA"/>
          </w:tcPr>
          <w:p>
            <w:pPr>
              <w:jc w:val="left"/>
            </w:pPr>
            <w:r/>
            <w:r>
              <w:rPr>
                <w:rFonts w:ascii="Noto Sans CJK TC" w:hAnsi="Noto Sans CJK TC" w:eastAsia="Noto Sans CJK TC"/>
                <w:b w:val="0"/>
                <w:sz w:val="17"/>
              </w:rPr>
              <w:t>合計</w:t>
            </w:r>
          </w:p>
        </w:tc>
        <w:tc>
          <w:tcPr>
            <w:tcW w:type="dxa" w:w="2160"/>
            <w:vAlign w:val="top"/>
            <w:shd w:fill="E6FFFA"/>
          </w:tcPr>
          <w:p>
            <w:pPr>
              <w:jc w:val="left"/>
            </w:pPr>
            <w:r/>
            <w:r>
              <w:rPr>
                <w:rFonts w:ascii="Noto Sans CJK TC" w:hAnsi="Noto Sans CJK TC" w:eastAsia="Noto Sans CJK TC"/>
                <w:b w:val="0"/>
                <w:sz w:val="17"/>
              </w:rPr>
              <w:t>NT$10,000,000</w:t>
            </w:r>
          </w:p>
        </w:tc>
        <w:tc>
          <w:tcPr>
            <w:tcW w:type="dxa" w:w="11232"/>
            <w:vAlign w:val="top"/>
            <w:shd w:fill="E6FFFA"/>
          </w:tcPr>
          <w:p>
            <w:pPr>
              <w:jc w:val="left"/>
            </w:pPr>
            <w:r/>
            <w:r>
              <w:rPr>
                <w:rFonts w:ascii="Noto Sans CJK TC" w:hAnsi="Noto Sans CJK TC" w:eastAsia="Noto Sans CJK TC"/>
                <w:b w:val="0"/>
                <w:sz w:val="17"/>
              </w:rPr>
              <w:t>正式表仍需主提單位確認補助款/配合款、採購門檻、核銷科目與驗收文件。</w:t>
            </w:r>
          </w:p>
        </w:tc>
      </w:tr>
    </w:tbl>
    <w:p>
      <w:pPr>
        <w:pStyle w:val="Heading2"/>
      </w:pPr>
      <w:r>
        <w:rPr>
          <w:rFonts w:ascii="Noto Sans CJK TC" w:hAnsi="Noto Sans CJK TC" w:eastAsia="Noto Sans CJK TC"/>
        </w:rPr>
        <w:t>5.2 單價依據與審查說服邏輯</w:t>
      </w:r>
    </w:p>
    <w:tbl>
      <w:tblPr>
        <w:tblStyle w:val="TableGrid"/>
        <w:tblW w:type="auto" w:w="0"/>
        <w:jc w:val="center"/>
        <w:tblLook w:firstColumn="1" w:firstRow="1" w:lastColumn="0" w:lastRow="0" w:noHBand="0" w:noVBand="1" w:val="04A0"/>
      </w:tblPr>
      <w:tblGrid>
        <w:gridCol w:w="7697"/>
        <w:gridCol w:w="7697"/>
      </w:tblGrid>
      <w:tr>
        <w:tc>
          <w:tcPr>
            <w:tcW w:type="dxa" w:w="3456"/>
            <w:vAlign w:val="top"/>
            <w:shd w:fill="0F766E"/>
          </w:tcPr>
          <w:p>
            <w:pPr>
              <w:jc w:val="left"/>
            </w:pPr>
            <w:r/>
            <w:r>
              <w:rPr>
                <w:rFonts w:ascii="Noto Sans CJK TC" w:hAnsi="Noto Sans CJK TC" w:eastAsia="Noto Sans CJK TC"/>
                <w:b/>
                <w:color w:val="FFFFFF"/>
                <w:sz w:val="16"/>
              </w:rPr>
              <w:t>單價/項目</w:t>
            </w:r>
          </w:p>
        </w:tc>
        <w:tc>
          <w:tcPr>
            <w:tcW w:type="dxa" w:w="11952"/>
            <w:vAlign w:val="top"/>
            <w:shd w:fill="0F766E"/>
          </w:tcPr>
          <w:p>
            <w:pPr>
              <w:jc w:val="left"/>
            </w:pPr>
            <w:r/>
            <w:r>
              <w:rPr>
                <w:rFonts w:ascii="Noto Sans CJK TC" w:hAnsi="Noto Sans CJK TC" w:eastAsia="Noto Sans CJK TC"/>
                <w:b/>
                <w:color w:val="FFFFFF"/>
                <w:sz w:val="16"/>
              </w:rPr>
              <w:t>依據與說明</w:t>
            </w:r>
          </w:p>
        </w:tc>
      </w:tr>
      <w:tr>
        <w:tc>
          <w:tcPr>
            <w:tcW w:type="dxa" w:w="3456"/>
            <w:vAlign w:val="top"/>
          </w:tcPr>
          <w:p>
            <w:pPr>
              <w:jc w:val="left"/>
            </w:pPr>
            <w:r/>
            <w:r>
              <w:rPr>
                <w:rFonts w:ascii="Noto Sans CJK TC" w:hAnsi="Noto Sans CJK TC" w:eastAsia="Noto Sans CJK TC"/>
                <w:b w:val="0"/>
                <w:sz w:val="16"/>
              </w:rPr>
              <w:t>PM/RA 60,000/人月</w:t>
            </w:r>
          </w:p>
        </w:tc>
        <w:tc>
          <w:tcPr>
            <w:tcW w:type="dxa" w:w="11952"/>
            <w:vAlign w:val="top"/>
          </w:tcPr>
          <w:p>
            <w:pPr>
              <w:jc w:val="left"/>
            </w:pPr>
            <w:r/>
            <w:r>
              <w:rPr>
                <w:rFonts w:ascii="Noto Sans CJK TC" w:hAnsi="Noto Sans CJK TC" w:eastAsia="Noto Sans CJK TC"/>
                <w:b w:val="0"/>
                <w:sz w:val="16"/>
              </w:rPr>
              <w:t>NSTC 碩士級研究人力最低 41,500/月；健康台灣支用標準要求薪資依申請單位標準核實，並列勞健保、勞退、年終等。60,000/人月是含負擔與專案管理工作的中低估算。</w:t>
            </w:r>
          </w:p>
        </w:tc>
      </w:tr>
      <w:tr>
        <w:tc>
          <w:tcPr>
            <w:tcW w:type="dxa" w:w="3456"/>
            <w:vAlign w:val="top"/>
          </w:tcPr>
          <w:p>
            <w:pPr>
              <w:jc w:val="left"/>
            </w:pPr>
            <w:r/>
            <w:r>
              <w:rPr>
                <w:rFonts w:ascii="Noto Sans CJK TC" w:hAnsi="Noto Sans CJK TC" w:eastAsia="Noto Sans CJK TC"/>
                <w:b w:val="0"/>
                <w:sz w:val="16"/>
              </w:rPr>
              <w:t>KPI/evaluation RA 45,000/人月</w:t>
            </w:r>
          </w:p>
        </w:tc>
        <w:tc>
          <w:tcPr>
            <w:tcW w:type="dxa" w:w="11952"/>
            <w:vAlign w:val="top"/>
          </w:tcPr>
          <w:p>
            <w:pPr>
              <w:jc w:val="left"/>
            </w:pPr>
            <w:r/>
            <w:r>
              <w:rPr>
                <w:rFonts w:ascii="Noto Sans CJK TC" w:hAnsi="Noto Sans CJK TC" w:eastAsia="Noto Sans CJK TC"/>
                <w:b w:val="0"/>
                <w:sz w:val="16"/>
              </w:rPr>
              <w:t>接近碩士級研究人力下限，適合 baseline、scorecard、管考資料與 evidence log。</w:t>
            </w:r>
          </w:p>
        </w:tc>
      </w:tr>
      <w:tr>
        <w:tc>
          <w:tcPr>
            <w:tcW w:type="dxa" w:w="3456"/>
            <w:vAlign w:val="top"/>
          </w:tcPr>
          <w:p>
            <w:pPr>
              <w:jc w:val="left"/>
            </w:pPr>
            <w:r/>
            <w:r>
              <w:rPr>
                <w:rFonts w:ascii="Noto Sans CJK TC" w:hAnsi="Noto Sans CJK TC" w:eastAsia="Noto Sans CJK TC"/>
                <w:b w:val="0"/>
                <w:sz w:val="16"/>
              </w:rPr>
              <w:t>AI engineering 85,000/人月</w:t>
            </w:r>
          </w:p>
        </w:tc>
        <w:tc>
          <w:tcPr>
            <w:tcW w:type="dxa" w:w="11952"/>
            <w:vAlign w:val="top"/>
          </w:tcPr>
          <w:p>
            <w:pPr>
              <w:jc w:val="left"/>
            </w:pPr>
            <w:r/>
            <w:r>
              <w:rPr>
                <w:rFonts w:ascii="Noto Sans CJK TC" w:hAnsi="Noto Sans CJK TC" w:eastAsia="Noto Sans CJK TC"/>
                <w:b w:val="0"/>
                <w:sz w:val="16"/>
              </w:rPr>
              <w:t>AI/software prototype、trace logging、summary schema integration 屬特殊技能。支用標準允許具特殊專長、工作經驗與計畫貢獻者由執行機構訂定標準，經機關首長同意後核實支給。</w:t>
            </w:r>
          </w:p>
        </w:tc>
      </w:tr>
      <w:tr>
        <w:tc>
          <w:tcPr>
            <w:tcW w:type="dxa" w:w="3456"/>
            <w:vAlign w:val="top"/>
          </w:tcPr>
          <w:p>
            <w:pPr>
              <w:jc w:val="left"/>
            </w:pPr>
            <w:r/>
            <w:r>
              <w:rPr>
                <w:rFonts w:ascii="Noto Sans CJK TC" w:hAnsi="Noto Sans CJK TC" w:eastAsia="Noto Sans CJK TC"/>
                <w:b w:val="0"/>
                <w:sz w:val="16"/>
              </w:rPr>
              <w:t>臨床 reviewer package 12,500/session</w:t>
            </w:r>
          </w:p>
        </w:tc>
        <w:tc>
          <w:tcPr>
            <w:tcW w:type="dxa" w:w="11952"/>
            <w:vAlign w:val="top"/>
          </w:tcPr>
          <w:p>
            <w:pPr>
              <w:jc w:val="left"/>
            </w:pPr>
            <w:r/>
            <w:r>
              <w:rPr>
                <w:rFonts w:ascii="Noto Sans CJK TC" w:hAnsi="Noto Sans CJK TC" w:eastAsia="Noto Sans CJK TC"/>
                <w:b w:val="0"/>
                <w:sz w:val="16"/>
              </w:rPr>
              <w:t>不是出席費；包含 reviewer protected time、案例閱讀、scorecard coding、缺漏欄位判讀與修正建議。若為外部單純出席，應按每次 2,500 上限；院內計畫人員則列人事或職掌，不能重複領出席費。</w:t>
            </w:r>
          </w:p>
        </w:tc>
      </w:tr>
      <w:tr>
        <w:tc>
          <w:tcPr>
            <w:tcW w:type="dxa" w:w="3456"/>
            <w:vAlign w:val="top"/>
          </w:tcPr>
          <w:p>
            <w:pPr>
              <w:jc w:val="left"/>
            </w:pPr>
            <w:r/>
            <w:r>
              <w:rPr>
                <w:rFonts w:ascii="Noto Sans CJK TC" w:hAnsi="Noto Sans CJK TC" w:eastAsia="Noto Sans CJK TC"/>
                <w:b w:val="0"/>
                <w:sz w:val="16"/>
              </w:rPr>
              <w:t>外部專家 2,500/meeting</w:t>
            </w:r>
          </w:p>
        </w:tc>
        <w:tc>
          <w:tcPr>
            <w:tcW w:type="dxa" w:w="11952"/>
            <w:vAlign w:val="top"/>
          </w:tcPr>
          <w:p>
            <w:pPr>
              <w:jc w:val="left"/>
            </w:pPr>
            <w:r/>
            <w:r>
              <w:rPr>
                <w:rFonts w:ascii="Noto Sans CJK TC" w:hAnsi="Noto Sans CJK TC" w:eastAsia="Noto Sans CJK TC"/>
                <w:b w:val="0"/>
                <w:sz w:val="16"/>
              </w:rPr>
              <w:t>按中央政府各機關學校出席費要點上限設計；限非計畫支薪人員、具實質諮詢或審查。</w:t>
            </w:r>
          </w:p>
        </w:tc>
      </w:tr>
      <w:tr>
        <w:tc>
          <w:tcPr>
            <w:tcW w:type="dxa" w:w="3456"/>
            <w:vAlign w:val="top"/>
          </w:tcPr>
          <w:p>
            <w:pPr>
              <w:jc w:val="left"/>
            </w:pPr>
            <w:r/>
            <w:r>
              <w:rPr>
                <w:rFonts w:ascii="Noto Sans CJK TC" w:hAnsi="Noto Sans CJK TC" w:eastAsia="Noto Sans CJK TC"/>
                <w:b w:val="0"/>
                <w:sz w:val="16"/>
              </w:rPr>
              <w:t>問卷/訪視 200/份</w:t>
            </w:r>
          </w:p>
        </w:tc>
        <w:tc>
          <w:tcPr>
            <w:tcW w:type="dxa" w:w="11952"/>
            <w:vAlign w:val="top"/>
          </w:tcPr>
          <w:p>
            <w:pPr>
              <w:jc w:val="left"/>
            </w:pPr>
            <w:r/>
            <w:r>
              <w:rPr>
                <w:rFonts w:ascii="Noto Sans CJK TC" w:hAnsi="Noto Sans CJK TC" w:eastAsia="Noto Sans CJK TC"/>
                <w:b w:val="0"/>
                <w:sz w:val="16"/>
              </w:rPr>
              <w:t>健康台灣支用標準允許每份 50–300；本案採 200 元中位數，用於 clinician/staff survey 或訪談補償。</w:t>
            </w:r>
          </w:p>
        </w:tc>
      </w:tr>
      <w:tr>
        <w:tc>
          <w:tcPr>
            <w:tcW w:type="dxa" w:w="3456"/>
            <w:vAlign w:val="top"/>
          </w:tcPr>
          <w:p>
            <w:pPr>
              <w:jc w:val="left"/>
            </w:pPr>
            <w:r/>
            <w:r>
              <w:rPr>
                <w:rFonts w:ascii="Noto Sans CJK TC" w:hAnsi="Noto Sans CJK TC" w:eastAsia="Noto Sans CJK TC"/>
                <w:b w:val="0"/>
                <w:sz w:val="16"/>
              </w:rPr>
              <w:t>IRB 100,000/case/year reserve</w:t>
            </w:r>
          </w:p>
        </w:tc>
        <w:tc>
          <w:tcPr>
            <w:tcW w:type="dxa" w:w="11952"/>
            <w:vAlign w:val="top"/>
          </w:tcPr>
          <w:p>
            <w:pPr>
              <w:jc w:val="left"/>
            </w:pPr>
            <w:r/>
            <w:r>
              <w:rPr>
                <w:rFonts w:ascii="Noto Sans CJK TC" w:hAnsi="Noto Sans CJK TC" w:eastAsia="Noto Sans CJK TC"/>
                <w:b w:val="0"/>
                <w:sz w:val="16"/>
              </w:rPr>
              <w:t>涉及人體試驗或人體資料時，IRB 審查費每案以 100,000 為限；若 QI 判定不需 IRB，該預算需經核定轉至 evaluation/QI。</w:t>
            </w:r>
          </w:p>
        </w:tc>
      </w:tr>
      <w:tr>
        <w:tc>
          <w:tcPr>
            <w:tcW w:type="dxa" w:w="3456"/>
            <w:vAlign w:val="top"/>
          </w:tcPr>
          <w:p>
            <w:pPr>
              <w:jc w:val="left"/>
            </w:pPr>
            <w:r/>
            <w:r>
              <w:rPr>
                <w:rFonts w:ascii="Noto Sans CJK TC" w:hAnsi="Noto Sans CJK TC" w:eastAsia="Noto Sans CJK TC"/>
                <w:b w:val="0"/>
                <w:sz w:val="16"/>
              </w:rPr>
              <w:t>LLM/API/cloud/ASR 10,000/service-month 或 package</w:t>
            </w:r>
          </w:p>
        </w:tc>
        <w:tc>
          <w:tcPr>
            <w:tcW w:type="dxa" w:w="11952"/>
            <w:vAlign w:val="top"/>
          </w:tcPr>
          <w:p>
            <w:pPr>
              <w:jc w:val="left"/>
            </w:pPr>
            <w:r/>
            <w:r>
              <w:rPr>
                <w:rFonts w:ascii="Noto Sans CJK TC" w:hAnsi="Noto Sans CJK TC" w:eastAsia="Noto Sans CJK TC"/>
                <w:b w:val="0"/>
                <w:sz w:val="16"/>
              </w:rPr>
              <w:t>優先以租金/權利使用費處理，避免大量資本門；若為購置軟硬體、程式設計、平台建置，需依正式科目改列設備費或採購。</w:t>
            </w:r>
          </w:p>
        </w:tc>
      </w:tr>
      <w:tr>
        <w:tc>
          <w:tcPr>
            <w:tcW w:type="dxa" w:w="3456"/>
            <w:vAlign w:val="top"/>
          </w:tcPr>
          <w:p>
            <w:pPr>
              <w:jc w:val="left"/>
            </w:pPr>
            <w:r/>
            <w:r>
              <w:rPr>
                <w:rFonts w:ascii="Noto Sans CJK TC" w:hAnsi="Noto Sans CJK TC" w:eastAsia="Noto Sans CJK TC"/>
                <w:b w:val="0"/>
                <w:sz w:val="16"/>
              </w:rPr>
              <w:t>設備 230,000</w:t>
            </w:r>
          </w:p>
        </w:tc>
        <w:tc>
          <w:tcPr>
            <w:tcW w:type="dxa" w:w="11952"/>
            <w:vAlign w:val="top"/>
          </w:tcPr>
          <w:p>
            <w:pPr>
              <w:jc w:val="left"/>
            </w:pPr>
            <w:r/>
            <w:r>
              <w:rPr>
                <w:rFonts w:ascii="Noto Sans CJK TC" w:hAnsi="Noto Sans CJK TC" w:eastAsia="Noto Sans CJK TC"/>
                <w:b w:val="0"/>
                <w:sz w:val="16"/>
              </w:rPr>
              <w:t>僅作 clinic-owned intake station readiness，不列個人手機或個人平板。設備若單價 10,000 以上且使用年限 2 年以上，才列設備費；本案占比低於資本門 30% 上限。</w:t>
            </w:r>
          </w:p>
        </w:tc>
      </w:tr>
    </w:tbl>
    <w:p>
      <w:pPr>
        <w:pStyle w:val="Heading1"/>
      </w:pPr>
      <w:r>
        <w:rPr>
          <w:rFonts w:ascii="Noto Sans CJK TC" w:hAnsi="Noto Sans CJK TC" w:eastAsia="Noto Sans CJK TC"/>
        </w:rPr>
        <w:t>六、年度查核點與 Go / No-Go</w:t>
      </w:r>
    </w:p>
    <w:tbl>
      <w:tblPr>
        <w:tblStyle w:val="TableGrid"/>
        <w:tblW w:type="auto" w:w="0"/>
        <w:jc w:val="center"/>
        <w:tblLook w:firstColumn="1" w:firstRow="1" w:lastColumn="0" w:lastRow="0" w:noHBand="0" w:noVBand="1" w:val="04A0"/>
      </w:tblPr>
      <w:tblGrid>
        <w:gridCol w:w="3848"/>
        <w:gridCol w:w="3848"/>
        <w:gridCol w:w="3848"/>
        <w:gridCol w:w="3848"/>
      </w:tblGrid>
      <w:tr>
        <w:tc>
          <w:tcPr>
            <w:tcW w:type="dxa" w:w="1152"/>
            <w:vAlign w:val="top"/>
            <w:shd w:fill="0F766E"/>
          </w:tcPr>
          <w:p>
            <w:pPr>
              <w:jc w:val="left"/>
            </w:pPr>
            <w:r/>
            <w:r>
              <w:rPr>
                <w:rFonts w:ascii="Noto Sans CJK TC" w:hAnsi="Noto Sans CJK TC" w:eastAsia="Noto Sans CJK TC"/>
                <w:b/>
                <w:color w:val="FFFFFF"/>
                <w:sz w:val="16"/>
              </w:rPr>
              <w:t>年度</w:t>
            </w:r>
          </w:p>
        </w:tc>
        <w:tc>
          <w:tcPr>
            <w:tcW w:type="dxa" w:w="4320"/>
            <w:vAlign w:val="top"/>
            <w:shd w:fill="0F766E"/>
          </w:tcPr>
          <w:p>
            <w:pPr>
              <w:jc w:val="left"/>
            </w:pPr>
            <w:r/>
            <w:r>
              <w:rPr>
                <w:rFonts w:ascii="Noto Sans CJK TC" w:hAnsi="Noto Sans CJK TC" w:eastAsia="Noto Sans CJK TC"/>
                <w:b/>
                <w:color w:val="FFFFFF"/>
                <w:sz w:val="16"/>
              </w:rPr>
              <w:t>查核點</w:t>
            </w:r>
          </w:p>
        </w:tc>
        <w:tc>
          <w:tcPr>
            <w:tcW w:type="dxa" w:w="6192"/>
            <w:vAlign w:val="top"/>
            <w:shd w:fill="0F766E"/>
          </w:tcPr>
          <w:p>
            <w:pPr>
              <w:jc w:val="left"/>
            </w:pPr>
            <w:r/>
            <w:r>
              <w:rPr>
                <w:rFonts w:ascii="Noto Sans CJK TC" w:hAnsi="Noto Sans CJK TC" w:eastAsia="Noto Sans CJK TC"/>
                <w:b/>
                <w:color w:val="FFFFFF"/>
                <w:sz w:val="16"/>
              </w:rPr>
              <w:t>應交付證據</w:t>
            </w:r>
          </w:p>
        </w:tc>
        <w:tc>
          <w:tcPr>
            <w:tcW w:type="dxa" w:w="3744"/>
            <w:vAlign w:val="top"/>
            <w:shd w:fill="0F766E"/>
          </w:tcPr>
          <w:p>
            <w:pPr>
              <w:jc w:val="left"/>
            </w:pPr>
            <w:r/>
            <w:r>
              <w:rPr>
                <w:rFonts w:ascii="Noto Sans CJK TC" w:hAnsi="Noto Sans CJK TC" w:eastAsia="Noto Sans CJK TC"/>
                <w:b/>
                <w:color w:val="FFFFFF"/>
                <w:sz w:val="16"/>
              </w:rPr>
              <w:t>Go / No-Go</w:t>
            </w:r>
          </w:p>
        </w:tc>
      </w:tr>
      <w:tr>
        <w:tc>
          <w:tcPr>
            <w:tcW w:type="dxa" w:w="1152"/>
            <w:vAlign w:val="top"/>
          </w:tcPr>
          <w:p>
            <w:pPr>
              <w:jc w:val="left"/>
            </w:pPr>
            <w:r/>
            <w:r>
              <w:rPr>
                <w:rFonts w:ascii="Noto Sans CJK TC" w:hAnsi="Noto Sans CJK TC" w:eastAsia="Noto Sans CJK TC"/>
                <w:b w:val="0"/>
                <w:sz w:val="16"/>
              </w:rPr>
              <w:t>Y1</w:t>
            </w:r>
          </w:p>
        </w:tc>
        <w:tc>
          <w:tcPr>
            <w:tcW w:type="dxa" w:w="4320"/>
            <w:vAlign w:val="top"/>
          </w:tcPr>
          <w:p>
            <w:pPr>
              <w:jc w:val="left"/>
            </w:pPr>
            <w:r/>
            <w:r>
              <w:rPr>
                <w:rFonts w:ascii="Noto Sans CJK TC" w:hAnsi="Noto Sans CJK TC" w:eastAsia="Noto Sans CJK TC"/>
                <w:b w:val="0"/>
                <w:sz w:val="16"/>
              </w:rPr>
              <w:t>Intended use / clinical boundary 鎖定</w:t>
            </w:r>
          </w:p>
        </w:tc>
        <w:tc>
          <w:tcPr>
            <w:tcW w:type="dxa" w:w="6192"/>
            <w:vAlign w:val="top"/>
          </w:tcPr>
          <w:p>
            <w:pPr>
              <w:jc w:val="left"/>
            </w:pPr>
            <w:r/>
            <w:r>
              <w:rPr>
                <w:rFonts w:ascii="Noto Sans CJK TC" w:hAnsi="Noto Sans CJK TC" w:eastAsia="Noto Sans CJK TC"/>
                <w:b w:val="0"/>
                <w:sz w:val="16"/>
              </w:rPr>
              <w:t>intended-use 文件、禁止語句清單、CRM out-of-scope 註記</w:t>
            </w:r>
          </w:p>
        </w:tc>
        <w:tc>
          <w:tcPr>
            <w:tcW w:type="dxa" w:w="3744"/>
            <w:vAlign w:val="top"/>
          </w:tcPr>
          <w:p>
            <w:pPr>
              <w:jc w:val="left"/>
            </w:pPr>
            <w:r/>
            <w:r>
              <w:rPr>
                <w:rFonts w:ascii="Noto Sans CJK TC" w:hAnsi="Noto Sans CJK TC" w:eastAsia="Noto Sans CJK TC"/>
                <w:b w:val="0"/>
                <w:sz w:val="16"/>
              </w:rPr>
              <w:t>未完成不得做真實資料測試</w:t>
            </w:r>
          </w:p>
        </w:tc>
      </w:tr>
      <w:tr>
        <w:tc>
          <w:tcPr>
            <w:tcW w:type="dxa" w:w="1152"/>
            <w:vAlign w:val="top"/>
          </w:tcPr>
          <w:p>
            <w:pPr>
              <w:jc w:val="left"/>
            </w:pPr>
            <w:r/>
            <w:r>
              <w:rPr>
                <w:rFonts w:ascii="Noto Sans CJK TC" w:hAnsi="Noto Sans CJK TC" w:eastAsia="Noto Sans CJK TC"/>
                <w:b w:val="0"/>
                <w:sz w:val="16"/>
              </w:rPr>
              <w:t>Y1</w:t>
            </w:r>
          </w:p>
        </w:tc>
        <w:tc>
          <w:tcPr>
            <w:tcW w:type="dxa" w:w="4320"/>
            <w:vAlign w:val="top"/>
          </w:tcPr>
          <w:p>
            <w:pPr>
              <w:jc w:val="left"/>
            </w:pPr>
            <w:r/>
            <w:r>
              <w:rPr>
                <w:rFonts w:ascii="Noto Sans CJK TC" w:hAnsi="Noto Sans CJK TC" w:eastAsia="Noto Sans CJK TC"/>
                <w:b w:val="0"/>
                <w:sz w:val="16"/>
              </w:rPr>
              <w:t>Question set + summary schema v1</w:t>
            </w:r>
          </w:p>
        </w:tc>
        <w:tc>
          <w:tcPr>
            <w:tcW w:type="dxa" w:w="6192"/>
            <w:vAlign w:val="top"/>
          </w:tcPr>
          <w:p>
            <w:pPr>
              <w:jc w:val="left"/>
            </w:pPr>
            <w:r/>
            <w:r>
              <w:rPr>
                <w:rFonts w:ascii="Noto Sans CJK TC" w:hAnsi="Noto Sans CJK TC" w:eastAsia="Noto Sans CJK TC"/>
                <w:b w:val="0"/>
                <w:sz w:val="16"/>
              </w:rPr>
              <w:t>問題集、schema、source label、missing-field 規則</w:t>
            </w:r>
          </w:p>
        </w:tc>
        <w:tc>
          <w:tcPr>
            <w:tcW w:type="dxa" w:w="3744"/>
            <w:vAlign w:val="top"/>
          </w:tcPr>
          <w:p>
            <w:pPr>
              <w:jc w:val="left"/>
            </w:pPr>
            <w:r/>
            <w:r>
              <w:rPr>
                <w:rFonts w:ascii="Noto Sans CJK TC" w:hAnsi="Noto Sans CJK TC" w:eastAsia="Noto Sans CJK TC"/>
                <w:b w:val="0"/>
                <w:sz w:val="16"/>
              </w:rPr>
              <w:t>未達標不進 reviewer demo</w:t>
            </w:r>
          </w:p>
        </w:tc>
      </w:tr>
      <w:tr>
        <w:tc>
          <w:tcPr>
            <w:tcW w:type="dxa" w:w="1152"/>
            <w:vAlign w:val="top"/>
          </w:tcPr>
          <w:p>
            <w:pPr>
              <w:jc w:val="left"/>
            </w:pPr>
            <w:r/>
            <w:r>
              <w:rPr>
                <w:rFonts w:ascii="Noto Sans CJK TC" w:hAnsi="Noto Sans CJK TC" w:eastAsia="Noto Sans CJK TC"/>
                <w:b w:val="0"/>
                <w:sz w:val="16"/>
              </w:rPr>
              <w:t>Y1</w:t>
            </w:r>
          </w:p>
        </w:tc>
        <w:tc>
          <w:tcPr>
            <w:tcW w:type="dxa" w:w="4320"/>
            <w:vAlign w:val="top"/>
          </w:tcPr>
          <w:p>
            <w:pPr>
              <w:jc w:val="left"/>
            </w:pPr>
            <w:r/>
            <w:r>
              <w:rPr>
                <w:rFonts w:ascii="Noto Sans CJK TC" w:hAnsi="Noto Sans CJK TC" w:eastAsia="Noto Sans CJK TC"/>
                <w:b w:val="0"/>
                <w:sz w:val="16"/>
              </w:rPr>
              <w:t>Synthetic reviewer evidence</w:t>
            </w:r>
          </w:p>
        </w:tc>
        <w:tc>
          <w:tcPr>
            <w:tcW w:type="dxa" w:w="6192"/>
            <w:vAlign w:val="top"/>
          </w:tcPr>
          <w:p>
            <w:pPr>
              <w:jc w:val="left"/>
            </w:pPr>
            <w:r/>
            <w:r>
              <w:rPr>
                <w:rFonts w:ascii="Noto Sans CJK TC" w:hAnsi="Noto Sans CJK TC" w:eastAsia="Noto Sans CJK TC"/>
                <w:b w:val="0"/>
                <w:sz w:val="16"/>
              </w:rPr>
              <w:t>3–5 個 synthetic cases、timed review、scorecard</w:t>
            </w:r>
          </w:p>
        </w:tc>
        <w:tc>
          <w:tcPr>
            <w:tcW w:type="dxa" w:w="3744"/>
            <w:vAlign w:val="top"/>
          </w:tcPr>
          <w:p>
            <w:pPr>
              <w:jc w:val="left"/>
            </w:pPr>
            <w:r/>
            <w:r>
              <w:rPr>
                <w:rFonts w:ascii="Noto Sans CJK TC" w:hAnsi="Noto Sans CJK TC" w:eastAsia="Noto Sans CJK TC"/>
                <w:b w:val="0"/>
                <w:sz w:val="16"/>
              </w:rPr>
              <w:t>read time 與 usefulness 未達標則修 schema</w:t>
            </w:r>
          </w:p>
        </w:tc>
      </w:tr>
      <w:tr>
        <w:tc>
          <w:tcPr>
            <w:tcW w:type="dxa" w:w="1152"/>
            <w:vAlign w:val="top"/>
          </w:tcPr>
          <w:p>
            <w:pPr>
              <w:jc w:val="left"/>
            </w:pPr>
            <w:r/>
            <w:r>
              <w:rPr>
                <w:rFonts w:ascii="Noto Sans CJK TC" w:hAnsi="Noto Sans CJK TC" w:eastAsia="Noto Sans CJK TC"/>
                <w:b w:val="0"/>
                <w:sz w:val="16"/>
              </w:rPr>
              <w:t>Y2</w:t>
            </w:r>
          </w:p>
        </w:tc>
        <w:tc>
          <w:tcPr>
            <w:tcW w:type="dxa" w:w="4320"/>
            <w:vAlign w:val="top"/>
          </w:tcPr>
          <w:p>
            <w:pPr>
              <w:jc w:val="left"/>
            </w:pPr>
            <w:r/>
            <w:r>
              <w:rPr>
                <w:rFonts w:ascii="Noto Sans CJK TC" w:hAnsi="Noto Sans CJK TC" w:eastAsia="Noto Sans CJK TC"/>
                <w:b w:val="0"/>
                <w:sz w:val="16"/>
              </w:rPr>
              <w:t>Governance-approved limited workflow evidence</w:t>
            </w:r>
          </w:p>
        </w:tc>
        <w:tc>
          <w:tcPr>
            <w:tcW w:type="dxa" w:w="6192"/>
            <w:vAlign w:val="top"/>
          </w:tcPr>
          <w:p>
            <w:pPr>
              <w:jc w:val="left"/>
            </w:pPr>
            <w:r/>
            <w:r>
              <w:rPr>
                <w:rFonts w:ascii="Noto Sans CJK TC" w:hAnsi="Noto Sans CJK TC" w:eastAsia="Noto Sans CJK TC"/>
                <w:b w:val="0"/>
                <w:sz w:val="16"/>
              </w:rPr>
              <w:t>QI/IRB 判定、流程紀錄、臨床 feedback</w:t>
            </w:r>
          </w:p>
        </w:tc>
        <w:tc>
          <w:tcPr>
            <w:tcW w:type="dxa" w:w="3744"/>
            <w:vAlign w:val="top"/>
          </w:tcPr>
          <w:p>
            <w:pPr>
              <w:jc w:val="left"/>
            </w:pPr>
            <w:r/>
            <w:r>
              <w:rPr>
                <w:rFonts w:ascii="Noto Sans CJK TC" w:hAnsi="Noto Sans CJK TC" w:eastAsia="Noto Sans CJK TC"/>
                <w:b w:val="0"/>
                <w:sz w:val="16"/>
              </w:rPr>
              <w:t>未核准真實資料 route 時，改用 workflow simulation</w:t>
            </w:r>
          </w:p>
        </w:tc>
      </w:tr>
      <w:tr>
        <w:tc>
          <w:tcPr>
            <w:tcW w:type="dxa" w:w="1152"/>
            <w:vAlign w:val="top"/>
          </w:tcPr>
          <w:p>
            <w:pPr>
              <w:jc w:val="left"/>
            </w:pPr>
            <w:r/>
            <w:r>
              <w:rPr>
                <w:rFonts w:ascii="Noto Sans CJK TC" w:hAnsi="Noto Sans CJK TC" w:eastAsia="Noto Sans CJK TC"/>
                <w:b w:val="0"/>
                <w:sz w:val="16"/>
              </w:rPr>
              <w:t>Y2</w:t>
            </w:r>
          </w:p>
        </w:tc>
        <w:tc>
          <w:tcPr>
            <w:tcW w:type="dxa" w:w="4320"/>
            <w:vAlign w:val="top"/>
          </w:tcPr>
          <w:p>
            <w:pPr>
              <w:jc w:val="left"/>
            </w:pPr>
            <w:r/>
            <w:r>
              <w:rPr>
                <w:rFonts w:ascii="Noto Sans CJK TC" w:hAnsi="Noto Sans CJK TC" w:eastAsia="Noto Sans CJK TC"/>
                <w:b w:val="0"/>
                <w:sz w:val="16"/>
              </w:rPr>
              <w:t>模型/摘要安全與 audit</w:t>
            </w:r>
          </w:p>
        </w:tc>
        <w:tc>
          <w:tcPr>
            <w:tcW w:type="dxa" w:w="6192"/>
            <w:vAlign w:val="top"/>
          </w:tcPr>
          <w:p>
            <w:pPr>
              <w:jc w:val="left"/>
            </w:pPr>
            <w:r/>
            <w:r>
              <w:rPr>
                <w:rFonts w:ascii="Noto Sans CJK TC" w:hAnsi="Noto Sans CJK TC" w:eastAsia="Noto Sans CJK TC"/>
                <w:b w:val="0"/>
                <w:sz w:val="16"/>
              </w:rPr>
              <w:t>版本紀錄、audit samples、red-team log</w:t>
            </w:r>
          </w:p>
        </w:tc>
        <w:tc>
          <w:tcPr>
            <w:tcW w:type="dxa" w:w="3744"/>
            <w:vAlign w:val="top"/>
          </w:tcPr>
          <w:p>
            <w:pPr>
              <w:jc w:val="left"/>
            </w:pPr>
            <w:r/>
            <w:r>
              <w:rPr>
                <w:rFonts w:ascii="Noto Sans CJK TC" w:hAnsi="Noto Sans CJK TC" w:eastAsia="Noto Sans CJK TC"/>
                <w:b w:val="0"/>
                <w:sz w:val="16"/>
              </w:rPr>
              <w:t>unsafe wording 未清零即 freeze release</w:t>
            </w:r>
          </w:p>
        </w:tc>
      </w:tr>
      <w:tr>
        <w:tc>
          <w:tcPr>
            <w:tcW w:type="dxa" w:w="1152"/>
            <w:vAlign w:val="top"/>
          </w:tcPr>
          <w:p>
            <w:pPr>
              <w:jc w:val="left"/>
            </w:pPr>
            <w:r/>
            <w:r>
              <w:rPr>
                <w:rFonts w:ascii="Noto Sans CJK TC" w:hAnsi="Noto Sans CJK TC" w:eastAsia="Noto Sans CJK TC"/>
                <w:b w:val="0"/>
                <w:sz w:val="16"/>
              </w:rPr>
              <w:t>Y3</w:t>
            </w:r>
          </w:p>
        </w:tc>
        <w:tc>
          <w:tcPr>
            <w:tcW w:type="dxa" w:w="4320"/>
            <w:vAlign w:val="top"/>
          </w:tcPr>
          <w:p>
            <w:pPr>
              <w:jc w:val="left"/>
            </w:pPr>
            <w:r/>
            <w:r>
              <w:rPr>
                <w:rFonts w:ascii="Noto Sans CJK TC" w:hAnsi="Noto Sans CJK TC" w:eastAsia="Noto Sans CJK TC"/>
                <w:b w:val="0"/>
                <w:sz w:val="16"/>
              </w:rPr>
              <w:t>Final evidence package</w:t>
            </w:r>
          </w:p>
        </w:tc>
        <w:tc>
          <w:tcPr>
            <w:tcW w:type="dxa" w:w="6192"/>
            <w:vAlign w:val="top"/>
          </w:tcPr>
          <w:p>
            <w:pPr>
              <w:jc w:val="left"/>
            </w:pPr>
            <w:r/>
            <w:r>
              <w:rPr>
                <w:rFonts w:ascii="Noto Sans CJK TC" w:hAnsi="Noto Sans CJK TC" w:eastAsia="Noto Sans CJK TC"/>
                <w:b w:val="0"/>
                <w:sz w:val="16"/>
              </w:rPr>
              <w:t>KPI 報告、失敗案例與修正、維運 owner</w:t>
            </w:r>
          </w:p>
        </w:tc>
        <w:tc>
          <w:tcPr>
            <w:tcW w:type="dxa" w:w="3744"/>
            <w:vAlign w:val="top"/>
          </w:tcPr>
          <w:p>
            <w:pPr>
              <w:jc w:val="left"/>
            </w:pPr>
            <w:r/>
            <w:r>
              <w:rPr>
                <w:rFonts w:ascii="Noto Sans CJK TC" w:hAnsi="Noto Sans CJK TC" w:eastAsia="Noto Sans CJK TC"/>
                <w:b w:val="0"/>
                <w:sz w:val="16"/>
              </w:rPr>
              <w:t>無 maintenance owner 不承諾長期服務</w:t>
            </w:r>
          </w:p>
        </w:tc>
      </w:tr>
      <w:tr>
        <w:tc>
          <w:tcPr>
            <w:tcW w:type="dxa" w:w="1152"/>
            <w:vAlign w:val="top"/>
          </w:tcPr>
          <w:p>
            <w:pPr>
              <w:jc w:val="left"/>
            </w:pPr>
            <w:r/>
            <w:r>
              <w:rPr>
                <w:rFonts w:ascii="Noto Sans CJK TC" w:hAnsi="Noto Sans CJK TC" w:eastAsia="Noto Sans CJK TC"/>
                <w:b w:val="0"/>
                <w:sz w:val="16"/>
              </w:rPr>
              <w:t>Y3</w:t>
            </w:r>
          </w:p>
        </w:tc>
        <w:tc>
          <w:tcPr>
            <w:tcW w:type="dxa" w:w="4320"/>
            <w:vAlign w:val="top"/>
          </w:tcPr>
          <w:p>
            <w:pPr>
              <w:jc w:val="left"/>
            </w:pPr>
            <w:r/>
            <w:r>
              <w:rPr>
                <w:rFonts w:ascii="Noto Sans CJK TC" w:hAnsi="Noto Sans CJK TC" w:eastAsia="Noto Sans CJK TC"/>
                <w:b w:val="0"/>
                <w:sz w:val="16"/>
              </w:rPr>
              <w:t>Next-stage governance brief</w:t>
            </w:r>
          </w:p>
        </w:tc>
        <w:tc>
          <w:tcPr>
            <w:tcW w:type="dxa" w:w="6192"/>
            <w:vAlign w:val="top"/>
          </w:tcPr>
          <w:p>
            <w:pPr>
              <w:jc w:val="left"/>
            </w:pPr>
            <w:r/>
            <w:r>
              <w:rPr>
                <w:rFonts w:ascii="Noto Sans CJK TC" w:hAnsi="Noto Sans CJK TC" w:eastAsia="Noto Sans CJK TC"/>
                <w:b w:val="0"/>
                <w:sz w:val="16"/>
              </w:rPr>
              <w:t>HIS/EMR/API/正式採購條件列表</w:t>
            </w:r>
          </w:p>
        </w:tc>
        <w:tc>
          <w:tcPr>
            <w:tcW w:type="dxa" w:w="3744"/>
            <w:vAlign w:val="top"/>
          </w:tcPr>
          <w:p>
            <w:pPr>
              <w:jc w:val="left"/>
            </w:pPr>
            <w:r/>
            <w:r>
              <w:rPr>
                <w:rFonts w:ascii="Noto Sans CJK TC" w:hAnsi="Noto Sans CJK TC" w:eastAsia="Noto Sans CJK TC"/>
                <w:b w:val="0"/>
                <w:sz w:val="16"/>
              </w:rPr>
              <w:t>不得把本案自動變成 production EMR writeback</w:t>
            </w:r>
          </w:p>
        </w:tc>
      </w:tr>
    </w:tbl>
    <w:p>
      <w:pPr>
        <w:pStyle w:val="Heading1"/>
      </w:pPr>
      <w:r>
        <w:rPr>
          <w:rFonts w:ascii="Noto Sans CJK TC" w:hAnsi="Noto Sans CJK TC" w:eastAsia="Noto Sans CJK TC"/>
        </w:rPr>
        <w:t>七、評審預答</w:t>
      </w:r>
    </w:p>
    <w:tbl>
      <w:tblPr>
        <w:tblStyle w:val="TableGrid"/>
        <w:tblW w:type="auto" w:w="0"/>
        <w:jc w:val="center"/>
        <w:tblLook w:firstColumn="1" w:firstRow="1" w:lastColumn="0" w:lastRow="0" w:noHBand="0" w:noVBand="1" w:val="04A0"/>
      </w:tblPr>
      <w:tblGrid>
        <w:gridCol w:w="7697"/>
        <w:gridCol w:w="7697"/>
      </w:tblGrid>
      <w:tr>
        <w:tc>
          <w:tcPr>
            <w:tcW w:type="dxa" w:w="3456"/>
            <w:vAlign w:val="top"/>
            <w:shd w:fill="0F766E"/>
          </w:tcPr>
          <w:p>
            <w:pPr>
              <w:jc w:val="left"/>
            </w:pPr>
            <w:r/>
            <w:r>
              <w:rPr>
                <w:rFonts w:ascii="Noto Sans CJK TC" w:hAnsi="Noto Sans CJK TC" w:eastAsia="Noto Sans CJK TC"/>
                <w:b/>
                <w:color w:val="FFFFFF"/>
                <w:sz w:val="16"/>
              </w:rPr>
              <w:t>質疑</w:t>
            </w:r>
          </w:p>
        </w:tc>
        <w:tc>
          <w:tcPr>
            <w:tcW w:type="dxa" w:w="11952"/>
            <w:vAlign w:val="top"/>
            <w:shd w:fill="0F766E"/>
          </w:tcPr>
          <w:p>
            <w:pPr>
              <w:jc w:val="left"/>
            </w:pPr>
            <w:r/>
            <w:r>
              <w:rPr>
                <w:rFonts w:ascii="Noto Sans CJK TC" w:hAnsi="Noto Sans CJK TC" w:eastAsia="Noto Sans CJK TC"/>
                <w:b/>
                <w:color w:val="FFFFFF"/>
                <w:sz w:val="16"/>
              </w:rPr>
              <w:t>回答</w:t>
            </w:r>
          </w:p>
        </w:tc>
      </w:tr>
      <w:tr>
        <w:tc>
          <w:tcPr>
            <w:tcW w:type="dxa" w:w="3456"/>
            <w:vAlign w:val="top"/>
          </w:tcPr>
          <w:p>
            <w:pPr>
              <w:jc w:val="left"/>
            </w:pPr>
            <w:r/>
            <w:r>
              <w:rPr>
                <w:rFonts w:ascii="Noto Sans CJK TC" w:hAnsi="Noto Sans CJK TC" w:eastAsia="Noto Sans CJK TC"/>
                <w:b w:val="0"/>
                <w:sz w:val="16"/>
              </w:rPr>
              <w:t>為什麼需要 NT$10M？</w:t>
            </w:r>
          </w:p>
        </w:tc>
        <w:tc>
          <w:tcPr>
            <w:tcW w:type="dxa" w:w="11952"/>
            <w:vAlign w:val="top"/>
          </w:tcPr>
          <w:p>
            <w:pPr>
              <w:jc w:val="left"/>
            </w:pPr>
            <w:r/>
            <w:r>
              <w:rPr>
                <w:rFonts w:ascii="Noto Sans CJK TC" w:hAnsi="Noto Sans CJK TC" w:eastAsia="Noto Sans CJK TC"/>
                <w:b w:val="0"/>
                <w:sz w:val="16"/>
              </w:rPr>
              <w:t>本案不是單一 chatbot，而是三年治理型門診前資訊流程：臨床問題治理、source label、missing-field、AI摘要、reviewer evidence、資安/資料治理、QI/IRB、年度管考與交接。每一列都有單價、數量、KPI 與 source，不是黑箱軟體費。</w:t>
            </w:r>
          </w:p>
        </w:tc>
      </w:tr>
      <w:tr>
        <w:tc>
          <w:tcPr>
            <w:tcW w:type="dxa" w:w="3456"/>
            <w:vAlign w:val="top"/>
          </w:tcPr>
          <w:p>
            <w:pPr>
              <w:jc w:val="left"/>
            </w:pPr>
            <w:r/>
            <w:r>
              <w:rPr>
                <w:rFonts w:ascii="Noto Sans CJK TC" w:hAnsi="Noto Sans CJK TC" w:eastAsia="Noto Sans CJK TC"/>
                <w:b w:val="0"/>
                <w:sz w:val="16"/>
              </w:rPr>
              <w:t>是否會變成 AI 診斷？</w:t>
            </w:r>
          </w:p>
        </w:tc>
        <w:tc>
          <w:tcPr>
            <w:tcW w:type="dxa" w:w="11952"/>
            <w:vAlign w:val="top"/>
          </w:tcPr>
          <w:p>
            <w:pPr>
              <w:jc w:val="left"/>
            </w:pPr>
            <w:r/>
            <w:r>
              <w:rPr>
                <w:rFonts w:ascii="Noto Sans CJK TC" w:hAnsi="Noto Sans CJK TC" w:eastAsia="Noto Sans CJK TC"/>
                <w:b w:val="0"/>
                <w:sz w:val="16"/>
              </w:rPr>
              <w:t>不會。AI 只做結構化、缺漏提示與摘要草擬；醫師保留判讀、診斷、處置。unsafe wording KPI 要求未核准診斷、治療、分流語句為 0。</w:t>
            </w:r>
          </w:p>
        </w:tc>
      </w:tr>
      <w:tr>
        <w:tc>
          <w:tcPr>
            <w:tcW w:type="dxa" w:w="3456"/>
            <w:vAlign w:val="top"/>
          </w:tcPr>
          <w:p>
            <w:pPr>
              <w:jc w:val="left"/>
            </w:pPr>
            <w:r/>
            <w:r>
              <w:rPr>
                <w:rFonts w:ascii="Noto Sans CJK TC" w:hAnsi="Noto Sans CJK TC" w:eastAsia="Noto Sans CJK TC"/>
                <w:b w:val="0"/>
                <w:sz w:val="16"/>
              </w:rPr>
              <w:t>CRM 為何不列？</w:t>
            </w:r>
          </w:p>
        </w:tc>
        <w:tc>
          <w:tcPr>
            <w:tcW w:type="dxa" w:w="11952"/>
            <w:vAlign w:val="top"/>
          </w:tcPr>
          <w:p>
            <w:pPr>
              <w:jc w:val="left"/>
            </w:pPr>
            <w:r/>
            <w:r>
              <w:rPr>
                <w:rFonts w:ascii="Noto Sans CJK TC" w:hAnsi="Noto Sans CJK TC" w:eastAsia="Noto Sans CJK TC"/>
                <w:b w:val="0"/>
                <w:sz w:val="16"/>
              </w:rPr>
              <w:t>package 已界定 CRM 由其他團隊處理。本案只做門診前 visit readiness 與醫師覆核摘要。把 CRM 放入會稀釋 scope、擴大採購與資安風險。</w:t>
            </w:r>
          </w:p>
        </w:tc>
      </w:tr>
      <w:tr>
        <w:tc>
          <w:tcPr>
            <w:tcW w:type="dxa" w:w="3456"/>
            <w:vAlign w:val="top"/>
          </w:tcPr>
          <w:p>
            <w:pPr>
              <w:jc w:val="left"/>
            </w:pPr>
            <w:r/>
            <w:r>
              <w:rPr>
                <w:rFonts w:ascii="Noto Sans CJK TC" w:hAnsi="Noto Sans CJK TC" w:eastAsia="Noto Sans CJK TC"/>
                <w:b w:val="0"/>
                <w:sz w:val="16"/>
              </w:rPr>
              <w:t>KPI 是否太保守？</w:t>
            </w:r>
          </w:p>
        </w:tc>
        <w:tc>
          <w:tcPr>
            <w:tcW w:type="dxa" w:w="11952"/>
            <w:vAlign w:val="top"/>
          </w:tcPr>
          <w:p>
            <w:pPr>
              <w:jc w:val="left"/>
            </w:pPr>
            <w:r/>
            <w:r>
              <w:rPr>
                <w:rFonts w:ascii="Noto Sans CJK TC" w:hAnsi="Noto Sans CJK TC" w:eastAsia="Noto Sans CJK TC"/>
                <w:b w:val="0"/>
                <w:sz w:val="16"/>
              </w:rPr>
              <w:t>不是保守，而是可驗收。先用 workflow、安全、traceability KPI 建立可信度；Y2 governance 核准後再做 limited workflow evidence。這比空泛宣稱臨床結果更能通過查核。</w:t>
            </w:r>
          </w:p>
        </w:tc>
      </w:tr>
      <w:tr>
        <w:tc>
          <w:tcPr>
            <w:tcW w:type="dxa" w:w="3456"/>
            <w:vAlign w:val="top"/>
          </w:tcPr>
          <w:p>
            <w:pPr>
              <w:jc w:val="left"/>
            </w:pPr>
            <w:r/>
            <w:r>
              <w:rPr>
                <w:rFonts w:ascii="Noto Sans CJK TC" w:hAnsi="Noto Sans CJK TC" w:eastAsia="Noto Sans CJK TC"/>
                <w:b w:val="0"/>
                <w:sz w:val="16"/>
              </w:rPr>
              <w:t>摘要閱讀時間 ≤60 秒合理嗎？</w:t>
            </w:r>
          </w:p>
        </w:tc>
        <w:tc>
          <w:tcPr>
            <w:tcW w:type="dxa" w:w="11952"/>
            <w:vAlign w:val="top"/>
          </w:tcPr>
          <w:p>
            <w:pPr>
              <w:jc w:val="left"/>
            </w:pPr>
            <w:r/>
            <w:r>
              <w:rPr>
                <w:rFonts w:ascii="Noto Sans CJK TC" w:hAnsi="Noto Sans CJK TC" w:eastAsia="Noto Sans CJK TC"/>
                <w:b w:val="0"/>
                <w:sz w:val="16"/>
              </w:rPr>
              <w:t>可作設計目標，正式報告同時回報 actual。若超過 90 秒，必須縮短摘要或調整欄位。</w:t>
            </w:r>
          </w:p>
        </w:tc>
      </w:tr>
      <w:tr>
        <w:tc>
          <w:tcPr>
            <w:tcW w:type="dxa" w:w="3456"/>
            <w:vAlign w:val="top"/>
          </w:tcPr>
          <w:p>
            <w:pPr>
              <w:jc w:val="left"/>
            </w:pPr>
            <w:r/>
            <w:r>
              <w:rPr>
                <w:rFonts w:ascii="Noto Sans CJK TC" w:hAnsi="Noto Sans CJK TC" w:eastAsia="Noto Sans CJK TC"/>
                <w:b w:val="0"/>
                <w:sz w:val="16"/>
              </w:rPr>
              <w:t>ASR/APP/API 要不要寫？</w:t>
            </w:r>
          </w:p>
        </w:tc>
        <w:tc>
          <w:tcPr>
            <w:tcW w:type="dxa" w:w="11952"/>
            <w:vAlign w:val="top"/>
          </w:tcPr>
          <w:p>
            <w:pPr>
              <w:jc w:val="left"/>
            </w:pPr>
            <w:r/>
            <w:r>
              <w:rPr>
                <w:rFonts w:ascii="Noto Sans CJK TC" w:hAnsi="Noto Sans CJK TC" w:eastAsia="Noto Sans CJK TC"/>
                <w:b w:val="0"/>
                <w:sz w:val="16"/>
              </w:rPr>
              <w:t>可寫 optional readiness，不可寫成核心成功條件。未確認 transcript 不進摘要；HIS/EMR writeback 不在本期承諾。</w:t>
            </w:r>
          </w:p>
        </w:tc>
      </w:tr>
    </w:tbl>
    <w:p>
      <w:pPr>
        <w:pStyle w:val="Heading1"/>
      </w:pPr>
      <w:r>
        <w:rPr>
          <w:rFonts w:ascii="Noto Sans CJK TC" w:hAnsi="Noto Sans CJK TC" w:eastAsia="Noto Sans CJK TC"/>
        </w:rPr>
        <w:t>八、正式送件前必須確認</w:t>
      </w:r>
    </w:p>
    <w:p>
      <w:pPr>
        <w:spacing w:after="100" w:line="259" w:lineRule="auto"/>
      </w:pPr>
      <w:r>
        <w:rPr>
          <w:rFonts w:ascii="Noto Sans CJK TC" w:hAnsi="Noto Sans CJK TC" w:eastAsia="Noto Sans CJK TC"/>
          <w:sz w:val="20"/>
        </w:rPr>
        <w:t>• 主提機構、合作機構、醫事機構代碼、計畫主持人、聯絡人與簽核流程。</w:t>
      </w:r>
    </w:p>
    <w:p>
      <w:pPr>
        <w:spacing w:after="100" w:line="259" w:lineRule="auto"/>
      </w:pPr>
      <w:r>
        <w:rPr>
          <w:rFonts w:ascii="Noto Sans CJK TC" w:hAnsi="Noto Sans CJK TC" w:eastAsia="Noto Sans CJK TC"/>
          <w:sz w:val="20"/>
        </w:rPr>
        <w:t>• 本稿定位：standalone subproject、work package，或 parent proposal appendix。</w:t>
      </w:r>
    </w:p>
    <w:p>
      <w:pPr>
        <w:spacing w:after="100" w:line="259" w:lineRule="auto"/>
      </w:pPr>
      <w:r>
        <w:rPr>
          <w:rFonts w:ascii="Noto Sans CJK TC" w:hAnsi="Noto Sans CJK TC" w:eastAsia="Noto Sans CJK TC"/>
          <w:sz w:val="20"/>
        </w:rPr>
        <w:t>• 三年 NT$10,000,000 是否維持為 AI 問診與醫師覆核摘要 package 討論額度。</w:t>
      </w:r>
    </w:p>
    <w:p>
      <w:pPr>
        <w:spacing w:after="100" w:line="259" w:lineRule="auto"/>
      </w:pPr>
      <w:r>
        <w:rPr>
          <w:rFonts w:ascii="Noto Sans CJK TC" w:hAnsi="Noto Sans CJK TC" w:eastAsia="Noto Sans CJK TC"/>
          <w:sz w:val="20"/>
        </w:rPr>
        <w:t>• 真實病患資料 route：no data、QI/service、IRB research，或 mixed route。</w:t>
      </w:r>
    </w:p>
    <w:p>
      <w:pPr>
        <w:spacing w:after="100" w:line="259" w:lineRule="auto"/>
      </w:pPr>
      <w:r>
        <w:rPr>
          <w:rFonts w:ascii="Noto Sans CJK TC" w:hAnsi="Noto Sans CJK TC" w:eastAsia="Noto Sans CJK TC"/>
          <w:sz w:val="20"/>
        </w:rPr>
        <w:t>• ASR、APP/API、intake station 是 funded item、demo-only，或後續採購。</w:t>
      </w:r>
    </w:p>
    <w:p>
      <w:pPr>
        <w:spacing w:after="100" w:line="259" w:lineRule="auto"/>
      </w:pPr>
      <w:r>
        <w:rPr>
          <w:rFonts w:ascii="Noto Sans CJK TC" w:hAnsi="Noto Sans CJK TC" w:eastAsia="Noto Sans CJK TC"/>
          <w:sz w:val="20"/>
        </w:rPr>
        <w:t>• 正式會計科目、配合款、採購門檻、補助款與負面表列檢查。</w:t>
      </w:r>
    </w:p>
    <w:p>
      <w:pPr>
        <w:spacing w:after="100" w:line="259" w:lineRule="auto"/>
      </w:pPr>
      <w:r>
        <w:rPr>
          <w:rFonts w:ascii="Noto Sans CJK TC" w:hAnsi="Noto Sans CJK TC" w:eastAsia="Noto Sans CJK TC"/>
          <w:sz w:val="20"/>
        </w:rPr>
        <w:t>• 所有 owner：clinical、AI/schema、AI/data governance、IT/security、evaluation、budget/procurement。</w:t>
      </w:r>
    </w:p>
    <w:p>
      <w:r>
        <w:rPr>
          <w:rFonts w:ascii="Noto Sans CJK TC" w:hAnsi="Noto Sans CJK TC" w:eastAsia="Noto Sans CJK TC"/>
        </w:rPr>
        <w:br w:type="page"/>
      </w:r>
    </w:p>
    <w:p>
      <w:pPr>
        <w:pStyle w:val="Heading1"/>
      </w:pPr>
      <w:r>
        <w:rPr>
          <w:rFonts w:ascii="Noto Sans CJK TC" w:hAnsi="Noto Sans CJK TC" w:eastAsia="Noto Sans CJK TC"/>
        </w:rPr>
        <w:t>附錄：本稿使用的外部依據</w:t>
      </w:r>
    </w:p>
    <w:tbl>
      <w:tblPr>
        <w:tblStyle w:val="TableGrid"/>
        <w:tblW w:type="auto" w:w="0"/>
        <w:jc w:val="center"/>
        <w:tblLook w:firstColumn="1" w:firstRow="1" w:lastColumn="0" w:lastRow="0" w:noHBand="0" w:noVBand="1" w:val="04A0"/>
      </w:tblPr>
      <w:tblGrid>
        <w:gridCol w:w="7697"/>
        <w:gridCol w:w="7697"/>
      </w:tblGrid>
      <w:tr>
        <w:tc>
          <w:tcPr>
            <w:tcW w:type="dxa" w:w="5760"/>
            <w:vAlign w:val="top"/>
            <w:shd w:fill="0F766E"/>
          </w:tcPr>
          <w:p>
            <w:pPr>
              <w:jc w:val="left"/>
            </w:pPr>
            <w:r/>
            <w:r>
              <w:rPr>
                <w:rFonts w:ascii="Noto Sans CJK TC" w:hAnsi="Noto Sans CJK TC" w:eastAsia="Noto Sans CJK TC"/>
                <w:b/>
                <w:color w:val="FFFFFF"/>
                <w:sz w:val="16"/>
              </w:rPr>
              <w:t>來源</w:t>
            </w:r>
          </w:p>
        </w:tc>
        <w:tc>
          <w:tcPr>
            <w:tcW w:type="dxa" w:w="9648"/>
            <w:vAlign w:val="top"/>
            <w:shd w:fill="0F766E"/>
          </w:tcPr>
          <w:p>
            <w:pPr>
              <w:jc w:val="left"/>
            </w:pPr>
            <w:r/>
            <w:r>
              <w:rPr>
                <w:rFonts w:ascii="Noto Sans CJK TC" w:hAnsi="Noto Sans CJK TC" w:eastAsia="Noto Sans CJK TC"/>
                <w:b/>
                <w:color w:val="FFFFFF"/>
                <w:sz w:val="16"/>
              </w:rPr>
              <w:t>URL</w:t>
            </w:r>
          </w:p>
        </w:tc>
      </w:tr>
      <w:tr>
        <w:tc>
          <w:tcPr>
            <w:tcW w:type="dxa" w:w="5760"/>
            <w:vAlign w:val="top"/>
          </w:tcPr>
          <w:p>
            <w:pPr>
              <w:jc w:val="left"/>
            </w:pPr>
            <w:r/>
            <w:r>
              <w:rPr>
                <w:rFonts w:ascii="Noto Sans CJK TC" w:hAnsi="Noto Sans CJK TC" w:eastAsia="Noto Sans CJK TC"/>
                <w:b w:val="0"/>
                <w:sz w:val="16"/>
              </w:rPr>
              <w:t>行政院健康臺灣深耕計畫</w:t>
            </w:r>
          </w:p>
        </w:tc>
        <w:tc>
          <w:tcPr>
            <w:tcW w:type="dxa" w:w="9648"/>
            <w:vAlign w:val="top"/>
          </w:tcPr>
          <w:p>
            <w:pPr>
              <w:jc w:val="left"/>
            </w:pPr>
            <w:r/>
            <w:r>
              <w:rPr>
                <w:rFonts w:ascii="Noto Sans CJK TC" w:hAnsi="Noto Sans CJK TC" w:eastAsia="Noto Sans CJK TC"/>
                <w:b w:val="0"/>
                <w:sz w:val="16"/>
              </w:rPr>
              <w:t>https://www.ey.gov.tw/Page/5A8A0CB5B41DA11E/f1618406-1ed7-4e72-bd4f-d1b6faaf8381</w:t>
            </w:r>
          </w:p>
        </w:tc>
      </w:tr>
      <w:tr>
        <w:tc>
          <w:tcPr>
            <w:tcW w:type="dxa" w:w="5760"/>
            <w:vAlign w:val="top"/>
          </w:tcPr>
          <w:p>
            <w:pPr>
              <w:jc w:val="left"/>
            </w:pPr>
            <w:r/>
            <w:r>
              <w:rPr>
                <w:rFonts w:ascii="Noto Sans CJK TC" w:hAnsi="Noto Sans CJK TC" w:eastAsia="Noto Sans CJK TC"/>
                <w:b w:val="0"/>
                <w:sz w:val="16"/>
              </w:rPr>
              <w:t>衛福部健康台灣深耕計畫專區</w:t>
            </w:r>
          </w:p>
        </w:tc>
        <w:tc>
          <w:tcPr>
            <w:tcW w:type="dxa" w:w="9648"/>
            <w:vAlign w:val="top"/>
          </w:tcPr>
          <w:p>
            <w:pPr>
              <w:jc w:val="left"/>
            </w:pPr>
            <w:r/>
            <w:r>
              <w:rPr>
                <w:rFonts w:ascii="Noto Sans CJK TC" w:hAnsi="Noto Sans CJK TC" w:eastAsia="Noto Sans CJK TC"/>
                <w:b w:val="0"/>
                <w:sz w:val="16"/>
              </w:rPr>
              <w:t>https://dep.mohw.gov.tw/TDU/cp-1567-82709-121.html</w:t>
            </w:r>
          </w:p>
        </w:tc>
      </w:tr>
      <w:tr>
        <w:tc>
          <w:tcPr>
            <w:tcW w:type="dxa" w:w="5760"/>
            <w:vAlign w:val="top"/>
          </w:tcPr>
          <w:p>
            <w:pPr>
              <w:jc w:val="left"/>
            </w:pPr>
            <w:r/>
            <w:r>
              <w:rPr>
                <w:rFonts w:ascii="Noto Sans CJK TC" w:hAnsi="Noto Sans CJK TC" w:eastAsia="Noto Sans CJK TC"/>
                <w:b w:val="0"/>
                <w:sz w:val="16"/>
              </w:rPr>
              <w:t>健康台灣深耕計畫經費支用標準（115年4月13日修正）</w:t>
            </w:r>
          </w:p>
        </w:tc>
        <w:tc>
          <w:tcPr>
            <w:tcW w:type="dxa" w:w="9648"/>
            <w:vAlign w:val="top"/>
          </w:tcPr>
          <w:p>
            <w:pPr>
              <w:jc w:val="left"/>
            </w:pPr>
            <w:r/>
            <w:r>
              <w:rPr>
                <w:rFonts w:ascii="Noto Sans CJK TC" w:hAnsi="Noto Sans CJK TC" w:eastAsia="Noto Sans CJK TC"/>
                <w:b w:val="0"/>
                <w:sz w:val="16"/>
              </w:rPr>
              <w:t>https://htsprout.nhri.org.tw/UploadFile/0415-attach1.pdf</w:t>
            </w:r>
          </w:p>
        </w:tc>
      </w:tr>
      <w:tr>
        <w:tc>
          <w:tcPr>
            <w:tcW w:type="dxa" w:w="5760"/>
            <w:vAlign w:val="top"/>
          </w:tcPr>
          <w:p>
            <w:pPr>
              <w:jc w:val="left"/>
            </w:pPr>
            <w:r/>
            <w:r>
              <w:rPr>
                <w:rFonts w:ascii="Noto Sans CJK TC" w:hAnsi="Noto Sans CJK TC" w:eastAsia="Noto Sans CJK TC"/>
                <w:b w:val="0"/>
                <w:sz w:val="16"/>
              </w:rPr>
              <w:t>經費編列注意事項概要說明</w:t>
            </w:r>
          </w:p>
        </w:tc>
        <w:tc>
          <w:tcPr>
            <w:tcW w:type="dxa" w:w="9648"/>
            <w:vAlign w:val="top"/>
          </w:tcPr>
          <w:p>
            <w:pPr>
              <w:jc w:val="left"/>
            </w:pPr>
            <w:r/>
            <w:r>
              <w:rPr>
                <w:rFonts w:ascii="Noto Sans CJK TC" w:hAnsi="Noto Sans CJK TC" w:eastAsia="Noto Sans CJK TC"/>
                <w:b w:val="0"/>
                <w:sz w:val="16"/>
              </w:rPr>
              <w:t>https://htsprout.nhri.org.tw/UploadFile/0915-attach1.pdf</w:t>
            </w:r>
          </w:p>
        </w:tc>
      </w:tr>
      <w:tr>
        <w:tc>
          <w:tcPr>
            <w:tcW w:type="dxa" w:w="5760"/>
            <w:vAlign w:val="top"/>
          </w:tcPr>
          <w:p>
            <w:pPr>
              <w:jc w:val="left"/>
            </w:pPr>
            <w:r/>
            <w:r>
              <w:rPr>
                <w:rFonts w:ascii="Noto Sans CJK TC" w:hAnsi="Noto Sans CJK TC" w:eastAsia="Noto Sans CJK TC"/>
                <w:b w:val="0"/>
                <w:sz w:val="16"/>
              </w:rPr>
              <w:t>健康台灣深耕計畫下載區</w:t>
            </w:r>
          </w:p>
        </w:tc>
        <w:tc>
          <w:tcPr>
            <w:tcW w:type="dxa" w:w="9648"/>
            <w:vAlign w:val="top"/>
          </w:tcPr>
          <w:p>
            <w:pPr>
              <w:jc w:val="left"/>
            </w:pPr>
            <w:r/>
            <w:r>
              <w:rPr>
                <w:rFonts w:ascii="Noto Sans CJK TC" w:hAnsi="Noto Sans CJK TC" w:eastAsia="Noto Sans CJK TC"/>
                <w:b w:val="0"/>
                <w:sz w:val="16"/>
              </w:rPr>
              <w:t>https://htsprout.nhri.org.tw/download.html</w:t>
            </w:r>
          </w:p>
        </w:tc>
      </w:tr>
      <w:tr>
        <w:tc>
          <w:tcPr>
            <w:tcW w:type="dxa" w:w="5760"/>
            <w:vAlign w:val="top"/>
          </w:tcPr>
          <w:p>
            <w:pPr>
              <w:jc w:val="left"/>
            </w:pPr>
            <w:r/>
            <w:r>
              <w:rPr>
                <w:rFonts w:ascii="Noto Sans CJK TC" w:hAnsi="Noto Sans CJK TC" w:eastAsia="Noto Sans CJK TC"/>
                <w:b w:val="0"/>
                <w:sz w:val="16"/>
              </w:rPr>
              <w:t>NSTC研究人力約用注意事項</w:t>
            </w:r>
          </w:p>
        </w:tc>
        <w:tc>
          <w:tcPr>
            <w:tcW w:type="dxa" w:w="9648"/>
            <w:vAlign w:val="top"/>
          </w:tcPr>
          <w:p>
            <w:pPr>
              <w:jc w:val="left"/>
            </w:pPr>
            <w:r/>
            <w:r>
              <w:rPr>
                <w:rFonts w:ascii="Noto Sans CJK TC" w:hAnsi="Noto Sans CJK TC" w:eastAsia="Noto Sans CJK TC"/>
                <w:b w:val="0"/>
                <w:sz w:val="16"/>
              </w:rPr>
              <w:t>https://law.nstc.gov.tw/LawContent.aspx?id=FL028686</w:t>
            </w:r>
          </w:p>
        </w:tc>
      </w:tr>
      <w:tr>
        <w:tc>
          <w:tcPr>
            <w:tcW w:type="dxa" w:w="5760"/>
            <w:vAlign w:val="top"/>
          </w:tcPr>
          <w:p>
            <w:pPr>
              <w:jc w:val="left"/>
            </w:pPr>
            <w:r/>
            <w:r>
              <w:rPr>
                <w:rFonts w:ascii="Noto Sans CJK TC" w:hAnsi="Noto Sans CJK TC" w:eastAsia="Noto Sans CJK TC"/>
                <w:b w:val="0"/>
                <w:sz w:val="16"/>
              </w:rPr>
              <w:t>勞動部歷年最低工資</w:t>
            </w:r>
          </w:p>
        </w:tc>
        <w:tc>
          <w:tcPr>
            <w:tcW w:type="dxa" w:w="9648"/>
            <w:vAlign w:val="top"/>
          </w:tcPr>
          <w:p>
            <w:pPr>
              <w:jc w:val="left"/>
            </w:pPr>
            <w:r/>
            <w:r>
              <w:rPr>
                <w:rFonts w:ascii="Noto Sans CJK TC" w:hAnsi="Noto Sans CJK TC" w:eastAsia="Noto Sans CJK TC"/>
                <w:b w:val="0"/>
                <w:sz w:val="16"/>
              </w:rPr>
              <w:t>https://www.mol.gov.tw/1607/28162/28166/28180/70460/76761/76833/post</w:t>
            </w:r>
          </w:p>
        </w:tc>
      </w:tr>
      <w:tr>
        <w:tc>
          <w:tcPr>
            <w:tcW w:type="dxa" w:w="5760"/>
            <w:vAlign w:val="top"/>
          </w:tcPr>
          <w:p>
            <w:pPr>
              <w:jc w:val="left"/>
            </w:pPr>
            <w:r/>
            <w:r>
              <w:rPr>
                <w:rFonts w:ascii="Noto Sans CJK TC" w:hAnsi="Noto Sans CJK TC" w:eastAsia="Noto Sans CJK TC"/>
                <w:b w:val="0"/>
                <w:sz w:val="16"/>
              </w:rPr>
              <w:t>中央政府各機關學校出席費及稿費支給要點</w:t>
            </w:r>
          </w:p>
        </w:tc>
        <w:tc>
          <w:tcPr>
            <w:tcW w:type="dxa" w:w="9648"/>
            <w:vAlign w:val="top"/>
          </w:tcPr>
          <w:p>
            <w:pPr>
              <w:jc w:val="left"/>
            </w:pPr>
            <w:r/>
            <w:r>
              <w:rPr>
                <w:rFonts w:ascii="Noto Sans CJK TC" w:hAnsi="Noto Sans CJK TC" w:eastAsia="Noto Sans CJK TC"/>
                <w:b w:val="0"/>
                <w:sz w:val="16"/>
              </w:rPr>
              <w:t>https://www.dbas.taichung.gov.tw/media/900350/%E4%B8%9918%E4%B8%AD%E5%A4%AE%E6%94%BF%E5%BA%9C%E5%90%84%E6%A9%9F%E9%97%9C%E5%AD%B8%E6%A0%A1%E5%87%BA%E5%B8%AD%E8%B2%BB%E5%8F%8A%E7%A8%BF%E8%B2%BB%E6%94%AF%E7%B5%A6%E8%A6%81%E9%BB%9E-1111220%E4%BF%AE%E6%AD%A3-%E5%90%AB%E9%99%84%E4%BB%B6.pdf</w:t>
            </w:r>
          </w:p>
        </w:tc>
      </w:tr>
    </w:tbl>
    <w:sectPr w:rsidR="00FC693F" w:rsidRPr="0006063C" w:rsidSect="00034616">
      <w:footerReference w:type="default" r:id="rId9"/>
      <w:pgSz w:w="16834" w:h="11909" w:orient="landscape"/>
      <w:pgMar w:top="648" w:right="720" w:bottom="648"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TC" w:hAnsi="Noto Sans CJK TC" w:eastAsia="Noto Sans CJK TC"/>
        <w:sz w:val="16"/>
      </w:rPr>
      <w:t>NYCU AI Pre-visit Review Draft｜2026-06-19</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TC" w:hAnsi="Noto Sans CJK TC" w:eastAsia="Noto Sans CJK T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TC" w:hAnsi="Noto Sans CJK TC" w:eastAsia="Noto Sans CJK T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TC" w:hAnsi="Noto Sans CJK TC" w:eastAsia="Noto Sans CJK T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TC" w:hAnsi="Noto Sans CJK TC" w:eastAsia="Noto Sans CJK TC"/>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